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村级公益事业建设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一事一议财政奖补资金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奇台县综改办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杨继贵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（部门决算公开日期之前）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（1）贯彻执行国家和自治区有关乡镇财政管理的法律法规和方针，调查研究我县乡镇财政运行状况，研究我县乡镇财政管理政策，参与涉农财政政策的调研与制定。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（2）负责我县乡镇财政管理工作，推进“乡财县管乡用”，“村财乡管村用”等乡镇财政管理方式的改革。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（3）负责乡镇财政所业务建设和人员业务培训，指导乡镇财政不断改进工作，提高服务水平；管理乡镇财政建设经费。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4）配合有关部门做好粮食直补，良种补贴，大型农机具补贴，以及农村五保户供养，计划生育奖励补助，财政扶贫等资金的监督管理；参与涉农资金支付网络化建设，建立全区农户基础资料数据库，推动财政对农民直接补贴制度的改革和完善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以推进农村综合改革和社会主义新农村建设为目标，以政府奖补资金为引导，以充分发挥基层民主作用为动力，逐步建立筹补结合、多方投入的村级公益事业建设新机制。进一步巩固农村税费成果，改善农牧民生产生活条件，加快社会主义新农村建设步伐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根据昌州综改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[2017]34号文件，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奇台县村级公益事业建设一事一议财政奖补资金</w:t>
      </w:r>
      <w:r>
        <w:rPr>
          <w:rFonts w:hint="eastAsia" w:ascii="仿宋" w:hAnsi="仿宋" w:eastAsia="仿宋" w:cs="仿宋"/>
          <w:sz w:val="32"/>
          <w:szCs w:val="32"/>
        </w:rPr>
        <w:t>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403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资金拨付按实际工程进度，县财政局审核后及时拨付给乡镇进行报账。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截至目前，相关乡镇已拨付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万元，资金将在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陆续拨付。</w:t>
      </w:r>
    </w:p>
    <w:p>
      <w:pPr>
        <w:spacing w:line="540" w:lineRule="exact"/>
        <w:ind w:firstLine="567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（三）项目资金管理情况分析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在资金管理上强化责任意识，建立健全管理制度，落实配套资金，定期调度资金拨付情况，提高预算执行效率和资金使用效益，确保财政资金使用安全。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一事一议财政奖补资金是自治区专项资金，用于改善项目实施村农牧民生产生活条件。计划实施项目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23个，投入资金403万元，项目将于2018年全部拨付完毕，实施乡级报账制。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依据《奇台县财政局内部控制制度》进行项目管理，其中文件包含相关业务管理制度，及预算业务、收支业务、政府采购业务和资产管理等制度，业务管理制度合法、合规、完整。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四、项目绩效情况</w:t>
      </w:r>
      <w:r>
        <w:rPr>
          <w:rStyle w:val="18"/>
          <w:rFonts w:hint="eastAsia" w:ascii="黑体" w:hAnsi="黑体" w:eastAsia="黑体"/>
          <w:highlight w:val="none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（一）项目绩效目标完成情况分析</w:t>
      </w:r>
    </w:p>
    <w:p>
      <w:pPr>
        <w:spacing w:line="540" w:lineRule="exact"/>
        <w:ind w:firstLine="561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Fonts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</w:rPr>
        <w:t>通过“一事一议”财政奖补项目的实施，一是改善了农业生产基础条件，项目村农田用水得到保障。二是村容村貌得到改善，空气质量得到提高，保障了村民正常的生产生活。三是推进了新农村建设，促进了农村生产发展、生活宽裕、乡风文明、管理民主目标的实现。四是</w:t>
      </w:r>
      <w:r>
        <w:rPr>
          <w:rFonts w:hint="default" w:ascii="仿宋_GB2312" w:hAnsi="宋体" w:eastAsia="仿宋_GB2312" w:cs="仿宋_GB2312"/>
          <w:i w:val="0"/>
          <w:caps w:val="0"/>
          <w:color w:val="4C4C4C"/>
          <w:spacing w:val="0"/>
          <w:sz w:val="31"/>
          <w:szCs w:val="31"/>
        </w:rPr>
        <w:t>项目建设村民满意，未新增村级债务，未加重农民负担。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（一）后续工作计划</w:t>
      </w:r>
    </w:p>
    <w:p>
      <w:pPr>
        <w:spacing w:line="540" w:lineRule="exact"/>
        <w:ind w:firstLine="579" w:firstLineChars="181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加快各项目村一事一议财政奖补项目的申报及完工进度。加强内业资料整理汇总。争取下一年度的一事一议项目更快更好的完成。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（二）主要经验及做法、存在问题和建议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1、加强动员宣传。镇村两委多层次召开会议，认真宣讲一事一议财政奖补政策和操作程序等，并利用村务公开栏及群众活动场所张贴一事一议有关政策，在醒目位置制作张贴固定标语，重点项目标识牌，加1分。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2、组织业务培训。每年年组织1次业务培训，起到应有效果。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3、监管系统。信息监管系统运转正常，业务人员能把财政奖补项目准确、及时、完整录入奖补项目信息管理系统，及时更新上报相关数据。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加强档案管理。档案齐全，规范完整。从项目的申报资料，批复文件，会议记录，公示资料，项目合同，工程决算、验收报告、结算凭证和有关图片等原始资料都能按顺序装订成册，单独归档；原始凭证齐全、合法、合规，经得起检查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（三）其他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highlight w:val="none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六、项目评价工作情况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1、项目规划。能够结合新农村建设总体规划，以及省厅文件规定的建设范围，经常下发项目规划建设管理文件，并科学合理规划财政奖补项目，县综改办认真建立一事一议财政奖补项目库。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2、项目报批。能严格项目建设审核审批制度。每个项目都按照村申请、镇审核、县审批的程序，把关办理。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3、项目实施。及时跟踪项目进度，6月底项目开工率60%以上，截止12月31日所有项目完工，奖补资金全额兑现到位。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4、项目验收。所建的项目完工后能及时组织验收，工程质量都达到合格，并有村民监督小组全体成员签字盖章。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5、项目管护。每一建成项目都有制定一套管理维护制度，由村委会指定所在村民小组负责项目管护。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6、项目标识。建设的项目都能够规范的要求设立标识牌。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公益事业建设一事一议财政奖补资金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奇台县综改办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403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40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以推进农村综合改革和社会主义新农村建设为目标，以政府奖补资金为引导，以充分发挥基层民主作用为动力，逐步建立筹补结合、多方投入的村级公益事业建设新机制。进一步巩固农村税费成果，改善农牧民生产生活条件，加快社会主义新农村建设步伐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360" w:firstLineChars="180"/>
              <w:jc w:val="both"/>
              <w:textAlignment w:val="auto"/>
              <w:outlineLvl w:val="9"/>
              <w:rPr>
                <w:rStyle w:val="18"/>
                <w:rFonts w:hint="eastAsia" w:asciiTheme="minorEastAsia" w:hAnsiTheme="minorEastAsia" w:eastAsiaTheme="minorEastAsia" w:cstheme="minorEastAsia"/>
                <w:b w:val="0"/>
                <w:spacing w:val="-4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0"/>
                <w:szCs w:val="20"/>
              </w:rPr>
              <w:t>通过“一事一议”财政奖补项目的实施，一是改善了农业生产基础条件，项目村农田用水得到保障。二是村容村貌得到改善，空气质量得到提高，保障了村民正常的生产生活。三是推进了新农村建设，促进了农村生产发展、生活宽裕、乡风文明、管理民主目标的实现。四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4C4C4C"/>
                <w:spacing w:val="0"/>
                <w:sz w:val="20"/>
                <w:szCs w:val="20"/>
              </w:rPr>
              <w:t>项目建设村民满意，未新增村级债务，未加重农民负担。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村内水渠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750米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750米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饮水管线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路灯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233盏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233盏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其它村容美容亮化设施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植树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28204株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28204株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村内活动场所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26619平方米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26619平方米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垃圾清运车辆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一事一议财政奖补资金的拨付使用率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督促各乡镇项目进展情况，确保项目时效性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确定的一事一议奖补项目目标任务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建立管护机制，落实主体责任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80%以上乡镇建立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85%以上乡镇建立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1D01910"/>
    <w:rsid w:val="04F01BF4"/>
    <w:rsid w:val="058056C3"/>
    <w:rsid w:val="091017DA"/>
    <w:rsid w:val="0CFE70EC"/>
    <w:rsid w:val="0E072CF2"/>
    <w:rsid w:val="0F183DC5"/>
    <w:rsid w:val="11DA0264"/>
    <w:rsid w:val="12B263C6"/>
    <w:rsid w:val="144C5BDC"/>
    <w:rsid w:val="16A27DF2"/>
    <w:rsid w:val="16B16886"/>
    <w:rsid w:val="187E004B"/>
    <w:rsid w:val="1CEC3952"/>
    <w:rsid w:val="1D1F113A"/>
    <w:rsid w:val="20894563"/>
    <w:rsid w:val="22B0346F"/>
    <w:rsid w:val="2336091F"/>
    <w:rsid w:val="28D167C1"/>
    <w:rsid w:val="2CD63AB3"/>
    <w:rsid w:val="2D760ACC"/>
    <w:rsid w:val="2DA75271"/>
    <w:rsid w:val="32B52058"/>
    <w:rsid w:val="343C2031"/>
    <w:rsid w:val="346F75F2"/>
    <w:rsid w:val="360954F9"/>
    <w:rsid w:val="37285E11"/>
    <w:rsid w:val="38B97856"/>
    <w:rsid w:val="3A27319C"/>
    <w:rsid w:val="3AFC47D8"/>
    <w:rsid w:val="3B42743C"/>
    <w:rsid w:val="42E94A70"/>
    <w:rsid w:val="434177EE"/>
    <w:rsid w:val="44AB66CB"/>
    <w:rsid w:val="4FFF45C7"/>
    <w:rsid w:val="51D571FD"/>
    <w:rsid w:val="54601360"/>
    <w:rsid w:val="55CC474C"/>
    <w:rsid w:val="5634760C"/>
    <w:rsid w:val="577C6CB4"/>
    <w:rsid w:val="591D327C"/>
    <w:rsid w:val="606A30C9"/>
    <w:rsid w:val="61860546"/>
    <w:rsid w:val="651D7388"/>
    <w:rsid w:val="66727274"/>
    <w:rsid w:val="67BC289A"/>
    <w:rsid w:val="6866037A"/>
    <w:rsid w:val="68D77659"/>
    <w:rsid w:val="69CE0682"/>
    <w:rsid w:val="6CCA79A2"/>
    <w:rsid w:val="6F412295"/>
    <w:rsid w:val="77BF0A69"/>
    <w:rsid w:val="78D8598D"/>
    <w:rsid w:val="7C38752F"/>
    <w:rsid w:val="7FD8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17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2019-01-15T13:34:02Z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