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2017年村级惠民生工程项目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奇台县五马场乡及访惠聚驻村工作队</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奇台县财政局</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720" w:firstLineChars="200"/>
        <w:jc w:val="left"/>
        <w:textAlignment w:val="auto"/>
        <w:outlineLvl w:val="9"/>
        <w:rPr>
          <w:rFonts w:hAnsi="宋体"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陈德生</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0"/>
          <w:szCs w:val="32"/>
          <w:lang w:eastAsia="zh-CN"/>
        </w:rPr>
      </w:pPr>
      <w:r>
        <w:rPr>
          <w:rFonts w:hint="eastAsia" w:ascii="仿宋_GB2312" w:eastAsia="仿宋_GB2312"/>
          <w:sz w:val="32"/>
          <w:szCs w:val="32"/>
          <w:lang w:eastAsia="zh-CN"/>
        </w:rPr>
        <w:t>各乡镇政府及各乡镇“访惠聚”驻村工作队基本职责：深刻学习领会习近平总书记</w:t>
      </w:r>
      <w:r>
        <w:rPr>
          <w:rFonts w:hint="eastAsia" w:ascii="仿宋_GB2312" w:eastAsia="仿宋_GB2312"/>
          <w:sz w:val="32"/>
          <w:szCs w:val="32"/>
          <w:lang w:val="en-US" w:eastAsia="zh-CN"/>
        </w:rPr>
        <w:t>2017</w:t>
      </w:r>
      <w:r>
        <w:rPr>
          <w:rFonts w:hint="eastAsia" w:ascii="仿宋_GB2312" w:eastAsia="仿宋_GB2312"/>
          <w:sz w:val="32"/>
          <w:szCs w:val="32"/>
          <w:lang w:eastAsia="zh-CN"/>
        </w:rPr>
        <w:t>年参加十二届全国人大五次会议新疆代表团审议时的重要讲话精神，牢牢把握自治区党委总体部署，围绕“一个总目标”，把维护社会稳定、建强基层组织、做好群众工作、落实惠民政策、拓宽致富门路、推进脱贫攻坚、办好实事好事、壮大党员队伍这“八项任务”落到实处，尤其在“访惠聚”驻村工作和“民族团结一家亲”活动中要讲究工作方法，进一步扎实做好群众工作，打牢稳定发展的群众基础。</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预期目标及阶段性目标：</w:t>
      </w:r>
      <w:r>
        <w:rPr>
          <w:rFonts w:hint="eastAsia" w:ascii="仿宋_GB2312" w:eastAsia="仿宋_GB2312"/>
          <w:sz w:val="32"/>
          <w:szCs w:val="32"/>
          <w:lang w:val="en-US" w:eastAsia="zh-CN"/>
        </w:rPr>
        <w:t xml:space="preserve"> 自治区2017年村级惠民生工程项目——奇台县五马场乡阿哈什胡拉克村村容村貌建设项目，</w:t>
      </w:r>
      <w:r>
        <w:rPr>
          <w:rFonts w:hint="eastAsia" w:ascii="仿宋_GB2312" w:eastAsia="仿宋_GB2312"/>
          <w:sz w:val="32"/>
          <w:szCs w:val="32"/>
          <w:lang w:eastAsia="zh-CN"/>
        </w:rPr>
        <w:t>该项目</w:t>
      </w:r>
      <w:r>
        <w:rPr>
          <w:rFonts w:hint="eastAsia" w:ascii="仿宋_GB2312" w:eastAsia="仿宋_GB2312"/>
          <w:sz w:val="32"/>
          <w:szCs w:val="32"/>
          <w:lang w:val="en-US" w:eastAsia="zh-CN"/>
        </w:rPr>
        <w:t>2017年9月20日开工实施，2017年10月9日竣工，总工期20天。昌吉州“访民情惠民生聚民心”驻村工作领导小组和改革委员会以昌州民办发【2017】48号文件进行任务实施计划通知，该项目主要用于五马场乡阿哈什胡拉克村安装路灯100盏。</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2017年村级惠民生工程项目——奇台县五马场乡阿哈什胡拉克村村容村貌建设项目总投资50万元，其中上级财政拨款50万元，无自筹资金。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五马场乡阿哈什胡拉克村村容村貌建设项目中标价49.52万元，2018年根据《奇台县五马场乡阿哈什胡拉克村村容村貌建设项目结算审查报告书》（宏昌咨询字【2018】第00722号）新疆宏昌建设工程项目管理有限公司出具《建设工程造价咨询审核定案书》审定造价值49.41万元。财政拨付项目资金49.41万元，该项目已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lang w:val="en-US" w:eastAsia="zh-CN"/>
        </w:rPr>
        <w:t>2017年村级惠民生工程项目——奇台县五马场乡阿哈什胡拉克村村容村貌建设项目按《关于印发奇台县加强涉农惠民补贴资金监管工作实施意见的通知》（</w:t>
      </w:r>
      <w:r>
        <w:rPr>
          <w:rFonts w:hint="eastAsia" w:ascii="仿宋_GB2312" w:hAnsi="仿宋_GB2312" w:eastAsia="仿宋_GB2312" w:cs="仿宋_GB2312"/>
          <w:sz w:val="32"/>
          <w:szCs w:val="32"/>
        </w:rPr>
        <w:t>奇党办〔2017〕30号</w:t>
      </w:r>
      <w:r>
        <w:rPr>
          <w:rFonts w:hint="eastAsia" w:ascii="仿宋_GB2312" w:hAnsi="仿宋_GB2312" w:eastAsia="仿宋_GB2312" w:cs="仿宋_GB2312"/>
          <w:sz w:val="32"/>
          <w:szCs w:val="32"/>
          <w:lang w:eastAsia="zh-CN"/>
        </w:rPr>
        <w:t>）管理办法执行。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Style w:val="18"/>
          <w:rFonts w:ascii="仿宋" w:hAnsi="仿宋" w:eastAsia="仿宋"/>
          <w:b w:val="0"/>
          <w:spacing w:val="-4"/>
          <w:sz w:val="32"/>
          <w:szCs w:val="32"/>
          <w:highlight w:val="yellow"/>
        </w:rPr>
      </w:pPr>
      <w:r>
        <w:rPr>
          <w:rFonts w:hint="eastAsia" w:ascii="仿宋_GB2312" w:eastAsia="仿宋_GB2312"/>
          <w:sz w:val="32"/>
          <w:szCs w:val="32"/>
          <w:lang w:val="en-US" w:eastAsia="zh-CN"/>
        </w:rPr>
        <w:t>2017年村级惠民生工程项目——奇台县五马场乡阿哈什胡拉克村村容村貌建设项目由乌鲁木齐紫金山照明工程有限公司以49.52万元中标价中标。该项目无变更。2017末该项目竣工验收并交付使用。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监督检查村（社区）存在问题的，除处理当事人外，还追究村（社区）主要负责人、乡镇相关站所、部门科室负责人的责任，根据存在问题的严重程度，还要追究乡镇、相关职能部门分管领导、主要领导的责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在各项涉农惠民补贴资金管理方面出现失职渎职等违规违纪行为的，纪检监察部门将依据上述部门、乡镇职责，根据《中国共产党纪律处分条例》《中国共产党问责条例》《财政违法行为处罚处分条例》及《农村基层干部廉洁履行职责若干规定(试行)》等规定依法依纪给予党纪政纪处理，情节严重的将移送司法机关。</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项目资金情况分析。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项目资金到位情况分析。</w:t>
      </w:r>
      <w:r>
        <w:rPr>
          <w:rFonts w:hint="eastAsia" w:ascii="仿宋_GB2312" w:eastAsia="仿宋_GB2312"/>
          <w:sz w:val="32"/>
          <w:szCs w:val="32"/>
          <w:lang w:val="en-US" w:eastAsia="zh-CN"/>
        </w:rPr>
        <w:t>昌吉州“访民情惠民生聚民心”驻村工作领导小组和改革委员会以昌州民办发【2017】48号文件进行任务实施计划通知</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2017年村级惠民生工程项目——五马场乡阿哈什胡拉克村村容村貌建设项目资金</w:t>
      </w:r>
      <w:r>
        <w:rPr>
          <w:rFonts w:hint="eastAsia" w:ascii="仿宋_GB2312" w:hAnsi="仿宋_GB2312" w:eastAsia="仿宋_GB2312" w:cs="仿宋_GB2312"/>
          <w:sz w:val="32"/>
          <w:szCs w:val="32"/>
        </w:rPr>
        <w:t>到位</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项目资金执行情况分析。资金拨付按实际工程进度，县财政局审核后及时拨付给乡镇进行报账。</w:t>
      </w:r>
      <w:r>
        <w:rPr>
          <w:rFonts w:hint="eastAsia" w:ascii="仿宋_GB2312" w:hAnsi="仿宋_GB2312" w:eastAsia="仿宋_GB2312" w:cs="仿宋_GB2312"/>
          <w:sz w:val="32"/>
          <w:szCs w:val="32"/>
          <w:lang w:eastAsia="zh-CN"/>
        </w:rPr>
        <w:t>截至目前，已拨付</w:t>
      </w:r>
      <w:r>
        <w:rPr>
          <w:rFonts w:hint="eastAsia" w:ascii="仿宋_GB2312" w:hAnsi="仿宋_GB2312" w:eastAsia="仿宋_GB2312" w:cs="仿宋_GB2312"/>
          <w:sz w:val="32"/>
          <w:szCs w:val="32"/>
          <w:lang w:val="en-US" w:eastAsia="zh-CN"/>
        </w:rPr>
        <w:t>49.41</w:t>
      </w:r>
      <w:r>
        <w:rPr>
          <w:rFonts w:hint="eastAsia" w:ascii="仿宋_GB2312" w:hAnsi="仿宋_GB2312" w:eastAsia="仿宋_GB2312" w:cs="仿宋_GB2312"/>
          <w:sz w:val="32"/>
          <w:szCs w:val="32"/>
          <w:lang w:eastAsia="zh-CN"/>
        </w:rPr>
        <w:t>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项目资金管理情况分析。在资金管理上强化责任意识，建立健全管理制度，落实配套资金，定期调度资金拨付情况，提高预算执行效率和资金使用效益，确保财政资金使用安全。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（1）项目完成数量。</w:t>
      </w:r>
      <w:r>
        <w:rPr>
          <w:rFonts w:hint="eastAsia" w:ascii="仿宋_GB2312" w:hAnsi="仿宋_GB2312" w:eastAsia="仿宋_GB2312" w:cs="仿宋_GB2312"/>
          <w:sz w:val="32"/>
          <w:szCs w:val="32"/>
          <w:lang w:eastAsia="zh-CN"/>
        </w:rPr>
        <w:t>已完工</w:t>
      </w:r>
      <w:r>
        <w:rPr>
          <w:rFonts w:hint="eastAsia" w:ascii="仿宋_GB2312" w:hAnsi="仿宋_GB2312" w:eastAsia="仿宋_GB2312" w:cs="仿宋_GB2312"/>
          <w:sz w:val="32"/>
          <w:szCs w:val="32"/>
          <w:lang w:val="en-US" w:eastAsia="zh-CN"/>
        </w:rPr>
        <w:t>1个项目。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项目完成质量。</w:t>
      </w:r>
      <w:r>
        <w:rPr>
          <w:rFonts w:hint="eastAsia" w:ascii="仿宋_GB2312" w:hAnsi="仿宋_GB2312" w:eastAsia="仿宋_GB2312" w:cs="仿宋_GB2312"/>
          <w:sz w:val="32"/>
          <w:szCs w:val="32"/>
          <w:lang w:eastAsia="zh-CN"/>
        </w:rPr>
        <w:t>已完工的项目已经村乡县三级验收合格并进行审计。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项目实施进度。</w:t>
      </w:r>
      <w:r>
        <w:rPr>
          <w:rFonts w:hint="eastAsia" w:ascii="仿宋_GB2312" w:hAnsi="仿宋_GB2312" w:eastAsia="仿宋_GB2312" w:cs="仿宋_GB2312"/>
          <w:sz w:val="32"/>
          <w:szCs w:val="32"/>
          <w:lang w:val="en-US" w:eastAsia="zh-CN"/>
        </w:rPr>
        <w:t>1个项目，完工1个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完成率达100%。</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（4）项目成本节约情况。</w:t>
      </w:r>
      <w:r>
        <w:rPr>
          <w:rFonts w:hint="eastAsia" w:ascii="仿宋_GB2312" w:hAnsi="仿宋_GB2312" w:eastAsia="仿宋_GB2312" w:cs="仿宋_GB2312"/>
          <w:sz w:val="32"/>
          <w:szCs w:val="32"/>
          <w:lang w:eastAsia="zh-CN"/>
        </w:rPr>
        <w:t>积极落实</w:t>
      </w:r>
      <w:r>
        <w:rPr>
          <w:rFonts w:hint="eastAsia" w:ascii="仿宋_GB2312" w:hAnsi="仿宋_GB2312" w:eastAsia="仿宋_GB2312" w:cs="仿宋_GB2312"/>
          <w:sz w:val="32"/>
          <w:szCs w:val="32"/>
        </w:rPr>
        <w:t>昌吉州落实自治区村级惠民生项目有关</w:t>
      </w:r>
      <w:r>
        <w:rPr>
          <w:rFonts w:hint="eastAsia" w:ascii="仿宋_GB2312" w:hAnsi="仿宋_GB2312" w:eastAsia="仿宋_GB2312" w:cs="仿宋_GB2312"/>
          <w:sz w:val="32"/>
          <w:szCs w:val="32"/>
          <w:lang w:eastAsia="zh-CN"/>
        </w:rPr>
        <w:t>优惠政策，在受理村级惠民生项目时，简化报批手续，减少中间环节，降低建设费用，提高服务效能，发挥项目资金的最大效益。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2.效益指标完成情况分析。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效益显著。重点解决了农村生产生活最急需，群众愿望最迫切的村内基础设施问题</w:t>
      </w:r>
      <w:r>
        <w:rPr>
          <w:rFonts w:hint="eastAsia" w:ascii="仿宋_GB2312" w:hAnsi="仿宋_GB2312" w:eastAsia="仿宋_GB2312" w:cs="仿宋_GB2312"/>
          <w:sz w:val="32"/>
          <w:szCs w:val="32"/>
          <w:lang w:eastAsia="zh-CN"/>
        </w:rPr>
        <w:t>；村容村貌和人居环境有了较大的改观，乡村旅游特色更为突出，村民三产服务的收入显著增加。</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社会效益显著。村民的生产生活条件明显提高，政府得民心，农民得实惠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村民满意度高；</w:t>
      </w:r>
      <w:r>
        <w:rPr>
          <w:rFonts w:hint="eastAsia" w:ascii="仿宋_GB2312" w:hAnsi="仿宋_GB2312" w:eastAsia="仿宋_GB2312" w:cs="仿宋_GB2312"/>
          <w:sz w:val="32"/>
          <w:szCs w:val="32"/>
        </w:rPr>
        <w:t>促进乡村经济发展模式和村民思想观念的转变。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生态效益显著。农村生活垃圾、污水处理能力得到提升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农村人居环境明显改善。</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实现</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项目建设单位</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管护机制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落实主体责任</w:t>
      </w:r>
      <w:r>
        <w:rPr>
          <w:rFonts w:hint="eastAsia" w:ascii="仿宋_GB2312" w:hAnsi="仿宋_GB2312" w:eastAsia="仿宋_GB2312" w:cs="仿宋_GB2312"/>
          <w:sz w:val="32"/>
          <w:szCs w:val="32"/>
          <w:lang w:eastAsia="zh-CN"/>
        </w:rPr>
        <w:t>，保证项目成果可持续发挥效用；</w:t>
      </w:r>
      <w:r>
        <w:rPr>
          <w:rFonts w:hint="eastAsia" w:ascii="仿宋_GB2312" w:hAnsi="仿宋_GB2312" w:eastAsia="仿宋_GB2312" w:cs="仿宋_GB2312"/>
          <w:sz w:val="32"/>
          <w:szCs w:val="32"/>
        </w:rPr>
        <w:t>农村人居环境明显改善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对环境可持续发展具有十分积极的意义</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群众满意度高</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通过实施项目，</w:t>
      </w:r>
      <w:r>
        <w:rPr>
          <w:rFonts w:hint="eastAsia" w:ascii="仿宋_GB2312" w:hAnsi="仿宋_GB2312" w:eastAsia="仿宋_GB2312" w:cs="仿宋_GB2312"/>
          <w:sz w:val="32"/>
          <w:szCs w:val="32"/>
        </w:rPr>
        <w:t>政府得民心，农民得实惠</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lang w:val="en-US" w:eastAsia="zh-CN"/>
        </w:rPr>
        <w:t>对项目区农牧民群众的调查，满意度较高。普遍认为项目实施对改善村容村貌、改善生态环境，提高村民生产生活质量作用很大，干群关系得到改善，村民之间关系变得和睦，基层党组织和村委会的威望得到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yellow"/>
        </w:rPr>
      </w:pPr>
      <w:r>
        <w:rPr>
          <w:rFonts w:hint="eastAsia" w:ascii="仿宋" w:hAnsi="仿宋" w:eastAsia="仿宋"/>
          <w:spacing w:val="-4"/>
          <w:sz w:val="32"/>
          <w:szCs w:val="32"/>
          <w:highlight w:val="none"/>
          <w:lang w:eastAsia="zh-CN"/>
        </w:rPr>
        <w:t>该</w:t>
      </w:r>
      <w:r>
        <w:rPr>
          <w:rFonts w:hint="eastAsia" w:ascii="仿宋" w:hAnsi="仿宋" w:eastAsia="仿宋"/>
          <w:spacing w:val="-4"/>
          <w:sz w:val="32"/>
          <w:szCs w:val="32"/>
          <w:highlight w:val="none"/>
        </w:rPr>
        <w:t>项目绩效目标已完成</w:t>
      </w:r>
      <w:r>
        <w:rPr>
          <w:rFonts w:hint="eastAsia" w:ascii="仿宋" w:hAnsi="仿宋" w:eastAsia="仿宋"/>
          <w:spacing w:val="-4"/>
          <w:sz w:val="32"/>
          <w:szCs w:val="32"/>
          <w:highlight w:val="none"/>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在</w:t>
      </w:r>
      <w:r>
        <w:rPr>
          <w:rFonts w:hint="eastAsia" w:ascii="仿宋_GB2312" w:eastAsia="仿宋_GB2312"/>
          <w:spacing w:val="-4"/>
          <w:sz w:val="32"/>
          <w:szCs w:val="32"/>
          <w:highlight w:val="none"/>
        </w:rPr>
        <w:t>资金安排、使用过程中</w:t>
      </w:r>
      <w:r>
        <w:rPr>
          <w:rFonts w:hint="eastAsia" w:ascii="仿宋_GB2312" w:eastAsia="仿宋_GB2312"/>
          <w:spacing w:val="-4"/>
          <w:sz w:val="32"/>
          <w:szCs w:val="32"/>
          <w:highlight w:val="none"/>
          <w:lang w:eastAsia="zh-CN"/>
        </w:rPr>
        <w:t>财政全额保障项目建设资金及时足额到位</w:t>
      </w:r>
      <w:r>
        <w:rPr>
          <w:rFonts w:hint="eastAsia" w:ascii="仿宋_GB2312" w:eastAsia="仿宋_GB2312"/>
          <w:spacing w:val="-4"/>
          <w:sz w:val="32"/>
          <w:szCs w:val="32"/>
          <w:highlight w:val="none"/>
          <w:lang w:val="en-US" w:eastAsia="zh-CN"/>
        </w:rPr>
        <w:t>,根据工程进度到施工现场</w:t>
      </w:r>
      <w:r>
        <w:rPr>
          <w:rFonts w:hint="eastAsia" w:ascii="仿宋_GB2312" w:eastAsia="仿宋_GB2312"/>
          <w:spacing w:val="-4"/>
          <w:sz w:val="32"/>
          <w:szCs w:val="32"/>
          <w:highlight w:val="none"/>
        </w:rPr>
        <w:t>勘验检查核实</w:t>
      </w:r>
      <w:r>
        <w:rPr>
          <w:rFonts w:hint="eastAsia" w:ascii="仿宋_GB2312" w:eastAsia="仿宋_GB2312"/>
          <w:spacing w:val="-4"/>
          <w:sz w:val="32"/>
          <w:szCs w:val="32"/>
          <w:highlight w:val="none"/>
          <w:lang w:val="en-US" w:eastAsia="zh-CN"/>
        </w:rPr>
        <w:t>，按工程进度拨付资金。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存在问题</w:t>
      </w:r>
      <w:r>
        <w:rPr>
          <w:rFonts w:hint="eastAsia" w:ascii="仿宋" w:hAnsi="仿宋" w:eastAsia="仿宋" w:cs="仿宋"/>
          <w:sz w:val="32"/>
          <w:szCs w:val="32"/>
          <w:lang w:val="en-US" w:eastAsia="zh-CN"/>
        </w:rPr>
        <w:t>:访惠聚项目进度较慢,各乡镇政府及村委会与访惠聚驻村工作队配合申请项目考虑不全面,部分乡镇政府及村委会申报的项目存在变更问题.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建议</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一是</w:t>
      </w:r>
      <w:r>
        <w:rPr>
          <w:rFonts w:hint="eastAsia" w:ascii="仿宋" w:hAnsi="仿宋" w:eastAsia="仿宋" w:cs="仿宋"/>
          <w:sz w:val="32"/>
          <w:szCs w:val="32"/>
        </w:rPr>
        <w:t>建议完善政策导向，准确把握政策实质；完善制度建设，加强各个环节监管</w:t>
      </w:r>
      <w:r>
        <w:rPr>
          <w:rFonts w:hint="eastAsia" w:ascii="仿宋" w:hAnsi="仿宋" w:eastAsia="仿宋" w:cs="仿宋"/>
          <w:sz w:val="32"/>
          <w:szCs w:val="32"/>
          <w:lang w:eastAsia="zh-CN"/>
        </w:rPr>
        <w:t>。二是</w:t>
      </w:r>
      <w:r>
        <w:rPr>
          <w:rFonts w:hint="eastAsia" w:ascii="仿宋" w:hAnsi="仿宋" w:eastAsia="仿宋" w:cs="仿宋"/>
          <w:sz w:val="32"/>
          <w:szCs w:val="32"/>
        </w:rPr>
        <w:t>安排一定比例资金用于项目工程后期维护</w:t>
      </w:r>
      <w:r>
        <w:rPr>
          <w:rFonts w:hint="eastAsia" w:ascii="仿宋" w:hAnsi="仿宋" w:eastAsia="仿宋" w:cs="仿宋"/>
          <w:sz w:val="32"/>
          <w:szCs w:val="32"/>
          <w:lang w:eastAsia="zh-CN"/>
        </w:rPr>
        <w:t>。三是加快项目实施进度。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val="0"/>
          <w:bCs/>
          <w:spacing w:val="-4"/>
          <w:sz w:val="32"/>
          <w:szCs w:val="32"/>
          <w:shd w:val="clear" w:color="auto" w:fill="auto"/>
          <w:lang w:eastAsia="zh-CN"/>
        </w:rPr>
      </w:pPr>
      <w:r>
        <w:rPr>
          <w:rFonts w:hint="eastAsia" w:ascii="楷体" w:hAnsi="楷体" w:eastAsia="楷体"/>
          <w:b w:val="0"/>
          <w:bCs/>
          <w:spacing w:val="-4"/>
          <w:sz w:val="32"/>
          <w:szCs w:val="32"/>
          <w:shd w:val="clear" w:color="auto" w:fill="auto"/>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根据新民办发【</w:t>
      </w:r>
      <w:r>
        <w:rPr>
          <w:rFonts w:hint="eastAsia" w:ascii="仿宋_GB2312" w:eastAsia="仿宋_GB2312"/>
          <w:spacing w:val="-4"/>
          <w:sz w:val="32"/>
          <w:szCs w:val="32"/>
          <w:highlight w:val="none"/>
          <w:lang w:val="en-US" w:eastAsia="zh-CN"/>
        </w:rPr>
        <w:t>2017</w:t>
      </w:r>
      <w:r>
        <w:rPr>
          <w:rFonts w:hint="eastAsia" w:ascii="仿宋_GB2312" w:eastAsia="仿宋_GB2312"/>
          <w:spacing w:val="-4"/>
          <w:sz w:val="32"/>
          <w:szCs w:val="32"/>
          <w:highlight w:val="none"/>
          <w:lang w:eastAsia="zh-CN"/>
        </w:rPr>
        <w:t>】</w:t>
      </w:r>
      <w:r>
        <w:rPr>
          <w:rFonts w:hint="eastAsia" w:ascii="仿宋_GB2312" w:eastAsia="仿宋_GB2312"/>
          <w:spacing w:val="-4"/>
          <w:sz w:val="32"/>
          <w:szCs w:val="32"/>
          <w:highlight w:val="none"/>
          <w:lang w:val="en-US" w:eastAsia="zh-CN"/>
        </w:rPr>
        <w:t>52 文件通知执行。奇台县发展和改革委员会以奇发改【2017】1142号文件进行招标批复。</w:t>
      </w:r>
      <w:r>
        <w:rPr>
          <w:rFonts w:hint="eastAsia" w:ascii="仿宋_GB2312" w:eastAsia="仿宋_GB2312"/>
          <w:sz w:val="32"/>
          <w:szCs w:val="32"/>
          <w:lang w:val="en-US" w:eastAsia="zh-CN"/>
        </w:rPr>
        <w:t>《奇台县五马场乡阿哈什胡拉克村村容村貌建设项目结算审查报告书》（宏昌咨询字【2018】第00722号）新疆宏昌建设工程项目管理有限公司出具《建设工程造价咨询审核定案书》</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2017年村级惠民生工程项目——五马场乡阿哈什胡拉克村村容村貌建设项目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奇台县五马场乡</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安装路灯100盏</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安装路灯100盏</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指标1：建设项目数量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7</w:t>
            </w:r>
            <w:r>
              <w:rPr>
                <w:rFonts w:hint="eastAsia" w:ascii="宋体" w:hAnsi="宋体" w:cs="宋体"/>
                <w:kern w:val="0"/>
                <w:sz w:val="20"/>
                <w:szCs w:val="20"/>
                <w:lang w:val="en-US" w:eastAsia="zh-CN"/>
              </w:rPr>
              <w:t>37</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中标价</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49.52</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49.41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指标1：设计功能实现率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受益人数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2353</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2353</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651</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lang w:val="en-US"/>
              </w:rPr>
            </w:pPr>
            <w:bookmarkStart w:id="0" w:name="_GoBack"/>
            <w:bookmarkEnd w:id="0"/>
            <w:r>
              <w:rPr>
                <w:rFonts w:hint="eastAsia" w:ascii="宋体" w:hAnsi="宋体" w:cs="宋体"/>
                <w:kern w:val="0"/>
                <w:sz w:val="20"/>
                <w:szCs w:val="20"/>
                <w:lang w:val="en-US" w:eastAsia="zh-CN"/>
              </w:rPr>
              <w:t>651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eastAsia="宋体" w:cs="宋体"/>
                <w:color w:val="000000"/>
                <w:kern w:val="0"/>
                <w:sz w:val="18"/>
                <w:szCs w:val="18"/>
              </w:rPr>
              <w:t>农村</w:t>
            </w:r>
            <w:r>
              <w:rPr>
                <w:rFonts w:hint="eastAsia" w:ascii="宋体" w:hAnsi="宋体" w:cs="宋体"/>
                <w:color w:val="000000"/>
                <w:kern w:val="0"/>
                <w:sz w:val="18"/>
                <w:szCs w:val="18"/>
                <w:lang w:val="en-US" w:eastAsia="zh-CN"/>
              </w:rPr>
              <w:t>生产</w:t>
            </w:r>
            <w:r>
              <w:rPr>
                <w:rFonts w:hint="eastAsia" w:ascii="宋体" w:hAnsi="宋体" w:eastAsia="宋体" w:cs="宋体"/>
                <w:color w:val="000000"/>
                <w:kern w:val="0"/>
                <w:sz w:val="18"/>
                <w:szCs w:val="18"/>
              </w:rPr>
              <w:t>环境得到一定改善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rPr>
              <w:t xml:space="preserve"> 指标1：</w:t>
            </w:r>
            <w:r>
              <w:rPr>
                <w:rFonts w:hint="eastAsia" w:ascii="宋体" w:hAnsi="宋体" w:eastAsia="宋体" w:cs="宋体"/>
                <w:color w:val="000000"/>
                <w:kern w:val="0"/>
                <w:sz w:val="18"/>
                <w:szCs w:val="18"/>
                <w:lang w:val="en-US"/>
              </w:rPr>
              <w:t>建立管护机制，落实主体责任</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kern w:val="0"/>
                <w:sz w:val="18"/>
                <w:szCs w:val="18"/>
                <w:lang w:val="en-US" w:eastAsia="zh-CN"/>
              </w:rPr>
              <w:t>100</w:t>
            </w:r>
            <w:r>
              <w:rPr>
                <w:rFonts w:hint="eastAsia" w:ascii="宋体" w:hAnsi="宋体" w:eastAsia="宋体" w:cs="宋体"/>
                <w:color w:val="000000"/>
                <w:kern w:val="0"/>
                <w:sz w:val="18"/>
                <w:szCs w:val="18"/>
                <w:lang w:val="en-US"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村民满意度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宋体-方正超大字符集">
    <w:altName w:val="宋体"/>
    <w:panose1 w:val="03000509000000000000"/>
    <w:charset w:val="86"/>
    <w:family w:val="auto"/>
    <w:pitch w:val="default"/>
    <w:sig w:usb0="00000000" w:usb1="0000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faul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Light">
    <w:altName w:val="黑体"/>
    <w:panose1 w:val="020B0502040204020203"/>
    <w:charset w:val="86"/>
    <w:family w:val="auto"/>
    <w:pitch w:val="default"/>
    <w:sig w:usb0="00000000" w:usb1="00000000" w:usb2="00000016" w:usb3="00000000" w:csb0="0004001F" w:csb1="00000000"/>
  </w:font>
  <w:font w:name="Microsoft JhengHei UI">
    <w:altName w:val="Microsoft JhengHei"/>
    <w:panose1 w:val="020B0604030504040204"/>
    <w:charset w:val="88"/>
    <w:family w:val="auto"/>
    <w:pitch w:val="default"/>
    <w:sig w:usb0="00000000" w:usb1="00000000" w:usb2="00000016" w:usb3="00000000" w:csb0="00100009" w:csb1="00000000"/>
  </w:font>
  <w:font w:name="Microsoft YaHei UI Light">
    <w:altName w:val="宋体"/>
    <w:panose1 w:val="020B0502040204020203"/>
    <w:charset w:val="86"/>
    <w:family w:val="auto"/>
    <w:pitch w:val="default"/>
    <w:sig w:usb0="00000000" w:usb1="00000000" w:usb2="00000016" w:usb3="00000000" w:csb0="0004001F" w:csb1="00000000"/>
  </w:font>
  <w:font w:name="Bahnschrift SemiLight Condensed">
    <w:altName w:val="Segoe UI Symbol"/>
    <w:panose1 w:val="020B0502040204020203"/>
    <w:charset w:val="00"/>
    <w:family w:val="auto"/>
    <w:pitch w:val="default"/>
    <w:sig w:usb0="00000000" w:usb1="00000000" w:usb2="00000000" w:usb3="00000000" w:csb0="2000019F" w:csb1="00000000"/>
  </w:font>
  <w:font w:name="Cambria Math">
    <w:panose1 w:val="02040503050406030204"/>
    <w:charset w:val="00"/>
    <w:family w:val="auto"/>
    <w:pitch w:val="default"/>
    <w:sig w:usb0="E00002FF" w:usb1="420024FF" w:usb2="00000000" w:usb3="00000000" w:csb0="2000019F" w:csb1="00000000"/>
  </w:font>
  <w:font w:name="Microsoft JhengHei">
    <w:panose1 w:val="020B0604030504040204"/>
    <w:charset w:val="88"/>
    <w:family w:val="auto"/>
    <w:pitch w:val="default"/>
    <w:sig w:usb0="00000087" w:usb1="28AF4000" w:usb2="00000016" w:usb3="00000000" w:csb0="00100009"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9D10342"/>
    <w:rsid w:val="0CFE70EC"/>
    <w:rsid w:val="0E4E1398"/>
    <w:rsid w:val="11DA0264"/>
    <w:rsid w:val="144C5BDC"/>
    <w:rsid w:val="15EA774E"/>
    <w:rsid w:val="1F8A2BAC"/>
    <w:rsid w:val="265B46E0"/>
    <w:rsid w:val="273E7642"/>
    <w:rsid w:val="34482FE9"/>
    <w:rsid w:val="3D5B1B0F"/>
    <w:rsid w:val="4AD3647B"/>
    <w:rsid w:val="4B866CA2"/>
    <w:rsid w:val="4FAF11EE"/>
    <w:rsid w:val="50B7340E"/>
    <w:rsid w:val="577D31F8"/>
    <w:rsid w:val="5C227A41"/>
    <w:rsid w:val="5C601E77"/>
    <w:rsid w:val="606A30C9"/>
    <w:rsid w:val="65CE4AFC"/>
    <w:rsid w:val="6C0B0108"/>
    <w:rsid w:val="6F887570"/>
    <w:rsid w:val="6F9615AD"/>
    <w:rsid w:val="72A73673"/>
    <w:rsid w:val="7CF779A7"/>
    <w:rsid w:val="7D42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2019-01-15T11:04:19Z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