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农业博览中心项目</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eastAsia="zh-CN"/>
        </w:rPr>
        <w:t>农业技术推广中心</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农业局</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路建阁</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月 </w:t>
      </w:r>
      <w:r>
        <w:rPr>
          <w:rFonts w:hint="eastAsia" w:hAnsi="宋体" w:eastAsia="仿宋_GB2312" w:cs="宋体"/>
          <w:kern w:val="0"/>
          <w:sz w:val="36"/>
          <w:szCs w:val="36"/>
          <w:lang w:val="en-US" w:eastAsia="zh-CN"/>
        </w:rPr>
        <w:t>18</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 w:hAnsi="仿宋" w:eastAsia="仿宋" w:cs="仿宋"/>
          <w:bCs/>
          <w:kern w:val="0"/>
          <w:sz w:val="32"/>
          <w:szCs w:val="32"/>
        </w:rPr>
        <w:t>农业新技术的引进、试验、示范、推广、农业有害生物及灾害的监测、预报、防治和处理，病虫害和植物疫情处理，农产品生产过程中的标准化推广和质量安全的监管与配套服务，农业资源，农业生态环境和农业投入品使用监测，农业公共信息服务，农民培训教育服务、完成主管部门或上级业务部门交务的其他工作。</w:t>
      </w:r>
      <w:r>
        <w:rPr>
          <w:rFonts w:hint="eastAsia" w:ascii="仿宋" w:hAnsi="仿宋" w:eastAsia="仿宋" w:cs="仿宋"/>
          <w:sz w:val="32"/>
          <w:szCs w:val="32"/>
          <w:lang w:val="en-US" w:eastAsia="zh-CN"/>
        </w:rPr>
        <w:t>推广种植业技术，促进农业发展种植业技术实验示范，种植业技术推广体系管理，种植业技术培</w:t>
      </w:r>
      <w:r>
        <w:rPr>
          <w:rFonts w:hint="eastAsia" w:ascii="仿宋_GB2312" w:hAnsi="仿宋_GB2312" w:eastAsia="仿宋_GB2312" w:cs="仿宋_GB2312"/>
          <w:sz w:val="32"/>
          <w:szCs w:val="32"/>
          <w:lang w:val="en-US" w:eastAsia="zh-CN"/>
        </w:rPr>
        <w:t>训及技术服务、农产品检测。</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40" w:lineRule="exact"/>
        <w:ind w:firstLine="564" w:firstLineChars="181"/>
        <w:rPr>
          <w:rStyle w:val="17"/>
          <w:rFonts w:hint="eastAsia"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（包括预期目标及阶段性目标；项目基本性质、用途和主要内容、涉及范围）</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eastAsia="zh-CN"/>
        </w:rPr>
        <w:t>奇台县农业博览中心项目建设地点位于城南新区沙区路以西，主要建设内容是框架结构农博中心土建施工及水电暖安装等，其中：自来水安装工程</w:t>
      </w:r>
      <w:r>
        <w:rPr>
          <w:rStyle w:val="17"/>
          <w:rFonts w:hint="eastAsia" w:ascii="仿宋" w:hAnsi="仿宋" w:eastAsia="仿宋"/>
          <w:b w:val="0"/>
          <w:spacing w:val="-4"/>
          <w:sz w:val="32"/>
          <w:szCs w:val="32"/>
          <w:highlight w:val="none"/>
          <w:lang w:val="en-US" w:eastAsia="zh-CN"/>
        </w:rPr>
        <w:t>2011年4月起施工，7月完工，</w:t>
      </w:r>
      <w:r>
        <w:rPr>
          <w:rStyle w:val="17"/>
          <w:rFonts w:hint="eastAsia" w:ascii="仿宋" w:hAnsi="仿宋" w:eastAsia="仿宋"/>
          <w:b w:val="0"/>
          <w:spacing w:val="-4"/>
          <w:sz w:val="32"/>
          <w:szCs w:val="32"/>
          <w:highlight w:val="none"/>
          <w:lang w:eastAsia="zh-CN"/>
        </w:rPr>
        <w:t>污水排放工程</w:t>
      </w:r>
      <w:r>
        <w:rPr>
          <w:rStyle w:val="17"/>
          <w:rFonts w:hint="eastAsia" w:ascii="仿宋" w:hAnsi="仿宋" w:eastAsia="仿宋"/>
          <w:b w:val="0"/>
          <w:spacing w:val="-4"/>
          <w:sz w:val="32"/>
          <w:szCs w:val="32"/>
          <w:highlight w:val="none"/>
          <w:lang w:val="en-US" w:eastAsia="zh-CN"/>
        </w:rPr>
        <w:t>2014年4月起施工，9月完工，</w:t>
      </w:r>
      <w:r>
        <w:rPr>
          <w:rStyle w:val="17"/>
          <w:rFonts w:hint="eastAsia" w:ascii="仿宋" w:hAnsi="仿宋" w:eastAsia="仿宋"/>
          <w:b w:val="0"/>
          <w:spacing w:val="-4"/>
          <w:sz w:val="32"/>
          <w:szCs w:val="32"/>
          <w:highlight w:val="none"/>
          <w:lang w:eastAsia="zh-CN"/>
        </w:rPr>
        <w:t>热计量节能工程于</w:t>
      </w:r>
      <w:r>
        <w:rPr>
          <w:rStyle w:val="17"/>
          <w:rFonts w:hint="eastAsia" w:ascii="仿宋" w:hAnsi="仿宋" w:eastAsia="仿宋"/>
          <w:b w:val="0"/>
          <w:spacing w:val="-4"/>
          <w:sz w:val="32"/>
          <w:szCs w:val="32"/>
          <w:highlight w:val="none"/>
          <w:lang w:val="en-US" w:eastAsia="zh-CN"/>
        </w:rPr>
        <w:t>2011年4月起施工，6月完工，该工程主要用于农业博览中心自来水安装，污水排放、热计量节施工安装。</w:t>
      </w:r>
    </w:p>
    <w:p>
      <w:pPr>
        <w:spacing w:beforeLines="0" w:afterLines="0"/>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hint="eastAsia"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（包括财政资金、自筹资金等）</w:t>
      </w:r>
    </w:p>
    <w:p>
      <w:pPr>
        <w:spacing w:line="540" w:lineRule="exact"/>
        <w:ind w:firstLine="624" w:firstLineChars="200"/>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eastAsia="zh-CN"/>
        </w:rPr>
        <w:t>奇台县农业博览中心项目总投资</w:t>
      </w:r>
      <w:r>
        <w:rPr>
          <w:rStyle w:val="17"/>
          <w:rFonts w:hint="eastAsia" w:ascii="仿宋" w:hAnsi="仿宋" w:eastAsia="仿宋"/>
          <w:b w:val="0"/>
          <w:spacing w:val="-4"/>
          <w:sz w:val="32"/>
          <w:szCs w:val="32"/>
          <w:highlight w:val="none"/>
          <w:lang w:val="en-US" w:eastAsia="zh-CN"/>
        </w:rPr>
        <w:t>1840万元，其中：</w:t>
      </w:r>
      <w:r>
        <w:rPr>
          <w:rStyle w:val="17"/>
          <w:rFonts w:hint="eastAsia" w:ascii="仿宋" w:hAnsi="仿宋" w:eastAsia="仿宋"/>
          <w:b w:val="0"/>
          <w:spacing w:val="-4"/>
          <w:sz w:val="32"/>
          <w:szCs w:val="32"/>
          <w:highlight w:val="none"/>
        </w:rPr>
        <w:t>自来水安装工程、污水排放工程、热计量节能工程</w:t>
      </w:r>
      <w:r>
        <w:rPr>
          <w:rStyle w:val="17"/>
          <w:rFonts w:hint="eastAsia" w:ascii="仿宋" w:hAnsi="仿宋" w:eastAsia="仿宋"/>
          <w:b w:val="0"/>
          <w:spacing w:val="-4"/>
          <w:sz w:val="32"/>
          <w:szCs w:val="32"/>
          <w:highlight w:val="none"/>
          <w:lang w:eastAsia="zh-CN"/>
        </w:rPr>
        <w:t>总投资</w:t>
      </w:r>
      <w:r>
        <w:rPr>
          <w:rStyle w:val="17"/>
          <w:rFonts w:hint="eastAsia" w:ascii="仿宋" w:hAnsi="仿宋" w:eastAsia="仿宋"/>
          <w:b w:val="0"/>
          <w:spacing w:val="-4"/>
          <w:sz w:val="32"/>
          <w:szCs w:val="32"/>
          <w:highlight w:val="none"/>
          <w:lang w:val="en-US" w:eastAsia="zh-CN"/>
        </w:rPr>
        <w:t>94.41万，</w:t>
      </w:r>
    </w:p>
    <w:p>
      <w:pPr>
        <w:spacing w:line="540" w:lineRule="exact"/>
        <w:ind w:firstLine="624" w:firstLineChars="200"/>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val="en-US" w:eastAsia="zh-CN"/>
        </w:rPr>
        <w:t>其中上级财政拨款安排43.92万元。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hint="eastAsia"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（主要是指财政资金）</w:t>
      </w:r>
    </w:p>
    <w:p>
      <w:pPr>
        <w:spacing w:line="540" w:lineRule="exact"/>
        <w:ind w:firstLine="624" w:firstLineChars="200"/>
        <w:rPr>
          <w:rStyle w:val="17"/>
          <w:rFonts w:hint="eastAsia" w:ascii="仿宋" w:hAnsi="仿宋" w:eastAsia="仿宋"/>
          <w:b w:val="0"/>
          <w:spacing w:val="-4"/>
          <w:sz w:val="32"/>
          <w:szCs w:val="32"/>
          <w:highlight w:val="yellow"/>
          <w:lang w:eastAsia="zh-CN"/>
        </w:rPr>
      </w:pPr>
      <w:r>
        <w:rPr>
          <w:rStyle w:val="17"/>
          <w:rFonts w:hint="eastAsia" w:ascii="仿宋" w:hAnsi="仿宋" w:eastAsia="仿宋"/>
          <w:b w:val="0"/>
          <w:spacing w:val="-4"/>
          <w:sz w:val="32"/>
          <w:szCs w:val="32"/>
          <w:highlight w:val="none"/>
          <w:lang w:eastAsia="zh-CN"/>
        </w:rPr>
        <w:t>财政拔款</w:t>
      </w:r>
      <w:r>
        <w:rPr>
          <w:rStyle w:val="17"/>
          <w:rFonts w:hint="eastAsia" w:ascii="仿宋" w:hAnsi="仿宋" w:eastAsia="仿宋"/>
          <w:b w:val="0"/>
          <w:spacing w:val="-4"/>
          <w:sz w:val="32"/>
          <w:szCs w:val="32"/>
          <w:highlight w:val="none"/>
          <w:lang w:val="en-US" w:eastAsia="zh-CN"/>
        </w:rPr>
        <w:t>43.92万元。主要用结算</w:t>
      </w:r>
      <w:r>
        <w:rPr>
          <w:rStyle w:val="17"/>
          <w:rFonts w:hint="eastAsia" w:ascii="仿宋" w:hAnsi="仿宋" w:eastAsia="仿宋"/>
          <w:b w:val="0"/>
          <w:spacing w:val="-4"/>
          <w:sz w:val="32"/>
          <w:szCs w:val="32"/>
          <w:highlight w:val="none"/>
          <w:lang w:eastAsia="zh-CN"/>
        </w:rPr>
        <w:t>农业博览中心自</w:t>
      </w:r>
      <w:r>
        <w:rPr>
          <w:rStyle w:val="17"/>
          <w:rFonts w:hint="eastAsia" w:ascii="仿宋" w:hAnsi="仿宋" w:eastAsia="仿宋"/>
          <w:b w:val="0"/>
          <w:spacing w:val="-4"/>
          <w:sz w:val="32"/>
          <w:szCs w:val="32"/>
          <w:highlight w:val="none"/>
        </w:rPr>
        <w:t>来水安装工程、污水排放工程、热计量节能工程</w:t>
      </w:r>
      <w:r>
        <w:rPr>
          <w:rStyle w:val="17"/>
          <w:rFonts w:hint="eastAsia" w:ascii="仿宋" w:hAnsi="仿宋" w:eastAsia="仿宋"/>
          <w:b w:val="0"/>
          <w:spacing w:val="-4"/>
          <w:sz w:val="32"/>
          <w:szCs w:val="32"/>
          <w:highlight w:val="none"/>
          <w:lang w:eastAsia="zh-CN"/>
        </w:rPr>
        <w:t>款</w:t>
      </w:r>
      <w:r>
        <w:rPr>
          <w:rStyle w:val="17"/>
          <w:rFonts w:hint="eastAsia" w:ascii="仿宋" w:hAnsi="仿宋" w:eastAsia="仿宋"/>
          <w:b w:val="0"/>
          <w:spacing w:val="-4"/>
          <w:sz w:val="32"/>
          <w:szCs w:val="32"/>
          <w:highlight w:val="none"/>
          <w:lang w:val="en-US" w:eastAsia="zh-CN"/>
        </w:rPr>
        <w:t>，</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hint="eastAsia"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（包括管理制度、办法的制定及执行情况）</w:t>
      </w:r>
    </w:p>
    <w:p>
      <w:pPr>
        <w:spacing w:line="540" w:lineRule="exact"/>
        <w:ind w:firstLine="624" w:firstLineChars="200"/>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根据《会计法》《资金管理办法》，严格执行财务管理办法执行。</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24" w:firstLineChars="200"/>
        <w:rPr>
          <w:rStyle w:val="17"/>
          <w:rFonts w:hint="eastAsia"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（包括项目投标情况、调整情况、完成验收等）</w:t>
      </w:r>
    </w:p>
    <w:p>
      <w:pPr>
        <w:spacing w:line="540" w:lineRule="exact"/>
        <w:ind w:firstLine="624" w:firstLineChars="200"/>
        <w:rPr>
          <w:rStyle w:val="17"/>
          <w:rFonts w:hint="eastAsia"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奇台县农业博览中心自来水安装工程</w:t>
      </w:r>
      <w:r>
        <w:rPr>
          <w:rStyle w:val="17"/>
          <w:rFonts w:hint="eastAsia" w:ascii="仿宋" w:hAnsi="仿宋" w:eastAsia="仿宋"/>
          <w:b w:val="0"/>
          <w:spacing w:val="-4"/>
          <w:sz w:val="32"/>
          <w:szCs w:val="32"/>
          <w:highlight w:val="none"/>
          <w:lang w:eastAsia="zh-CN"/>
        </w:rPr>
        <w:t>合同价</w:t>
      </w:r>
      <w:r>
        <w:rPr>
          <w:rStyle w:val="17"/>
          <w:rFonts w:hint="eastAsia" w:ascii="仿宋" w:hAnsi="仿宋" w:eastAsia="仿宋"/>
          <w:b w:val="0"/>
          <w:spacing w:val="-4"/>
          <w:sz w:val="32"/>
          <w:szCs w:val="32"/>
          <w:highlight w:val="none"/>
          <w:lang w:val="en-US" w:eastAsia="zh-CN"/>
        </w:rPr>
        <w:t>52.7万元，审计价51.56万元，</w:t>
      </w:r>
      <w:r>
        <w:rPr>
          <w:rStyle w:val="17"/>
          <w:rFonts w:hint="eastAsia" w:ascii="仿宋" w:hAnsi="仿宋" w:eastAsia="仿宋"/>
          <w:b w:val="0"/>
          <w:spacing w:val="-4"/>
          <w:sz w:val="32"/>
          <w:szCs w:val="32"/>
          <w:highlight w:val="none"/>
        </w:rPr>
        <w:t>污水排放工程</w:t>
      </w:r>
      <w:r>
        <w:rPr>
          <w:rStyle w:val="17"/>
          <w:rFonts w:hint="eastAsia" w:ascii="仿宋" w:hAnsi="仿宋" w:eastAsia="仿宋"/>
          <w:b w:val="0"/>
          <w:spacing w:val="-4"/>
          <w:sz w:val="32"/>
          <w:szCs w:val="32"/>
          <w:highlight w:val="none"/>
          <w:lang w:eastAsia="zh-CN"/>
        </w:rPr>
        <w:t>合同价</w:t>
      </w:r>
      <w:r>
        <w:rPr>
          <w:rStyle w:val="17"/>
          <w:rFonts w:hint="eastAsia" w:ascii="仿宋" w:hAnsi="仿宋" w:eastAsia="仿宋"/>
          <w:b w:val="0"/>
          <w:spacing w:val="-4"/>
          <w:sz w:val="32"/>
          <w:szCs w:val="32"/>
          <w:highlight w:val="none"/>
          <w:lang w:val="en-US" w:eastAsia="zh-CN"/>
        </w:rPr>
        <w:t>14.92万元，审计价14.92万元，</w:t>
      </w:r>
      <w:r>
        <w:rPr>
          <w:rStyle w:val="17"/>
          <w:rFonts w:hint="eastAsia" w:ascii="仿宋" w:hAnsi="仿宋" w:eastAsia="仿宋"/>
          <w:b w:val="0"/>
          <w:spacing w:val="-4"/>
          <w:sz w:val="32"/>
          <w:szCs w:val="32"/>
          <w:highlight w:val="none"/>
        </w:rPr>
        <w:t>热计量节能工程</w:t>
      </w:r>
      <w:r>
        <w:rPr>
          <w:rStyle w:val="17"/>
          <w:rFonts w:hint="eastAsia" w:ascii="仿宋" w:hAnsi="仿宋" w:eastAsia="仿宋"/>
          <w:b w:val="0"/>
          <w:spacing w:val="-4"/>
          <w:sz w:val="32"/>
          <w:szCs w:val="32"/>
          <w:highlight w:val="none"/>
          <w:lang w:eastAsia="zh-CN"/>
        </w:rPr>
        <w:t>合同价</w:t>
      </w:r>
      <w:r>
        <w:rPr>
          <w:rStyle w:val="17"/>
          <w:rFonts w:hint="eastAsia" w:ascii="仿宋" w:hAnsi="仿宋" w:eastAsia="仿宋"/>
          <w:b w:val="0"/>
          <w:spacing w:val="-4"/>
          <w:sz w:val="32"/>
          <w:szCs w:val="32"/>
          <w:highlight w:val="none"/>
          <w:lang w:val="en-US" w:eastAsia="zh-CN"/>
        </w:rPr>
        <w:t>27.93万元，审计价27.93万元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24" w:firstLineChars="200"/>
        <w:rPr>
          <w:rStyle w:val="17"/>
          <w:rFonts w:hint="eastAsia"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（包括项目管理制度建设、日常检查监督管理等情况）</w:t>
      </w:r>
    </w:p>
    <w:p>
      <w:pPr>
        <w:keepNext w:val="0"/>
        <w:keepLines w:val="0"/>
        <w:widowControl/>
        <w:suppressLineNumbers w:val="0"/>
        <w:ind w:firstLine="900" w:firstLineChars="300"/>
        <w:jc w:val="left"/>
        <w:rPr>
          <w:rFonts w:hint="eastAsia" w:ascii="仿宋" w:hAnsi="仿宋" w:eastAsia="仿宋" w:cs="仿宋"/>
          <w:sz w:val="30"/>
          <w:szCs w:val="30"/>
        </w:rPr>
      </w:pPr>
      <w:r>
        <w:rPr>
          <w:rFonts w:hint="eastAsia" w:ascii="仿宋" w:hAnsi="仿宋" w:eastAsia="仿宋" w:cs="仿宋"/>
          <w:kern w:val="0"/>
          <w:sz w:val="30"/>
          <w:szCs w:val="30"/>
          <w:lang w:val="en-US" w:eastAsia="zh-CN" w:bidi="ar"/>
        </w:rPr>
        <w:t>项目资金管理严格执行国家有关财务规章制度规定的开支范围与开支标准，按照国家政府采购的有关规定执行，对项目的实施实行项目管理责任制，项目负责人根据通过的项目计划和实施方案，具体组织项目实施。财务室按照财务、预算管理制度，对专项资金项目的实施、付款等环节进行管理和监督，接受财政、审计和文化等部门的监督检查。</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hint="eastAsia"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（将项目支出后的实际状况与申报的绩效目标对比，从项目的经济性、效率性、有益性和可持续性等方面进行量化、具体分析。）</w:t>
      </w:r>
    </w:p>
    <w:p>
      <w:pPr>
        <w:spacing w:line="540" w:lineRule="exact"/>
        <w:ind w:firstLine="564" w:firstLineChars="181"/>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rPr>
        <w:t>农业博览中心自来水安装、污水排放、热计量工程面积解决办公用房人数</w:t>
      </w:r>
      <w:r>
        <w:rPr>
          <w:rStyle w:val="17"/>
          <w:rFonts w:hint="eastAsia" w:ascii="仿宋" w:hAnsi="仿宋" w:eastAsia="仿宋"/>
          <w:b w:val="0"/>
          <w:spacing w:val="-4"/>
          <w:sz w:val="32"/>
          <w:szCs w:val="32"/>
          <w:highlight w:val="none"/>
          <w:lang w:eastAsia="zh-CN"/>
        </w:rPr>
        <w:t>大于</w:t>
      </w:r>
      <w:r>
        <w:rPr>
          <w:rStyle w:val="17"/>
          <w:rFonts w:hint="eastAsia" w:ascii="仿宋" w:hAnsi="仿宋" w:eastAsia="仿宋"/>
          <w:b w:val="0"/>
          <w:spacing w:val="-4"/>
          <w:sz w:val="32"/>
          <w:szCs w:val="32"/>
          <w:highlight w:val="none"/>
          <w:lang w:val="en-US" w:eastAsia="zh-CN"/>
        </w:rPr>
        <w:t>94人，</w:t>
      </w:r>
      <w:r>
        <w:rPr>
          <w:rStyle w:val="17"/>
          <w:rFonts w:hint="eastAsia" w:ascii="仿宋" w:hAnsi="仿宋" w:eastAsia="仿宋"/>
          <w:b w:val="0"/>
          <w:spacing w:val="-4"/>
          <w:sz w:val="32"/>
          <w:szCs w:val="32"/>
          <w:highlight w:val="none"/>
        </w:rPr>
        <w:t>业务保障能力综合利用率</w:t>
      </w:r>
      <w:r>
        <w:rPr>
          <w:rStyle w:val="17"/>
          <w:rFonts w:hint="eastAsia" w:ascii="仿宋" w:hAnsi="仿宋" w:eastAsia="仿宋"/>
          <w:b w:val="0"/>
          <w:spacing w:val="-4"/>
          <w:sz w:val="32"/>
          <w:szCs w:val="32"/>
          <w:highlight w:val="none"/>
          <w:lang w:eastAsia="zh-CN"/>
        </w:rPr>
        <w:t>大于</w:t>
      </w:r>
      <w:r>
        <w:rPr>
          <w:rStyle w:val="17"/>
          <w:rFonts w:hint="eastAsia" w:ascii="仿宋" w:hAnsi="仿宋" w:eastAsia="仿宋"/>
          <w:b w:val="0"/>
          <w:spacing w:val="-4"/>
          <w:sz w:val="32"/>
          <w:szCs w:val="32"/>
          <w:highlight w:val="none"/>
          <w:lang w:val="en-US" w:eastAsia="zh-CN"/>
        </w:rPr>
        <w:t>100%，</w:t>
      </w:r>
      <w:r>
        <w:rPr>
          <w:rStyle w:val="17"/>
          <w:rFonts w:hint="eastAsia" w:ascii="仿宋" w:hAnsi="仿宋" w:eastAsia="仿宋"/>
          <w:b w:val="0"/>
          <w:spacing w:val="-4"/>
          <w:sz w:val="32"/>
          <w:szCs w:val="32"/>
          <w:highlight w:val="none"/>
        </w:rPr>
        <w:t>受益职工满意度</w:t>
      </w:r>
      <w:r>
        <w:rPr>
          <w:rStyle w:val="17"/>
          <w:rFonts w:hint="eastAsia" w:ascii="仿宋" w:hAnsi="仿宋" w:eastAsia="仿宋"/>
          <w:b w:val="0"/>
          <w:spacing w:val="-4"/>
          <w:sz w:val="32"/>
          <w:szCs w:val="32"/>
          <w:highlight w:val="none"/>
          <w:lang w:eastAsia="zh-CN"/>
        </w:rPr>
        <w:t>大于</w:t>
      </w:r>
      <w:r>
        <w:rPr>
          <w:rStyle w:val="17"/>
          <w:rFonts w:hint="eastAsia" w:ascii="仿宋" w:hAnsi="仿宋" w:eastAsia="仿宋"/>
          <w:b w:val="0"/>
          <w:spacing w:val="-4"/>
          <w:sz w:val="32"/>
          <w:szCs w:val="32"/>
          <w:highlight w:val="none"/>
          <w:lang w:val="en-US" w:eastAsia="zh-CN"/>
        </w:rPr>
        <w:t>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none"/>
        </w:rPr>
      </w:pPr>
      <w:r>
        <w:rPr>
          <w:rFonts w:hint="eastAsia" w:ascii="仿宋" w:hAnsi="仿宋" w:eastAsia="仿宋"/>
          <w:spacing w:val="-4"/>
          <w:sz w:val="32"/>
          <w:szCs w:val="32"/>
          <w:highlight w:val="none"/>
        </w:rPr>
        <w:t>（如项目绩效目标已完成，可不用填写该部分。）</w:t>
      </w:r>
    </w:p>
    <w:p>
      <w:pPr>
        <w:spacing w:line="540" w:lineRule="exact"/>
        <w:ind w:firstLine="564" w:firstLineChars="181"/>
        <w:rPr>
          <w:rFonts w:hint="eastAsia" w:ascii="仿宋" w:hAnsi="仿宋" w:eastAsia="仿宋"/>
          <w:spacing w:val="-4"/>
          <w:sz w:val="32"/>
          <w:szCs w:val="32"/>
          <w:highlight w:val="none"/>
          <w:lang w:val="en-US" w:eastAsia="zh-CN"/>
        </w:rPr>
      </w:pPr>
      <w:r>
        <w:rPr>
          <w:rStyle w:val="17"/>
          <w:rFonts w:hint="eastAsia" w:ascii="仿宋" w:hAnsi="仿宋" w:eastAsia="仿宋"/>
          <w:b w:val="0"/>
          <w:spacing w:val="-4"/>
          <w:sz w:val="32"/>
          <w:szCs w:val="32"/>
          <w:highlight w:val="none"/>
        </w:rPr>
        <w:t>农业博览中心自来水安装、污水排放、热计量工程</w:t>
      </w:r>
      <w:r>
        <w:rPr>
          <w:rStyle w:val="17"/>
          <w:rFonts w:hint="eastAsia" w:ascii="仿宋" w:hAnsi="仿宋" w:eastAsia="仿宋"/>
          <w:b w:val="0"/>
          <w:spacing w:val="-4"/>
          <w:sz w:val="32"/>
          <w:szCs w:val="32"/>
          <w:highlight w:val="none"/>
          <w:lang w:eastAsia="zh-CN"/>
        </w:rPr>
        <w:t>已完工，已审计，剩余工程款未结算。</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1497" w:firstLineChars="478"/>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rPr>
      </w:pPr>
      <w:r>
        <w:rPr>
          <w:rFonts w:hint="eastAsia" w:ascii="仿宋_GB2312" w:eastAsia="仿宋_GB2312"/>
          <w:spacing w:val="-4"/>
          <w:sz w:val="32"/>
          <w:szCs w:val="32"/>
          <w:highlight w:val="none"/>
        </w:rPr>
        <w:t>（包括资金安排、使用过程中的经验、做法、存在问题、改进措施和有关建议等）</w:t>
      </w:r>
    </w:p>
    <w:p>
      <w:pPr>
        <w:spacing w:line="540" w:lineRule="exact"/>
        <w:ind w:firstLine="564" w:firstLineChars="181"/>
        <w:rPr>
          <w:rFonts w:hint="eastAsia" w:ascii="仿宋_GB2312" w:eastAsia="仿宋"/>
          <w:spacing w:val="-4"/>
          <w:sz w:val="32"/>
          <w:szCs w:val="32"/>
          <w:highlight w:val="none"/>
          <w:lang w:eastAsia="zh-CN"/>
        </w:rPr>
      </w:pPr>
      <w:r>
        <w:rPr>
          <w:rStyle w:val="17"/>
          <w:rFonts w:hint="eastAsia" w:ascii="仿宋" w:hAnsi="仿宋" w:eastAsia="仿宋"/>
          <w:b w:val="0"/>
          <w:spacing w:val="-4"/>
          <w:sz w:val="32"/>
          <w:szCs w:val="32"/>
          <w:highlight w:val="none"/>
          <w:lang w:eastAsia="zh-CN"/>
        </w:rPr>
        <w:t>财政拔款资金主要用于</w:t>
      </w:r>
      <w:r>
        <w:rPr>
          <w:rStyle w:val="17"/>
          <w:rFonts w:hint="eastAsia" w:ascii="仿宋" w:hAnsi="仿宋" w:eastAsia="仿宋"/>
          <w:b w:val="0"/>
          <w:spacing w:val="-4"/>
          <w:sz w:val="32"/>
          <w:szCs w:val="32"/>
          <w:highlight w:val="none"/>
        </w:rPr>
        <w:t>农业博览中心自来水安装、污水排放、热计量工程</w:t>
      </w:r>
      <w:r>
        <w:rPr>
          <w:rStyle w:val="17"/>
          <w:rFonts w:hint="eastAsia" w:ascii="仿宋" w:hAnsi="仿宋" w:eastAsia="仿宋"/>
          <w:b w:val="0"/>
          <w:spacing w:val="-4"/>
          <w:sz w:val="32"/>
          <w:szCs w:val="32"/>
          <w:highlight w:val="none"/>
          <w:lang w:eastAsia="zh-CN"/>
        </w:rPr>
        <w:t>款结算。目前，还有剩余工程款未结算。</w:t>
      </w:r>
    </w:p>
    <w:p>
      <w:pPr>
        <w:spacing w:line="54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（三）其他</w:t>
      </w:r>
    </w:p>
    <w:p>
      <w:pPr>
        <w:spacing w:line="540" w:lineRule="exact"/>
        <w:ind w:firstLine="567" w:firstLineChars="181"/>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highlight w:val="none"/>
        </w:rPr>
      </w:pPr>
      <w:r>
        <w:rPr>
          <w:rFonts w:hint="eastAsia" w:ascii="仿宋_GB2312" w:eastAsia="仿宋_GB2312"/>
          <w:spacing w:val="-4"/>
          <w:sz w:val="32"/>
          <w:szCs w:val="32"/>
          <w:highlight w:val="none"/>
        </w:rPr>
        <w:t>包括评价基础数据收集、资料来源和依据等佐证材料情况，项目现场勘验检查核实等情况</w:t>
      </w:r>
    </w:p>
    <w:p>
      <w:pPr>
        <w:ind w:firstLine="624" w:firstLineChars="200"/>
        <w:rPr>
          <w:rFonts w:hint="eastAsia" w:ascii="仿宋_GB2312" w:eastAsia="仿宋_GB2312"/>
          <w:spacing w:val="-4"/>
          <w:sz w:val="32"/>
          <w:szCs w:val="32"/>
          <w:highlight w:val="none"/>
          <w:lang w:eastAsia="zh-CN"/>
        </w:rPr>
      </w:pPr>
      <w:r>
        <w:rPr>
          <w:rFonts w:hint="eastAsia" w:ascii="仿宋_GB2312" w:eastAsia="仿宋_GB2312"/>
          <w:spacing w:val="-4"/>
          <w:sz w:val="32"/>
          <w:szCs w:val="32"/>
          <w:highlight w:val="none"/>
          <w:lang w:eastAsia="zh-CN"/>
        </w:rPr>
        <w:t>此项目解决的职工的办公场地，改善了职工的办公条件，能有效地开展业务工作。</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952"/>
        <w:gridCol w:w="188"/>
        <w:gridCol w:w="1360"/>
        <w:gridCol w:w="99"/>
        <w:gridCol w:w="981"/>
        <w:gridCol w:w="880"/>
        <w:gridCol w:w="1805"/>
        <w:gridCol w:w="255"/>
        <w:gridCol w:w="1780"/>
      </w:tblGrid>
      <w:tr>
        <w:tblPrEx>
          <w:tblLayout w:type="fixed"/>
          <w:tblCellMar>
            <w:top w:w="0" w:type="dxa"/>
            <w:left w:w="108" w:type="dxa"/>
            <w:bottom w:w="0" w:type="dxa"/>
            <w:right w:w="108" w:type="dxa"/>
          </w:tblCellMar>
        </w:tblPrEx>
        <w:trPr>
          <w:trHeight w:val="405" w:hRule="atLeast"/>
        </w:trPr>
        <w:tc>
          <w:tcPr>
            <w:tcW w:w="9020" w:type="dxa"/>
            <w:gridSpan w:val="10"/>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10"/>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gridSpan w:val="2"/>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gridSpan w:val="2"/>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gridSpan w:val="2"/>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农业博览中心</w:t>
            </w:r>
          </w:p>
        </w:tc>
      </w:tr>
      <w:tr>
        <w:tblPrEx>
          <w:tblLayout w:type="fixed"/>
          <w:tblCellMar>
            <w:top w:w="0" w:type="dxa"/>
            <w:left w:w="108" w:type="dxa"/>
            <w:bottom w:w="0" w:type="dxa"/>
            <w:right w:w="108" w:type="dxa"/>
          </w:tblCellMar>
        </w:tblPrEx>
        <w:trPr>
          <w:trHeight w:val="435" w:hRule="atLeast"/>
        </w:trPr>
        <w:tc>
          <w:tcPr>
            <w:tcW w:w="322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6"/>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奇台县农业技术推广中心</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0"/>
                <w:szCs w:val="20"/>
              </w:rPr>
            </w:pPr>
            <w:r>
              <w:rPr>
                <w:rFonts w:hint="eastAsia" w:ascii="宋体" w:hAnsi="宋体" w:eastAsia="宋体" w:cs="宋体"/>
                <w:i w:val="0"/>
                <w:color w:val="000000"/>
                <w:kern w:val="0"/>
                <w:sz w:val="22"/>
                <w:szCs w:val="22"/>
                <w:u w:val="none"/>
                <w:lang w:val="en-US" w:eastAsia="zh-CN" w:bidi="ar"/>
              </w:rPr>
              <w:t>其中：财政拨款</w:t>
            </w:r>
          </w:p>
        </w:tc>
        <w:tc>
          <w:tcPr>
            <w:tcW w:w="196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43.92</w:t>
            </w:r>
          </w:p>
        </w:tc>
        <w:tc>
          <w:tcPr>
            <w:tcW w:w="2060"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0"/>
                <w:szCs w:val="20"/>
              </w:rPr>
            </w:pPr>
            <w:r>
              <w:rPr>
                <w:rFonts w:hint="eastAsia" w:ascii="宋体" w:hAnsi="宋体" w:eastAsia="宋体" w:cs="宋体"/>
                <w:i w:val="0"/>
                <w:color w:val="000000"/>
                <w:kern w:val="0"/>
                <w:sz w:val="22"/>
                <w:szCs w:val="22"/>
                <w:u w:val="none"/>
                <w:lang w:val="en-US" w:eastAsia="zh-CN" w:bidi="ar"/>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43.92</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0"/>
                <w:szCs w:val="20"/>
              </w:rPr>
            </w:pPr>
            <w:r>
              <w:rPr>
                <w:rFonts w:hint="eastAsia" w:ascii="宋体" w:hAnsi="宋体" w:eastAsia="宋体" w:cs="宋体"/>
                <w:i w:val="0"/>
                <w:color w:val="000000"/>
                <w:kern w:val="0"/>
                <w:sz w:val="22"/>
                <w:szCs w:val="22"/>
                <w:u w:val="none"/>
                <w:lang w:val="en-US" w:eastAsia="zh-CN" w:bidi="ar"/>
              </w:rPr>
              <w:t>其他资金</w:t>
            </w:r>
          </w:p>
        </w:tc>
        <w:tc>
          <w:tcPr>
            <w:tcW w:w="1960"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cs="宋体"/>
                <w:kern w:val="0"/>
                <w:sz w:val="20"/>
                <w:szCs w:val="20"/>
              </w:rPr>
            </w:pPr>
          </w:p>
        </w:tc>
        <w:tc>
          <w:tcPr>
            <w:tcW w:w="2060" w:type="dxa"/>
            <w:gridSpan w:val="2"/>
            <w:tcBorders>
              <w:top w:val="nil"/>
              <w:left w:val="nil"/>
              <w:bottom w:val="nil"/>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0"/>
                <w:szCs w:val="20"/>
              </w:rPr>
            </w:pPr>
            <w:r>
              <w:rPr>
                <w:rFonts w:hint="eastAsia" w:ascii="宋体" w:hAnsi="宋体" w:eastAsia="宋体" w:cs="宋体"/>
                <w:i w:val="0"/>
                <w:color w:val="000000"/>
                <w:kern w:val="0"/>
                <w:sz w:val="22"/>
                <w:szCs w:val="22"/>
                <w:u w:val="none"/>
                <w:lang w:val="en-US" w:eastAsia="zh-CN" w:bidi="ar"/>
              </w:rPr>
              <w:t>其他资金</w:t>
            </w:r>
          </w:p>
        </w:tc>
        <w:tc>
          <w:tcPr>
            <w:tcW w:w="1780" w:type="dxa"/>
            <w:tcBorders>
              <w:top w:val="nil"/>
              <w:left w:val="nil"/>
              <w:bottom w:val="single" w:color="auto" w:sz="4" w:space="0"/>
              <w:right w:val="single" w:color="auto" w:sz="4" w:space="0"/>
            </w:tcBorders>
            <w:shd w:val="clear" w:color="auto" w:fill="auto"/>
            <w:vAlign w:val="center"/>
          </w:tcPr>
          <w:p>
            <w:pPr>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预期目标</w:t>
            </w:r>
          </w:p>
        </w:tc>
        <w:tc>
          <w:tcPr>
            <w:tcW w:w="3840" w:type="dxa"/>
            <w:gridSpan w:val="3"/>
            <w:tcBorders>
              <w:top w:val="single" w:color="auto" w:sz="4" w:space="0"/>
              <w:left w:val="nil"/>
              <w:bottom w:val="nil"/>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实际完成目标</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bookmarkStart w:id="0" w:name="_GoBack" w:colFirst="1" w:colLast="6"/>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6"/>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2017年度奇台县农业博览中心自来水安装工程、污水排放工程、热计量节能工程按期全面完工。</w:t>
            </w:r>
          </w:p>
        </w:tc>
        <w:tc>
          <w:tcPr>
            <w:tcW w:w="3840" w:type="dxa"/>
            <w:gridSpan w:val="3"/>
            <w:tcBorders>
              <w:top w:val="single" w:color="auto" w:sz="4" w:space="0"/>
              <w:left w:val="nil"/>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2017年度奇台县农业博览中心自来水安装工程、污水排放工程、热计量节能工程按期100%完工</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952"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一级指标</w:t>
            </w:r>
          </w:p>
        </w:tc>
        <w:tc>
          <w:tcPr>
            <w:tcW w:w="1647"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4"/>
                <w:szCs w:val="24"/>
                <w:u w:val="none"/>
                <w:lang w:val="en-US" w:eastAsia="zh-CN" w:bidi="ar"/>
              </w:rPr>
              <w:t>二级指标</w:t>
            </w:r>
          </w:p>
        </w:tc>
        <w:tc>
          <w:tcPr>
            <w:tcW w:w="186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4"/>
                <w:szCs w:val="24"/>
                <w:u w:val="none"/>
                <w:lang w:val="en-US" w:eastAsia="zh-CN" w:bidi="ar"/>
              </w:rPr>
              <w:t>三级指标</w:t>
            </w:r>
          </w:p>
        </w:tc>
        <w:tc>
          <w:tcPr>
            <w:tcW w:w="1805"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预期指标值（包含数字及文字描述）</w:t>
            </w:r>
          </w:p>
        </w:tc>
        <w:tc>
          <w:tcPr>
            <w:tcW w:w="203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4"/>
                <w:szCs w:val="24"/>
                <w:u w:val="none"/>
                <w:lang w:val="en-US" w:eastAsia="zh-CN" w:bidi="ar"/>
              </w:rPr>
              <w:t>实际完成指标值（包含数字及文字描述）</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952" w:type="dxa"/>
            <w:vMerge w:val="restart"/>
            <w:tcBorders>
              <w:top w:val="nil"/>
              <w:left w:val="nil"/>
              <w:bottom w:val="nil"/>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项目完成指标</w:t>
            </w:r>
          </w:p>
        </w:tc>
        <w:tc>
          <w:tcPr>
            <w:tcW w:w="1647" w:type="dxa"/>
            <w:gridSpan w:val="3"/>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数量指标</w:t>
            </w: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w:t>
            </w:r>
          </w:p>
        </w:tc>
        <w:tc>
          <w:tcPr>
            <w:tcW w:w="1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农业博览中心自来水安装、污水排放、热计量工程面积</w:t>
            </w:r>
          </w:p>
        </w:tc>
        <w:tc>
          <w:tcPr>
            <w:tcW w:w="203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≥9212平方米</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质量指标</w:t>
            </w: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w:t>
            </w:r>
          </w:p>
        </w:tc>
        <w:tc>
          <w:tcPr>
            <w:tcW w:w="1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农业博览中心自来水安装、污水排放、热计量验收合格率</w:t>
            </w:r>
          </w:p>
        </w:tc>
        <w:tc>
          <w:tcPr>
            <w:tcW w:w="203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时效指标</w:t>
            </w: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w:t>
            </w:r>
          </w:p>
        </w:tc>
        <w:tc>
          <w:tcPr>
            <w:tcW w:w="1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农业博览中心自来水安装、污水排放、热计量按期完成率</w:t>
            </w:r>
          </w:p>
        </w:tc>
        <w:tc>
          <w:tcPr>
            <w:tcW w:w="203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成本指标</w:t>
            </w: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w:t>
            </w:r>
          </w:p>
        </w:tc>
        <w:tc>
          <w:tcPr>
            <w:tcW w:w="1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农业博览中心自来水安装、污水排放、热计量总投资</w:t>
            </w:r>
          </w:p>
        </w:tc>
        <w:tc>
          <w:tcPr>
            <w:tcW w:w="203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≥43.92万元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tcBorders>
              <w:top w:val="nil"/>
              <w:left w:val="single" w:color="auto" w:sz="4" w:space="0"/>
              <w:bottom w:val="single" w:color="000000"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w:t>
            </w: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宋体" w:hAnsi="宋体" w:cs="宋体"/>
                <w:kern w:val="0"/>
                <w:sz w:val="20"/>
                <w:szCs w:val="20"/>
              </w:rPr>
            </w:pPr>
          </w:p>
        </w:tc>
        <w:tc>
          <w:tcPr>
            <w:tcW w:w="1805" w:type="dxa"/>
            <w:tcBorders>
              <w:top w:val="nil"/>
              <w:left w:val="nil"/>
              <w:bottom w:val="single" w:color="auto" w:sz="4" w:space="0"/>
              <w:right w:val="single" w:color="auto" w:sz="4" w:space="0"/>
            </w:tcBorders>
            <w:shd w:val="clear" w:color="auto" w:fill="auto"/>
            <w:vAlign w:val="center"/>
          </w:tcPr>
          <w:p>
            <w:pPr>
              <w:jc w:val="cente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项目效果指标</w:t>
            </w:r>
          </w:p>
        </w:tc>
        <w:tc>
          <w:tcPr>
            <w:tcW w:w="1647" w:type="dxa"/>
            <w:gridSpan w:val="3"/>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经济效益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社会效益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w:t>
            </w:r>
          </w:p>
        </w:tc>
        <w:tc>
          <w:tcPr>
            <w:tcW w:w="1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解决办公用房人数</w:t>
            </w:r>
          </w:p>
        </w:tc>
        <w:tc>
          <w:tcPr>
            <w:tcW w:w="203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≥91人</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1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业务保障能力</w:t>
            </w:r>
          </w:p>
        </w:tc>
        <w:tc>
          <w:tcPr>
            <w:tcW w:w="203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生态效益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可持续影响</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w:t>
            </w:r>
          </w:p>
        </w:tc>
        <w:tc>
          <w:tcPr>
            <w:tcW w:w="1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综合利用率</w:t>
            </w:r>
          </w:p>
        </w:tc>
        <w:tc>
          <w:tcPr>
            <w:tcW w:w="203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p>
        </w:tc>
        <w:tc>
          <w:tcPr>
            <w:tcW w:w="1647" w:type="dxa"/>
            <w:gridSpan w:val="3"/>
            <w:tcBorders>
              <w:top w:val="nil"/>
              <w:left w:val="single" w:color="auto" w:sz="4" w:space="0"/>
              <w:bottom w:val="single" w:color="000000"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w:t>
            </w: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宋体" w:hAnsi="宋体" w:cs="宋体"/>
                <w:kern w:val="0"/>
                <w:sz w:val="20"/>
                <w:szCs w:val="20"/>
              </w:rPr>
            </w:pPr>
          </w:p>
        </w:tc>
        <w:tc>
          <w:tcPr>
            <w:tcW w:w="1805"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满意度</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1647" w:type="dxa"/>
            <w:gridSpan w:val="3"/>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满意度指标</w:t>
            </w: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w:t>
            </w:r>
          </w:p>
        </w:tc>
        <w:tc>
          <w:tcPr>
            <w:tcW w:w="1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受益职工满意度</w:t>
            </w:r>
          </w:p>
        </w:tc>
        <w:tc>
          <w:tcPr>
            <w:tcW w:w="203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1805" w:type="dxa"/>
            <w:tcBorders>
              <w:top w:val="nil"/>
              <w:left w:val="nil"/>
              <w:bottom w:val="single" w:color="auto" w:sz="4" w:space="0"/>
              <w:right w:val="single" w:color="auto" w:sz="4" w:space="0"/>
            </w:tcBorders>
            <w:shd w:val="clear" w:color="auto" w:fill="auto"/>
            <w:vAlign w:val="center"/>
          </w:tcPr>
          <w:p>
            <w:pPr>
              <w:jc w:val="cente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cs="宋体"/>
                <w:kern w:val="0"/>
                <w:sz w:val="20"/>
                <w:szCs w:val="20"/>
              </w:rPr>
            </w:pPr>
          </w:p>
        </w:tc>
        <w:tc>
          <w:tcPr>
            <w:tcW w:w="1647" w:type="dxa"/>
            <w:gridSpan w:val="3"/>
            <w:vMerge w:val="continue"/>
            <w:tcBorders>
              <w:top w:val="nil"/>
              <w:left w:val="single" w:color="auto" w:sz="4" w:space="0"/>
              <w:bottom w:val="single" w:color="000000" w:sz="4" w:space="0"/>
              <w:right w:val="single" w:color="auto" w:sz="4" w:space="0"/>
            </w:tcBorders>
            <w:vAlign w:val="center"/>
          </w:tcPr>
          <w:p>
            <w:pPr>
              <w:jc w:val="center"/>
              <w:rPr>
                <w:rFonts w:ascii="宋体" w:hAnsi="宋体" w:cs="宋体"/>
                <w:kern w:val="0"/>
                <w:sz w:val="20"/>
                <w:szCs w:val="20"/>
              </w:rPr>
            </w:pP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1805" w:type="dxa"/>
            <w:tcBorders>
              <w:top w:val="nil"/>
              <w:left w:val="nil"/>
              <w:bottom w:val="single" w:color="auto" w:sz="4" w:space="0"/>
              <w:right w:val="single" w:color="auto" w:sz="4" w:space="0"/>
            </w:tcBorders>
            <w:shd w:val="clear" w:color="auto" w:fill="auto"/>
            <w:vAlign w:val="center"/>
          </w:tcPr>
          <w:p>
            <w:pPr>
              <w:jc w:val="cente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52"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cs="宋体"/>
                <w:kern w:val="0"/>
                <w:sz w:val="20"/>
                <w:szCs w:val="20"/>
              </w:rPr>
            </w:pPr>
          </w:p>
        </w:tc>
        <w:tc>
          <w:tcPr>
            <w:tcW w:w="1647" w:type="dxa"/>
            <w:gridSpan w:val="3"/>
            <w:tcBorders>
              <w:top w:val="nil"/>
              <w:left w:val="single" w:color="auto" w:sz="4" w:space="0"/>
              <w:bottom w:val="single" w:color="000000"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w:t>
            </w: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宋体" w:hAnsi="宋体" w:cs="宋体"/>
                <w:kern w:val="0"/>
                <w:sz w:val="20"/>
                <w:szCs w:val="20"/>
              </w:rPr>
            </w:pPr>
          </w:p>
        </w:tc>
        <w:tc>
          <w:tcPr>
            <w:tcW w:w="1805" w:type="dxa"/>
            <w:tcBorders>
              <w:top w:val="nil"/>
              <w:left w:val="nil"/>
              <w:bottom w:val="single" w:color="auto" w:sz="4" w:space="0"/>
              <w:right w:val="single" w:color="auto" w:sz="4" w:space="0"/>
            </w:tcBorders>
            <w:shd w:val="clear" w:color="auto" w:fill="auto"/>
            <w:vAlign w:val="center"/>
          </w:tcPr>
          <w:p>
            <w:pPr>
              <w:jc w:val="center"/>
              <w:rPr>
                <w:rFonts w:ascii="宋体" w:hAnsi="宋体" w:cs="宋体"/>
                <w:kern w:val="0"/>
                <w:sz w:val="20"/>
                <w:szCs w:val="20"/>
              </w:rPr>
            </w:pPr>
          </w:p>
        </w:tc>
        <w:tc>
          <w:tcPr>
            <w:tcW w:w="2035" w:type="dxa"/>
            <w:gridSpan w:val="2"/>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460" w:type="dxa"/>
            <w:gridSpan w:val="6"/>
            <w:tcBorders>
              <w:top w:val="nil"/>
              <w:left w:val="single" w:color="auto" w:sz="4" w:space="0"/>
              <w:bottom w:val="single" w:color="000000" w:sz="4" w:space="0"/>
              <w:right w:val="single" w:color="auto" w:sz="4" w:space="0"/>
            </w:tcBorders>
            <w:vAlign w:val="top"/>
          </w:tcPr>
          <w:p>
            <w:pPr>
              <w:keepNext w:val="0"/>
              <w:keepLines w:val="0"/>
              <w:widowControl/>
              <w:suppressLineNumbers w:val="0"/>
              <w:jc w:val="left"/>
              <w:textAlignment w:val="top"/>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2017年度奇台县农业博览中心自来水安装工程、污水排放工程、热计量节能工程按期全面完工。</w:t>
            </w:r>
          </w:p>
        </w:tc>
        <w:tc>
          <w:tcPr>
            <w:tcW w:w="3840" w:type="dxa"/>
            <w:gridSpan w:val="3"/>
            <w:tcBorders>
              <w:top w:val="nil"/>
              <w:left w:val="nil"/>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2017年度奇台县农业博览中心自来水安装工程、污水排放工程、热计量节能工程按期100%完工</w:t>
            </w:r>
          </w:p>
        </w:tc>
      </w:tr>
      <w:bookmarkEnd w:id="0"/>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5F971E7"/>
    <w:rsid w:val="0CD57CA7"/>
    <w:rsid w:val="0CFE70EC"/>
    <w:rsid w:val="0E530F3C"/>
    <w:rsid w:val="11DA0264"/>
    <w:rsid w:val="12496217"/>
    <w:rsid w:val="12974284"/>
    <w:rsid w:val="144C5BDC"/>
    <w:rsid w:val="1988695B"/>
    <w:rsid w:val="1AFB6168"/>
    <w:rsid w:val="1B854B54"/>
    <w:rsid w:val="23C93286"/>
    <w:rsid w:val="27715C73"/>
    <w:rsid w:val="28CD518A"/>
    <w:rsid w:val="2A8302C5"/>
    <w:rsid w:val="30CB20CE"/>
    <w:rsid w:val="3CB90966"/>
    <w:rsid w:val="3FEA5560"/>
    <w:rsid w:val="40202386"/>
    <w:rsid w:val="42B82CC6"/>
    <w:rsid w:val="461B264D"/>
    <w:rsid w:val="4BB1424C"/>
    <w:rsid w:val="4F8D5955"/>
    <w:rsid w:val="518B5381"/>
    <w:rsid w:val="56CA4403"/>
    <w:rsid w:val="60651D04"/>
    <w:rsid w:val="606A30C9"/>
    <w:rsid w:val="622A5C9C"/>
    <w:rsid w:val="654A63A0"/>
    <w:rsid w:val="72DB3AF3"/>
    <w:rsid w:val="74891666"/>
    <w:rsid w:val="7A2F4B95"/>
    <w:rsid w:val="7F132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uiPriority w:val="9"/>
    <w:rPr>
      <w:rFonts w:asciiTheme="majorHAnsi" w:hAnsiTheme="majorHAnsi" w:eastAsiaTheme="majorEastAsia"/>
      <w:b/>
      <w:bCs/>
      <w:i/>
      <w:iCs/>
      <w:sz w:val="28"/>
      <w:szCs w:val="28"/>
    </w:rPr>
  </w:style>
  <w:style w:type="character" w:customStyle="1" w:styleId="22">
    <w:name w:val="标题 3 Char"/>
    <w:basedOn w:val="16"/>
    <w:link w:val="4"/>
    <w:semiHidden/>
    <w:uiPriority w:val="9"/>
    <w:rPr>
      <w:rFonts w:asciiTheme="majorHAnsi" w:hAnsiTheme="majorHAnsi" w:eastAsiaTheme="majorEastAsia"/>
      <w:b/>
      <w:bCs/>
      <w:sz w:val="26"/>
      <w:szCs w:val="26"/>
    </w:rPr>
  </w:style>
  <w:style w:type="character" w:customStyle="1" w:styleId="23">
    <w:name w:val="标题 4 Char"/>
    <w:basedOn w:val="16"/>
    <w:link w:val="5"/>
    <w:semiHidden/>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uiPriority w:val="9"/>
    <w:rPr>
      <w:b/>
      <w:bCs/>
    </w:rPr>
  </w:style>
  <w:style w:type="character" w:customStyle="1" w:styleId="26">
    <w:name w:val="标题 7 Char"/>
    <w:basedOn w:val="16"/>
    <w:link w:val="8"/>
    <w:semiHidden/>
    <w:uiPriority w:val="9"/>
    <w:rPr>
      <w:sz w:val="24"/>
      <w:szCs w:val="24"/>
    </w:rPr>
  </w:style>
  <w:style w:type="character" w:customStyle="1" w:styleId="27">
    <w:name w:val="标题 8 Char"/>
    <w:basedOn w:val="16"/>
    <w:link w:val="9"/>
    <w:semiHidden/>
    <w:uiPriority w:val="9"/>
    <w:rPr>
      <w:i/>
      <w:iCs/>
      <w:sz w:val="24"/>
      <w:szCs w:val="24"/>
    </w:rPr>
  </w:style>
  <w:style w:type="character" w:customStyle="1" w:styleId="28">
    <w:name w:val="标题 9 Char"/>
    <w:basedOn w:val="16"/>
    <w:link w:val="10"/>
    <w:semiHidden/>
    <w:uiPriority w:val="9"/>
    <w:rPr>
      <w:rFonts w:asciiTheme="majorHAnsi" w:hAnsiTheme="majorHAnsi" w:eastAsiaTheme="majorEastAsia"/>
    </w:rPr>
  </w:style>
  <w:style w:type="character" w:customStyle="1" w:styleId="29">
    <w:name w:val="标题 Char"/>
    <w:basedOn w:val="16"/>
    <w:link w:val="15"/>
    <w:uiPriority w:val="10"/>
    <w:rPr>
      <w:rFonts w:asciiTheme="majorHAnsi" w:hAnsiTheme="majorHAnsi" w:eastAsiaTheme="majorEastAsia"/>
      <w:b/>
      <w:bCs/>
      <w:kern w:val="28"/>
      <w:sz w:val="32"/>
      <w:szCs w:val="32"/>
    </w:rPr>
  </w:style>
  <w:style w:type="character" w:customStyle="1" w:styleId="30">
    <w:name w:val="副标题 Char"/>
    <w:basedOn w:val="16"/>
    <w:link w:val="14"/>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uiPriority w:val="99"/>
    <w:rPr>
      <w:rFonts w:ascii="Calibri" w:hAnsi="Calibri" w:eastAsia="宋体"/>
      <w:kern w:val="2"/>
      <w:sz w:val="18"/>
      <w:szCs w:val="18"/>
    </w:rPr>
  </w:style>
  <w:style w:type="character" w:customStyle="1" w:styleId="44">
    <w:name w:val="页脚 Char"/>
    <w:basedOn w:val="16"/>
    <w:link w:val="12"/>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2019-01-13T12:20:00Z</cp:lastPrinted>
  <dcterms:modified xsi:type="dcterms:W3CDTF">2019-01-15T14:34:34Z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