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奇台县财政项目支出绩效自评报告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both"/>
        <w:rPr>
          <w:rFonts w:ascii="方正小标宋_GBK" w:hAnsi="宋体" w:eastAsia="方正小标宋_GBK" w:cs="宋体"/>
          <w:kern w:val="0"/>
          <w:sz w:val="36"/>
          <w:szCs w:val="36"/>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项目名称：奇台县西地镇桥子村集贸市场</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实施单位（公章）：奇台县西地镇人民政府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w:t>
      </w:r>
      <w:r>
        <w:rPr>
          <w:rFonts w:hint="eastAsia" w:hAnsi="宋体" w:eastAsia="仿宋_GB2312" w:cs="宋体"/>
          <w:kern w:val="0"/>
          <w:sz w:val="36"/>
          <w:szCs w:val="36"/>
          <w:lang w:val="en-US" w:eastAsia="zh-CN"/>
        </w:rPr>
        <w:t>奇台县西地镇人民政府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项目负责人（签章）：郭雷</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 xml:space="preserve">填报时间： </w:t>
      </w:r>
      <w:r>
        <w:rPr>
          <w:rFonts w:hint="eastAsia" w:hAnsi="宋体" w:eastAsia="仿宋_GB2312" w:cs="宋体"/>
          <w:kern w:val="0"/>
          <w:sz w:val="36"/>
          <w:szCs w:val="36"/>
          <w:lang w:val="en-US" w:eastAsia="zh-CN"/>
        </w:rPr>
        <w:t>2018</w:t>
      </w:r>
      <w:bookmarkStart w:id="0" w:name="_GoBack"/>
      <w:bookmarkEnd w:id="0"/>
      <w:r>
        <w:rPr>
          <w:rFonts w:hint="eastAsia" w:hAnsi="宋体" w:eastAsia="仿宋_GB2312" w:cs="宋体"/>
          <w:kern w:val="0"/>
          <w:sz w:val="36"/>
          <w:szCs w:val="36"/>
        </w:rPr>
        <w:t xml:space="preserve">年 </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 xml:space="preserve"> 月</w:t>
      </w:r>
      <w:r>
        <w:rPr>
          <w:rFonts w:hint="eastAsia" w:hAnsi="宋体" w:eastAsia="仿宋_GB2312" w:cs="宋体"/>
          <w:kern w:val="0"/>
          <w:sz w:val="36"/>
          <w:szCs w:val="36"/>
          <w:lang w:val="en-US" w:eastAsia="zh-CN"/>
        </w:rPr>
        <w:t>20</w:t>
      </w:r>
      <w:r>
        <w:rPr>
          <w:rFonts w:hint="eastAsia" w:hAnsi="宋体" w:eastAsia="仿宋_GB2312" w:cs="宋体"/>
          <w:kern w:val="0"/>
          <w:sz w:val="36"/>
          <w:szCs w:val="36"/>
        </w:rPr>
        <w:t xml:space="preserve"> 日</w:t>
      </w:r>
    </w:p>
    <w:p>
      <w:pPr>
        <w:spacing w:line="540" w:lineRule="exact"/>
        <w:jc w:val="center"/>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一、项目概况</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（一）项目单位基本情况</w:t>
      </w:r>
    </w:p>
    <w:p>
      <w:pPr>
        <w:spacing w:line="560" w:lineRule="exact"/>
        <w:ind w:firstLine="640" w:firstLineChars="200"/>
        <w:rPr>
          <w:rFonts w:hint="eastAsia" w:ascii="仿宋_GB2312" w:eastAsia="仿宋_GB2312"/>
          <w:sz w:val="32"/>
          <w:szCs w:val="32"/>
        </w:rPr>
      </w:pPr>
      <w:r>
        <w:rPr>
          <w:rFonts w:hint="eastAsia" w:ascii="仿宋_GB2312" w:hAnsi="黑体" w:eastAsia="仿宋_GB2312" w:cs="宋体"/>
          <w:bCs/>
          <w:kern w:val="0"/>
          <w:sz w:val="32"/>
          <w:szCs w:val="32"/>
        </w:rPr>
        <w:t xml:space="preserve"> </w:t>
      </w:r>
      <w:r>
        <w:rPr>
          <w:rFonts w:hint="eastAsia" w:ascii="仿宋_GB2312" w:eastAsia="仿宋_GB2312"/>
          <w:sz w:val="32"/>
          <w:szCs w:val="32"/>
        </w:rPr>
        <w:t>西地镇人民政府的主要职责：贯彻执行党的路线、方针、政策和国家法律法规，贯彻执行上级行政机关决定、命令及本级党委的决定，执行西地镇人民代表大会的决议；对西地镇人民代表大会及其主席团和上级行政机关负责并报告工作；编制和执行西地镇的经济和社会发展规划、计划并执行财政预算；负责本行政区域经济和各项社会事业的行政工作；负责维护社会秩序，营造良好的发展环境，保护公民和各种经济组织的合法权益；指导、支持和帮助村民委员会工作；协调派驻西地镇政府部门的相应事务；法律规定的其他职责。</w:t>
      </w:r>
    </w:p>
    <w:p>
      <w:pPr>
        <w:spacing w:line="540" w:lineRule="exact"/>
        <w:ind w:firstLine="313" w:firstLineChars="100"/>
        <w:rPr>
          <w:rStyle w:val="17"/>
          <w:rFonts w:ascii="楷体" w:hAnsi="楷体" w:eastAsia="楷体"/>
          <w:spacing w:val="-4"/>
          <w:sz w:val="32"/>
          <w:szCs w:val="32"/>
        </w:rPr>
      </w:pPr>
      <w:r>
        <w:rPr>
          <w:rStyle w:val="17"/>
          <w:rFonts w:hint="eastAsia" w:ascii="楷体" w:hAnsi="楷体" w:eastAsia="楷体"/>
          <w:spacing w:val="-4"/>
          <w:sz w:val="32"/>
          <w:szCs w:val="32"/>
        </w:rPr>
        <w:t>（二）项目预算</w:t>
      </w:r>
      <w:r>
        <w:rPr>
          <w:rStyle w:val="17"/>
          <w:rFonts w:ascii="楷体" w:hAnsi="楷体" w:eastAsia="楷体"/>
          <w:spacing w:val="-4"/>
          <w:sz w:val="32"/>
          <w:szCs w:val="32"/>
        </w:rPr>
        <w:t>绩效目标</w:t>
      </w:r>
      <w:r>
        <w:rPr>
          <w:rStyle w:val="17"/>
          <w:rFonts w:hint="eastAsia" w:ascii="楷体" w:hAnsi="楷体" w:eastAsia="楷体"/>
          <w:spacing w:val="-4"/>
          <w:sz w:val="32"/>
          <w:szCs w:val="32"/>
        </w:rPr>
        <w:t>设定情况</w:t>
      </w:r>
    </w:p>
    <w:p>
      <w:pPr>
        <w:spacing w:line="540" w:lineRule="exact"/>
        <w:ind w:firstLine="564" w:firstLineChars="181"/>
        <w:rPr>
          <w:rStyle w:val="17"/>
          <w:rFonts w:hint="eastAsia" w:ascii="仿宋" w:hAnsi="仿宋" w:eastAsia="仿宋"/>
          <w:b w:val="0"/>
          <w:spacing w:val="-4"/>
          <w:sz w:val="32"/>
          <w:szCs w:val="32"/>
          <w:lang w:eastAsia="zh-CN"/>
        </w:rPr>
      </w:pPr>
      <w:r>
        <w:rPr>
          <w:rStyle w:val="17"/>
          <w:rFonts w:hint="eastAsia" w:ascii="仿宋" w:hAnsi="仿宋" w:eastAsia="仿宋"/>
          <w:b w:val="0"/>
          <w:spacing w:val="-4"/>
          <w:sz w:val="32"/>
          <w:szCs w:val="32"/>
          <w:lang w:eastAsia="zh-CN"/>
        </w:rPr>
        <w:t>援疆资金主要用于建设</w:t>
      </w:r>
      <w:r>
        <w:rPr>
          <w:rStyle w:val="17"/>
          <w:rFonts w:hint="eastAsia" w:ascii="仿宋" w:hAnsi="仿宋" w:eastAsia="仿宋"/>
          <w:b w:val="0"/>
          <w:spacing w:val="-4"/>
          <w:sz w:val="32"/>
          <w:szCs w:val="32"/>
          <w:lang w:val="en-US" w:eastAsia="zh-CN"/>
        </w:rPr>
        <w:t>西地镇桥子村集贸市场建设项目，</w:t>
      </w:r>
      <w:r>
        <w:rPr>
          <w:rStyle w:val="17"/>
          <w:rFonts w:hint="eastAsia" w:ascii="仿宋" w:hAnsi="仿宋" w:eastAsia="仿宋"/>
          <w:b w:val="0"/>
          <w:spacing w:val="-4"/>
          <w:sz w:val="32"/>
          <w:szCs w:val="32"/>
          <w:lang w:eastAsia="zh-CN"/>
        </w:rPr>
        <w:t>该项目预计</w:t>
      </w:r>
      <w:r>
        <w:rPr>
          <w:rStyle w:val="17"/>
          <w:rFonts w:hint="eastAsia" w:ascii="仿宋" w:hAnsi="仿宋" w:eastAsia="仿宋"/>
          <w:b w:val="0"/>
          <w:spacing w:val="-4"/>
          <w:sz w:val="32"/>
          <w:szCs w:val="32"/>
          <w:lang w:val="en-US" w:eastAsia="zh-CN"/>
        </w:rPr>
        <w:t>2017年6月开工建设，2017年8月完成工程进度50%，2017年10月完工。该项目</w:t>
      </w:r>
      <w:r>
        <w:rPr>
          <w:rStyle w:val="17"/>
          <w:rFonts w:hint="eastAsia" w:ascii="仿宋" w:hAnsi="仿宋" w:eastAsia="仿宋"/>
          <w:b w:val="0"/>
          <w:spacing w:val="-4"/>
          <w:sz w:val="32"/>
          <w:szCs w:val="32"/>
          <w:lang w:eastAsia="zh-CN"/>
        </w:rPr>
        <w:t>建设规模及主要内容为场地硬化面积</w:t>
      </w:r>
      <w:r>
        <w:rPr>
          <w:rStyle w:val="17"/>
          <w:rFonts w:hint="eastAsia" w:ascii="仿宋" w:hAnsi="仿宋" w:eastAsia="仿宋"/>
          <w:b w:val="0"/>
          <w:spacing w:val="-4"/>
          <w:sz w:val="32"/>
          <w:szCs w:val="32"/>
          <w:lang w:val="en-US" w:eastAsia="zh-CN"/>
        </w:rPr>
        <w:t>3000㎡，彩钢棚建设3000平方米。</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二、项目资金使用及管理情况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（一）项目资金安排落实、总投入等情况分析</w:t>
      </w:r>
    </w:p>
    <w:p>
      <w:pPr>
        <w:spacing w:line="540" w:lineRule="exact"/>
        <w:ind w:firstLine="624" w:firstLineChars="200"/>
        <w:rPr>
          <w:rStyle w:val="17"/>
          <w:rFonts w:hint="eastAsia" w:ascii="仿宋" w:hAnsi="仿宋" w:eastAsia="仿宋"/>
          <w:b w:val="0"/>
          <w:spacing w:val="-4"/>
          <w:sz w:val="32"/>
          <w:szCs w:val="32"/>
          <w:lang w:eastAsia="zh-CN"/>
        </w:rPr>
      </w:pPr>
      <w:r>
        <w:rPr>
          <w:rStyle w:val="17"/>
          <w:rFonts w:hint="eastAsia" w:ascii="仿宋" w:hAnsi="仿宋" w:eastAsia="仿宋"/>
          <w:b w:val="0"/>
          <w:spacing w:val="-4"/>
          <w:sz w:val="32"/>
          <w:szCs w:val="32"/>
          <w:lang w:eastAsia="zh-CN"/>
        </w:rPr>
        <w:t>援疆资金主要用于建设</w:t>
      </w:r>
      <w:r>
        <w:rPr>
          <w:rStyle w:val="17"/>
          <w:rFonts w:hint="eastAsia" w:ascii="仿宋" w:hAnsi="仿宋" w:eastAsia="仿宋"/>
          <w:b w:val="0"/>
          <w:spacing w:val="-4"/>
          <w:sz w:val="32"/>
          <w:szCs w:val="32"/>
          <w:lang w:val="en-US" w:eastAsia="zh-CN"/>
        </w:rPr>
        <w:t>西地镇桥子村集贸市场建设项目，在招标过程中，要求符合条件的招标企业不得少于3家，并在奇台县公共资源交易中心开标，</w:t>
      </w:r>
      <w:r>
        <w:rPr>
          <w:rStyle w:val="17"/>
          <w:rFonts w:hint="eastAsia" w:ascii="仿宋" w:hAnsi="仿宋" w:eastAsia="仿宋"/>
          <w:b w:val="0"/>
          <w:spacing w:val="-4"/>
          <w:sz w:val="32"/>
          <w:szCs w:val="32"/>
          <w:lang w:eastAsia="zh-CN"/>
        </w:rPr>
        <w:t>该项目根据发改委招标批复奇发改【</w:t>
      </w:r>
      <w:r>
        <w:rPr>
          <w:rStyle w:val="17"/>
          <w:rFonts w:hint="eastAsia" w:ascii="仿宋" w:hAnsi="仿宋" w:eastAsia="仿宋"/>
          <w:b w:val="0"/>
          <w:spacing w:val="-4"/>
          <w:sz w:val="32"/>
          <w:szCs w:val="32"/>
          <w:lang w:val="en-US" w:eastAsia="zh-CN"/>
        </w:rPr>
        <w:t>2016</w:t>
      </w:r>
      <w:r>
        <w:rPr>
          <w:rStyle w:val="17"/>
          <w:rFonts w:hint="eastAsia" w:ascii="仿宋" w:hAnsi="仿宋" w:eastAsia="仿宋"/>
          <w:b w:val="0"/>
          <w:spacing w:val="-4"/>
          <w:sz w:val="32"/>
          <w:szCs w:val="32"/>
          <w:lang w:eastAsia="zh-CN"/>
        </w:rPr>
        <w:t>】</w:t>
      </w:r>
      <w:r>
        <w:rPr>
          <w:rStyle w:val="17"/>
          <w:rFonts w:hint="eastAsia" w:ascii="仿宋" w:hAnsi="仿宋" w:eastAsia="仿宋"/>
          <w:b w:val="0"/>
          <w:spacing w:val="-4"/>
          <w:sz w:val="32"/>
          <w:szCs w:val="32"/>
          <w:lang w:val="en-US" w:eastAsia="zh-CN"/>
        </w:rPr>
        <w:t>1007号批复后，抓紧做好招标前准备工作，在招标过程中由发改委、财政局等部门人员现场监督、确保招标活动公开、公正、公平、招投标工作结束后，及早签订施工合同，按时开工建设。</w:t>
      </w:r>
    </w:p>
    <w:p>
      <w:pPr>
        <w:numPr>
          <w:ilvl w:val="0"/>
          <w:numId w:val="1"/>
        </w:numPr>
        <w:spacing w:line="540" w:lineRule="exact"/>
        <w:ind w:firstLine="567" w:firstLineChars="181"/>
        <w:rPr>
          <w:rStyle w:val="17"/>
          <w:rFonts w:hint="eastAsia" w:ascii="楷体" w:hAnsi="楷体" w:eastAsia="楷体"/>
          <w:spacing w:val="-4"/>
          <w:sz w:val="32"/>
          <w:szCs w:val="32"/>
        </w:rPr>
      </w:pPr>
      <w:r>
        <w:rPr>
          <w:rStyle w:val="17"/>
          <w:rFonts w:hint="eastAsia" w:ascii="楷体" w:hAnsi="楷体" w:eastAsia="楷体"/>
          <w:spacing w:val="-4"/>
          <w:sz w:val="32"/>
          <w:szCs w:val="32"/>
        </w:rPr>
        <w:t>项目资金实际使用情况分析</w:t>
      </w:r>
    </w:p>
    <w:p>
      <w:pPr>
        <w:numPr>
          <w:ilvl w:val="0"/>
          <w:numId w:val="0"/>
        </w:numPr>
        <w:spacing w:line="540" w:lineRule="exact"/>
        <w:rPr>
          <w:rStyle w:val="17"/>
          <w:rFonts w:hint="eastAsia" w:ascii="仿宋" w:hAnsi="仿宋" w:eastAsia="仿宋" w:cs="仿宋"/>
          <w:b w:val="0"/>
          <w:bCs w:val="0"/>
          <w:spacing w:val="-4"/>
          <w:sz w:val="32"/>
          <w:szCs w:val="32"/>
          <w:lang w:val="en-US" w:eastAsia="zh-CN"/>
        </w:rPr>
      </w:pPr>
      <w:r>
        <w:rPr>
          <w:rStyle w:val="17"/>
          <w:rFonts w:hint="eastAsia" w:ascii="楷体" w:hAnsi="楷体" w:eastAsia="楷体"/>
          <w:spacing w:val="-4"/>
          <w:sz w:val="32"/>
          <w:szCs w:val="32"/>
          <w:lang w:val="en-US" w:eastAsia="zh-CN"/>
        </w:rPr>
        <w:t xml:space="preserve">   </w:t>
      </w:r>
      <w:r>
        <w:rPr>
          <w:rStyle w:val="17"/>
          <w:rFonts w:hint="eastAsia" w:ascii="仿宋" w:hAnsi="仿宋" w:eastAsia="仿宋" w:cs="仿宋"/>
          <w:b w:val="0"/>
          <w:bCs w:val="0"/>
          <w:spacing w:val="-4"/>
          <w:sz w:val="32"/>
          <w:szCs w:val="32"/>
          <w:lang w:val="en-US" w:eastAsia="zh-CN"/>
        </w:rPr>
        <w:t>1、前期准备阶段： </w:t>
      </w:r>
    </w:p>
    <w:p>
      <w:pPr>
        <w:numPr>
          <w:ilvl w:val="0"/>
          <w:numId w:val="2"/>
        </w:numPr>
        <w:spacing w:line="540" w:lineRule="exact"/>
        <w:rPr>
          <w:rStyle w:val="17"/>
          <w:rFonts w:hint="eastAsia" w:ascii="仿宋" w:hAnsi="仿宋" w:eastAsia="仿宋" w:cs="仿宋"/>
          <w:b w:val="0"/>
          <w:bCs w:val="0"/>
          <w:spacing w:val="-4"/>
          <w:sz w:val="32"/>
          <w:szCs w:val="32"/>
          <w:lang w:val="en-US" w:eastAsia="zh-CN"/>
        </w:rPr>
      </w:pPr>
      <w:r>
        <w:rPr>
          <w:rStyle w:val="17"/>
          <w:rFonts w:hint="eastAsia" w:ascii="仿宋" w:hAnsi="仿宋" w:eastAsia="仿宋" w:cs="仿宋"/>
          <w:b w:val="0"/>
          <w:bCs w:val="0"/>
          <w:spacing w:val="-4"/>
          <w:sz w:val="32"/>
          <w:szCs w:val="32"/>
          <w:lang w:val="en-US" w:eastAsia="zh-CN"/>
        </w:rPr>
        <w:t>编制工作方案，成立审核工作组。对招标方指定单位项目在进行事前调查和了解基础上，编制项目支出预算资金审核工作方案和成立审核工作组。</w:t>
      </w:r>
    </w:p>
    <w:p>
      <w:pPr>
        <w:numPr>
          <w:ilvl w:val="0"/>
          <w:numId w:val="0"/>
        </w:numPr>
        <w:spacing w:line="540" w:lineRule="exact"/>
        <w:rPr>
          <w:rStyle w:val="17"/>
          <w:rFonts w:hint="eastAsia" w:ascii="仿宋" w:hAnsi="仿宋" w:eastAsia="仿宋" w:cs="仿宋"/>
          <w:b w:val="0"/>
          <w:bCs w:val="0"/>
          <w:spacing w:val="-4"/>
          <w:sz w:val="32"/>
          <w:szCs w:val="32"/>
          <w:lang w:val="en-US" w:eastAsia="zh-CN"/>
        </w:rPr>
      </w:pPr>
      <w:r>
        <w:rPr>
          <w:rStyle w:val="17"/>
          <w:rFonts w:hint="eastAsia" w:ascii="仿宋" w:hAnsi="仿宋" w:eastAsia="仿宋" w:cs="仿宋"/>
          <w:b w:val="0"/>
          <w:bCs w:val="0"/>
          <w:spacing w:val="-4"/>
          <w:sz w:val="32"/>
          <w:szCs w:val="32"/>
          <w:lang w:val="en-US" w:eastAsia="zh-CN"/>
        </w:rPr>
        <w:t> 2)通过与招标方的充分沟通，结合预算管理的相关规定文件要求，确定具体审计方法。 </w:t>
      </w:r>
    </w:p>
    <w:p>
      <w:pPr>
        <w:numPr>
          <w:ilvl w:val="0"/>
          <w:numId w:val="0"/>
        </w:numPr>
        <w:spacing w:line="540" w:lineRule="exact"/>
        <w:rPr>
          <w:rStyle w:val="17"/>
          <w:rFonts w:hint="eastAsia" w:ascii="仿宋" w:hAnsi="仿宋" w:eastAsia="仿宋" w:cs="仿宋"/>
          <w:b w:val="0"/>
          <w:bCs w:val="0"/>
          <w:spacing w:val="-4"/>
          <w:sz w:val="32"/>
          <w:szCs w:val="32"/>
          <w:lang w:val="en-US" w:eastAsia="zh-CN"/>
        </w:rPr>
      </w:pPr>
      <w:r>
        <w:rPr>
          <w:rStyle w:val="17"/>
          <w:rFonts w:hint="eastAsia" w:ascii="仿宋" w:hAnsi="仿宋" w:eastAsia="仿宋" w:cs="仿宋"/>
          <w:b w:val="0"/>
          <w:bCs w:val="0"/>
          <w:spacing w:val="-4"/>
          <w:sz w:val="32"/>
          <w:szCs w:val="32"/>
          <w:lang w:val="en-US" w:eastAsia="zh-CN"/>
        </w:rPr>
        <w:t>3)前期资料准备和沟通。根据项目实际情况，结合本次项目项目支出预算资金审核的内容和范围，拟定须项目单位须准备的资料清单，并提交项目单位进行前期资料准备，同时通报有关审核工作程序要求配合的事项。 </w:t>
      </w:r>
    </w:p>
    <w:p>
      <w:pPr>
        <w:numPr>
          <w:ilvl w:val="0"/>
          <w:numId w:val="0"/>
        </w:numPr>
        <w:spacing w:line="540" w:lineRule="exact"/>
        <w:rPr>
          <w:rStyle w:val="17"/>
          <w:rFonts w:hint="eastAsia" w:ascii="仿宋" w:hAnsi="仿宋" w:eastAsia="仿宋" w:cs="仿宋"/>
          <w:b w:val="0"/>
          <w:bCs w:val="0"/>
          <w:spacing w:val="-4"/>
          <w:sz w:val="32"/>
          <w:szCs w:val="32"/>
          <w:lang w:val="en-US" w:eastAsia="zh-CN"/>
        </w:rPr>
      </w:pPr>
      <w:r>
        <w:rPr>
          <w:rStyle w:val="17"/>
          <w:rFonts w:hint="eastAsia" w:ascii="仿宋" w:hAnsi="仿宋" w:eastAsia="仿宋" w:cs="仿宋"/>
          <w:b w:val="0"/>
          <w:bCs w:val="0"/>
          <w:spacing w:val="-4"/>
          <w:sz w:val="32"/>
          <w:szCs w:val="32"/>
          <w:lang w:val="en-US" w:eastAsia="zh-CN"/>
        </w:rPr>
        <w:t>4)工作组人员的动员和培训。针对项目支出预算资金审核工作方案，对工作组进行前期培训，传达有关的文件精神和具体工作要求，介绍审核工作的目标、任务和要求。 </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（三）项目资金管理情况分析</w:t>
      </w:r>
    </w:p>
    <w:p>
      <w:pPr>
        <w:numPr>
          <w:ilvl w:val="0"/>
          <w:numId w:val="0"/>
        </w:numPr>
        <w:spacing w:line="540" w:lineRule="exact"/>
        <w:rPr>
          <w:rStyle w:val="17"/>
          <w:rFonts w:hint="eastAsia" w:ascii="仿宋" w:hAnsi="仿宋" w:eastAsia="仿宋"/>
          <w:b w:val="0"/>
          <w:spacing w:val="-4"/>
          <w:sz w:val="32"/>
          <w:szCs w:val="32"/>
          <w:lang w:eastAsia="zh-CN"/>
        </w:rPr>
      </w:pPr>
      <w:r>
        <w:rPr>
          <w:rStyle w:val="17"/>
          <w:rFonts w:hint="eastAsia" w:ascii="仿宋" w:hAnsi="仿宋" w:eastAsia="仿宋"/>
          <w:b w:val="0"/>
          <w:spacing w:val="-4"/>
          <w:sz w:val="32"/>
          <w:szCs w:val="32"/>
          <w:lang w:eastAsia="zh-CN"/>
        </w:rPr>
        <w:t>该项目资金管理严格按照援疆资金管理拨付制度进行拨付款。</w:t>
      </w:r>
    </w:p>
    <w:p>
      <w:pPr>
        <w:numPr>
          <w:ilvl w:val="0"/>
          <w:numId w:val="0"/>
        </w:numPr>
        <w:spacing w:line="540" w:lineRule="exact"/>
        <w:rPr>
          <w:rStyle w:val="17"/>
          <w:rFonts w:hint="eastAsia" w:ascii="仿宋" w:hAnsi="仿宋" w:eastAsia="仿宋" w:cs="仿宋"/>
          <w:b w:val="0"/>
          <w:bCs w:val="0"/>
          <w:spacing w:val="-4"/>
          <w:sz w:val="32"/>
          <w:szCs w:val="32"/>
          <w:lang w:val="en-US" w:eastAsia="zh-CN"/>
        </w:rPr>
      </w:pPr>
      <w:r>
        <w:rPr>
          <w:rStyle w:val="17"/>
          <w:rFonts w:hint="eastAsia" w:ascii="仿宋" w:hAnsi="仿宋" w:eastAsia="仿宋" w:cs="仿宋"/>
          <w:b w:val="0"/>
          <w:bCs w:val="0"/>
          <w:spacing w:val="-4"/>
          <w:sz w:val="32"/>
          <w:szCs w:val="32"/>
          <w:lang w:val="en-US" w:eastAsia="zh-CN"/>
        </w:rPr>
        <w:t>1)组织项目支出预算资金审核工作方案的实施，并对项目支出预算资金审核工作组进行工作计划细化，包括人员分工、时间进度控制等。 </w:t>
      </w:r>
    </w:p>
    <w:p>
      <w:pPr>
        <w:numPr>
          <w:ilvl w:val="0"/>
          <w:numId w:val="0"/>
        </w:numPr>
        <w:spacing w:line="540" w:lineRule="exact"/>
        <w:rPr>
          <w:rStyle w:val="17"/>
          <w:rFonts w:hint="eastAsia" w:ascii="仿宋" w:hAnsi="仿宋" w:eastAsia="仿宋" w:cs="仿宋"/>
          <w:b w:val="0"/>
          <w:bCs w:val="0"/>
          <w:spacing w:val="-4"/>
          <w:sz w:val="32"/>
          <w:szCs w:val="32"/>
          <w:lang w:val="en-US" w:eastAsia="zh-CN"/>
        </w:rPr>
      </w:pPr>
      <w:r>
        <w:rPr>
          <w:rStyle w:val="17"/>
          <w:rFonts w:hint="eastAsia" w:ascii="仿宋" w:hAnsi="仿宋" w:eastAsia="仿宋" w:cs="仿宋"/>
          <w:b w:val="0"/>
          <w:bCs w:val="0"/>
          <w:spacing w:val="-4"/>
          <w:sz w:val="32"/>
          <w:szCs w:val="32"/>
          <w:lang w:val="en-US" w:eastAsia="zh-CN"/>
        </w:rPr>
        <w:t>2)通过听取介绍、查阅资料、审核会计电子信息、抽查凭证、盘查资产和向有关部门、单位及人员调查等方法，获取充分适当合法有效的审计证据，并做好审计记录和审计工作底稿； </w:t>
      </w:r>
    </w:p>
    <w:p>
      <w:pPr>
        <w:numPr>
          <w:ilvl w:val="0"/>
          <w:numId w:val="0"/>
        </w:numPr>
        <w:spacing w:line="540" w:lineRule="exact"/>
        <w:rPr>
          <w:rStyle w:val="17"/>
          <w:rFonts w:hint="eastAsia" w:ascii="仿宋" w:hAnsi="仿宋" w:eastAsia="仿宋" w:cs="仿宋"/>
          <w:b w:val="0"/>
          <w:bCs w:val="0"/>
          <w:spacing w:val="-4"/>
          <w:sz w:val="32"/>
          <w:szCs w:val="32"/>
          <w:lang w:val="en-US" w:eastAsia="zh-CN"/>
        </w:rPr>
      </w:pPr>
      <w:r>
        <w:rPr>
          <w:rStyle w:val="17"/>
          <w:rFonts w:hint="eastAsia" w:ascii="仿宋" w:hAnsi="仿宋" w:eastAsia="仿宋" w:cs="仿宋"/>
          <w:b w:val="0"/>
          <w:bCs w:val="0"/>
          <w:spacing w:val="-4"/>
          <w:sz w:val="32"/>
          <w:szCs w:val="32"/>
          <w:lang w:val="en-US" w:eastAsia="zh-CN"/>
        </w:rPr>
        <w:t>3)按业务性质划分审计重点。根据审计对象的实际情况，确定自己的审计重点及相应的审计策略，确保审计工作高质、高效完成。 </w:t>
      </w:r>
    </w:p>
    <w:p>
      <w:pPr>
        <w:numPr>
          <w:ilvl w:val="0"/>
          <w:numId w:val="0"/>
        </w:numPr>
        <w:spacing w:line="540" w:lineRule="exact"/>
        <w:rPr>
          <w:rStyle w:val="17"/>
          <w:rFonts w:hint="eastAsia" w:ascii="仿宋" w:hAnsi="仿宋" w:eastAsia="仿宋" w:cs="仿宋"/>
          <w:b w:val="0"/>
          <w:bCs w:val="0"/>
          <w:spacing w:val="-4"/>
          <w:sz w:val="32"/>
          <w:szCs w:val="32"/>
          <w:lang w:val="en-US" w:eastAsia="zh-CN"/>
        </w:rPr>
      </w:pPr>
      <w:r>
        <w:rPr>
          <w:rStyle w:val="17"/>
          <w:rFonts w:hint="eastAsia" w:ascii="仿宋" w:hAnsi="仿宋" w:eastAsia="仿宋" w:cs="仿宋"/>
          <w:b w:val="0"/>
          <w:bCs w:val="0"/>
          <w:spacing w:val="-4"/>
          <w:sz w:val="32"/>
          <w:szCs w:val="32"/>
          <w:lang w:val="en-US" w:eastAsia="zh-CN"/>
        </w:rPr>
        <w:t>4)我们将与招标方建立有效的沟通工作机制，确保工作的顺利开展： ①定期沟通制度：我们定期（具体按照招标方要求执行）将项目支出预算资金审核的工作情况通过电子邮件、电话、传真或书面形式进行汇报。内容主要包括工作组的工作进度，工作中遇到的问题及需要相关单位或部门协调的事项。 </w:t>
      </w:r>
    </w:p>
    <w:p>
      <w:pPr>
        <w:numPr>
          <w:ilvl w:val="0"/>
          <w:numId w:val="0"/>
        </w:numPr>
        <w:spacing w:line="540" w:lineRule="exact"/>
        <w:rPr>
          <w:rStyle w:val="17"/>
          <w:rFonts w:hint="eastAsia" w:ascii="仿宋" w:hAnsi="仿宋" w:eastAsia="仿宋" w:cs="仿宋"/>
          <w:b w:val="0"/>
          <w:bCs w:val="0"/>
          <w:spacing w:val="-4"/>
          <w:sz w:val="32"/>
          <w:szCs w:val="32"/>
          <w:lang w:val="en-US" w:eastAsia="zh-CN"/>
        </w:rPr>
      </w:pPr>
      <w:r>
        <w:rPr>
          <w:rStyle w:val="17"/>
          <w:rFonts w:hint="eastAsia" w:ascii="仿宋" w:hAnsi="仿宋" w:eastAsia="仿宋" w:cs="仿宋"/>
          <w:b w:val="0"/>
          <w:bCs w:val="0"/>
          <w:spacing w:val="-4"/>
          <w:sz w:val="32"/>
          <w:szCs w:val="32"/>
          <w:lang w:val="en-US" w:eastAsia="zh-CN"/>
        </w:rPr>
        <w:t>②建立固定联系人制度：我们将明确项目支出预算资金审核工作的总负责人和工作组的项目负责人，以确保工作沟通渠道的顺畅。 </w:t>
      </w:r>
    </w:p>
    <w:p>
      <w:pPr>
        <w:numPr>
          <w:ilvl w:val="0"/>
          <w:numId w:val="0"/>
        </w:numPr>
        <w:spacing w:line="540" w:lineRule="exact"/>
        <w:rPr>
          <w:rStyle w:val="17"/>
          <w:rFonts w:hint="eastAsia" w:ascii="仿宋" w:hAnsi="仿宋" w:eastAsia="仿宋" w:cs="仿宋"/>
          <w:b w:val="0"/>
          <w:bCs w:val="0"/>
          <w:spacing w:val="-4"/>
          <w:sz w:val="32"/>
          <w:szCs w:val="32"/>
          <w:lang w:val="en-US" w:eastAsia="zh-CN"/>
        </w:rPr>
      </w:pPr>
      <w:r>
        <w:rPr>
          <w:rStyle w:val="17"/>
          <w:rFonts w:hint="eastAsia" w:ascii="仿宋" w:hAnsi="仿宋" w:eastAsia="仿宋" w:cs="仿宋"/>
          <w:b w:val="0"/>
          <w:bCs w:val="0"/>
          <w:spacing w:val="-4"/>
          <w:sz w:val="32"/>
          <w:szCs w:val="32"/>
          <w:lang w:val="en-US" w:eastAsia="zh-CN"/>
        </w:rPr>
        <w:t>③重大问题请示报告制度：工作组在工作中遇到的重大、紧急的、需及时与有关各方沟通及协调处理的问题，经总负责人提出初步意见后，以重大问题报告的形式随时向招标方提交。</w:t>
      </w:r>
    </w:p>
    <w:p>
      <w:pPr>
        <w:spacing w:line="540" w:lineRule="exact"/>
        <w:ind w:firstLine="624" w:firstLineChars="200"/>
        <w:rPr>
          <w:rStyle w:val="17"/>
          <w:rFonts w:hint="eastAsia" w:ascii="仿宋" w:hAnsi="仿宋" w:eastAsia="仿宋"/>
          <w:b w:val="0"/>
          <w:spacing w:val="-4"/>
          <w:sz w:val="32"/>
          <w:szCs w:val="32"/>
          <w:lang w:eastAsia="zh-CN"/>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三、项目组织实施情况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（一）项目组织情况分析</w:t>
      </w:r>
    </w:p>
    <w:p>
      <w:pPr>
        <w:spacing w:line="540" w:lineRule="exact"/>
        <w:ind w:firstLine="624" w:firstLineChars="200"/>
        <w:rPr>
          <w:rStyle w:val="17"/>
          <w:rFonts w:hint="eastAsia" w:ascii="仿宋" w:hAnsi="仿宋" w:eastAsia="仿宋"/>
          <w:b w:val="0"/>
          <w:spacing w:val="-4"/>
          <w:sz w:val="32"/>
          <w:szCs w:val="32"/>
          <w:lang w:eastAsia="zh-CN"/>
        </w:rPr>
      </w:pPr>
      <w:r>
        <w:rPr>
          <w:rStyle w:val="17"/>
          <w:rFonts w:hint="eastAsia" w:ascii="仿宋" w:hAnsi="仿宋" w:eastAsia="仿宋"/>
          <w:b w:val="0"/>
          <w:spacing w:val="-4"/>
          <w:sz w:val="32"/>
          <w:szCs w:val="32"/>
          <w:lang w:eastAsia="zh-CN"/>
        </w:rPr>
        <w:t>该项目根据发改委招标批复奇发改【</w:t>
      </w:r>
      <w:r>
        <w:rPr>
          <w:rStyle w:val="17"/>
          <w:rFonts w:hint="eastAsia" w:ascii="仿宋" w:hAnsi="仿宋" w:eastAsia="仿宋"/>
          <w:b w:val="0"/>
          <w:spacing w:val="-4"/>
          <w:sz w:val="32"/>
          <w:szCs w:val="32"/>
          <w:lang w:val="en-US" w:eastAsia="zh-CN"/>
        </w:rPr>
        <w:t>2016</w:t>
      </w:r>
      <w:r>
        <w:rPr>
          <w:rStyle w:val="17"/>
          <w:rFonts w:hint="eastAsia" w:ascii="仿宋" w:hAnsi="仿宋" w:eastAsia="仿宋"/>
          <w:b w:val="0"/>
          <w:spacing w:val="-4"/>
          <w:sz w:val="32"/>
          <w:szCs w:val="32"/>
          <w:lang w:eastAsia="zh-CN"/>
        </w:rPr>
        <w:t>】</w:t>
      </w:r>
      <w:r>
        <w:rPr>
          <w:rStyle w:val="17"/>
          <w:rFonts w:hint="eastAsia" w:ascii="仿宋" w:hAnsi="仿宋" w:eastAsia="仿宋"/>
          <w:b w:val="0"/>
          <w:spacing w:val="-4"/>
          <w:sz w:val="32"/>
          <w:szCs w:val="32"/>
          <w:lang w:val="en-US" w:eastAsia="zh-CN"/>
        </w:rPr>
        <w:t>1007号，进行自行或委托招标代理机构组织邀请招标。已完成五方验收。项目已完工。</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（二）项目管理情况分析</w:t>
      </w:r>
    </w:p>
    <w:p>
      <w:pPr>
        <w:spacing w:line="540" w:lineRule="exact"/>
        <w:ind w:firstLine="640"/>
        <w:rPr>
          <w:rStyle w:val="17"/>
          <w:rFonts w:hint="eastAsia" w:ascii="仿宋" w:hAnsi="仿宋" w:eastAsia="仿宋"/>
          <w:b w:val="0"/>
          <w:spacing w:val="-4"/>
          <w:sz w:val="32"/>
          <w:szCs w:val="32"/>
          <w:lang w:eastAsia="zh-CN"/>
        </w:rPr>
      </w:pPr>
      <w:r>
        <w:rPr>
          <w:rStyle w:val="17"/>
          <w:rFonts w:hint="eastAsia" w:ascii="仿宋" w:hAnsi="仿宋" w:eastAsia="仿宋"/>
          <w:b w:val="0"/>
          <w:spacing w:val="-4"/>
          <w:sz w:val="32"/>
          <w:szCs w:val="32"/>
          <w:lang w:eastAsia="zh-CN"/>
        </w:rPr>
        <w:t>该项目严格按照政府投资项目及援疆项目管理办法进行管理。</w:t>
      </w:r>
    </w:p>
    <w:p>
      <w:pPr>
        <w:spacing w:line="540" w:lineRule="exact"/>
        <w:ind w:firstLine="640"/>
        <w:rPr>
          <w:rStyle w:val="17"/>
          <w:rFonts w:hint="eastAsia" w:ascii="仿宋" w:hAnsi="仿宋" w:eastAsia="仿宋"/>
          <w:b w:val="0"/>
          <w:spacing w:val="-4"/>
          <w:sz w:val="32"/>
          <w:szCs w:val="32"/>
          <w:lang w:eastAsia="zh-CN"/>
        </w:rPr>
      </w:pPr>
      <w:r>
        <w:rPr>
          <w:rStyle w:val="17"/>
          <w:rFonts w:hint="eastAsia" w:ascii="仿宋" w:hAnsi="仿宋" w:eastAsia="仿宋"/>
          <w:b w:val="0"/>
          <w:spacing w:val="-4"/>
          <w:sz w:val="32"/>
          <w:szCs w:val="32"/>
          <w:lang w:eastAsia="zh-CN"/>
        </w:rPr>
        <w:t>1、项目资金管理，严格执行请、拨款制度，实行项目资金专款专用，专户管理，专帐核算制度。 </w:t>
      </w:r>
    </w:p>
    <w:p>
      <w:pPr>
        <w:spacing w:line="540" w:lineRule="exact"/>
        <w:ind w:firstLine="640"/>
        <w:rPr>
          <w:rStyle w:val="17"/>
          <w:rFonts w:hint="eastAsia" w:ascii="仿宋" w:hAnsi="仿宋" w:eastAsia="仿宋"/>
          <w:b w:val="0"/>
          <w:spacing w:val="-4"/>
          <w:sz w:val="32"/>
          <w:szCs w:val="32"/>
          <w:lang w:eastAsia="zh-CN"/>
        </w:rPr>
      </w:pPr>
      <w:r>
        <w:rPr>
          <w:rStyle w:val="17"/>
          <w:rFonts w:hint="eastAsia" w:ascii="仿宋" w:hAnsi="仿宋" w:eastAsia="仿宋"/>
          <w:b w:val="0"/>
          <w:spacing w:val="-4"/>
          <w:sz w:val="32"/>
          <w:szCs w:val="32"/>
          <w:lang w:eastAsia="zh-CN"/>
        </w:rPr>
        <w:t>2、建立项目资金管理领导责任制和会计核算制，并自觉接受财政、审计纪检和上级财务主管部门的监督检查，强化项目资金的管理和监督。对擅自变更项目预算、截留、挪用和坐支项目资金的，按法律法规的规定严肃查处。 </w:t>
      </w:r>
    </w:p>
    <w:p>
      <w:pPr>
        <w:spacing w:line="540" w:lineRule="exact"/>
        <w:ind w:firstLine="640"/>
        <w:rPr>
          <w:rStyle w:val="17"/>
          <w:rFonts w:hint="eastAsia" w:ascii="仿宋" w:hAnsi="仿宋" w:eastAsia="仿宋"/>
          <w:b w:val="0"/>
          <w:spacing w:val="-4"/>
          <w:sz w:val="32"/>
          <w:szCs w:val="32"/>
          <w:lang w:eastAsia="zh-CN"/>
        </w:rPr>
      </w:pPr>
      <w:r>
        <w:rPr>
          <w:rStyle w:val="17"/>
          <w:rFonts w:hint="eastAsia" w:ascii="仿宋" w:hAnsi="仿宋" w:eastAsia="仿宋"/>
          <w:b w:val="0"/>
          <w:spacing w:val="-4"/>
          <w:sz w:val="32"/>
          <w:szCs w:val="32"/>
          <w:lang w:eastAsia="zh-CN"/>
        </w:rPr>
        <w:t>3、领导小组办公室按照事前审核、事中监控、事后检查的要求，建立健全项目资金跟踪检查制度和重大问题上的上报制度，定期不定期地开展项目资金专项检查，全程跟踪检查各项项目资金的拨付、使用情况，对发现的资金管理方面的重大问题及</w:t>
      </w:r>
    </w:p>
    <w:p>
      <w:pPr>
        <w:spacing w:line="540" w:lineRule="exact"/>
        <w:rPr>
          <w:rStyle w:val="17"/>
          <w:rFonts w:hint="eastAsia" w:ascii="仿宋" w:hAnsi="仿宋" w:eastAsia="仿宋"/>
          <w:b w:val="0"/>
          <w:spacing w:val="-4"/>
          <w:sz w:val="32"/>
          <w:szCs w:val="32"/>
          <w:lang w:eastAsia="zh-CN"/>
        </w:rPr>
      </w:pP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四、项目绩效情况</w:t>
      </w:r>
      <w:r>
        <w:rPr>
          <w:rStyle w:val="17"/>
          <w:rFonts w:hint="eastAsia" w:ascii="黑体" w:hAnsi="黑体" w:eastAsia="黑体"/>
        </w:rPr>
        <w:t xml:space="preserve"> </w:t>
      </w:r>
    </w:p>
    <w:p>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Fonts w:hint="eastAsia" w:ascii="仿宋" w:hAnsi="仿宋" w:eastAsia="仿宋"/>
          <w:spacing w:val="-4"/>
          <w:sz w:val="32"/>
          <w:szCs w:val="32"/>
        </w:rPr>
      </w:pPr>
      <w:r>
        <w:rPr>
          <w:rFonts w:hint="eastAsia" w:ascii="仿宋" w:hAnsi="仿宋" w:eastAsia="仿宋"/>
          <w:spacing w:val="-4"/>
          <w:sz w:val="32"/>
          <w:szCs w:val="32"/>
        </w:rPr>
        <w:t>2017年奇台县西地镇桥子村集贸市场工程按期100%完工</w:t>
      </w:r>
    </w:p>
    <w:p>
      <w:pPr>
        <w:spacing w:line="540" w:lineRule="exact"/>
        <w:ind w:firstLine="564" w:firstLineChars="181"/>
        <w:rPr>
          <w:rFonts w:hint="eastAsia" w:ascii="仿宋" w:hAnsi="仿宋" w:eastAsia="仿宋"/>
          <w:spacing w:val="-4"/>
          <w:sz w:val="32"/>
          <w:szCs w:val="32"/>
          <w:lang w:val="en-US" w:eastAsia="zh-CN"/>
        </w:rPr>
      </w:pPr>
      <w:r>
        <w:rPr>
          <w:rFonts w:hint="eastAsia" w:ascii="仿宋" w:hAnsi="仿宋" w:eastAsia="仿宋"/>
          <w:spacing w:val="-4"/>
          <w:sz w:val="32"/>
          <w:szCs w:val="32"/>
          <w:lang w:val="en-US" w:eastAsia="zh-CN"/>
        </w:rPr>
        <w:t>其中：</w:t>
      </w:r>
    </w:p>
    <w:p>
      <w:pPr>
        <w:spacing w:line="540" w:lineRule="exact"/>
        <w:ind w:firstLine="564" w:firstLineChars="181"/>
        <w:rPr>
          <w:rFonts w:hint="eastAsia" w:ascii="仿宋" w:hAnsi="仿宋" w:eastAsia="仿宋"/>
          <w:spacing w:val="-4"/>
          <w:sz w:val="32"/>
          <w:szCs w:val="32"/>
          <w:lang w:val="en-US" w:eastAsia="zh-CN"/>
        </w:rPr>
      </w:pPr>
      <w:r>
        <w:rPr>
          <w:rFonts w:hint="eastAsia" w:ascii="仿宋" w:hAnsi="仿宋" w:eastAsia="仿宋"/>
          <w:spacing w:val="-4"/>
          <w:sz w:val="32"/>
          <w:szCs w:val="32"/>
          <w:lang w:val="en-US" w:eastAsia="zh-CN"/>
        </w:rPr>
        <w:t>数量指标（奇台县西地镇桥子村集贸市场项目面积）≥6000平方米</w:t>
      </w:r>
    </w:p>
    <w:p>
      <w:pPr>
        <w:spacing w:line="540" w:lineRule="exact"/>
        <w:ind w:firstLine="564" w:firstLineChars="181"/>
        <w:rPr>
          <w:rFonts w:hint="eastAsia" w:ascii="仿宋" w:hAnsi="仿宋" w:eastAsia="仿宋"/>
          <w:spacing w:val="-4"/>
          <w:sz w:val="32"/>
          <w:szCs w:val="32"/>
          <w:lang w:val="en-US" w:eastAsia="zh-CN"/>
        </w:rPr>
      </w:pPr>
      <w:r>
        <w:rPr>
          <w:rFonts w:hint="eastAsia" w:ascii="仿宋" w:hAnsi="仿宋" w:eastAsia="仿宋"/>
          <w:spacing w:val="-4"/>
          <w:sz w:val="32"/>
          <w:szCs w:val="32"/>
          <w:lang w:val="en-US" w:eastAsia="zh-CN"/>
        </w:rPr>
        <w:t>质量指标（奇台县西地镇桥子村集贸市场验收合格率）≥100%</w:t>
      </w:r>
    </w:p>
    <w:p>
      <w:pPr>
        <w:spacing w:line="540" w:lineRule="exact"/>
        <w:ind w:firstLine="564" w:firstLineChars="181"/>
        <w:rPr>
          <w:rFonts w:hint="eastAsia" w:ascii="仿宋" w:hAnsi="仿宋" w:eastAsia="仿宋"/>
          <w:spacing w:val="-4"/>
          <w:sz w:val="32"/>
          <w:szCs w:val="32"/>
          <w:lang w:val="en-US" w:eastAsia="zh-CN"/>
        </w:rPr>
      </w:pPr>
      <w:r>
        <w:rPr>
          <w:rFonts w:hint="eastAsia" w:ascii="仿宋" w:hAnsi="仿宋" w:eastAsia="仿宋"/>
          <w:spacing w:val="-4"/>
          <w:sz w:val="32"/>
          <w:szCs w:val="32"/>
          <w:lang w:val="en-US" w:eastAsia="zh-CN"/>
        </w:rPr>
        <w:t>时效指标（奇台县西地镇桥子村集贸市场项目工程按期完成率）≥100%</w:t>
      </w:r>
    </w:p>
    <w:p>
      <w:pPr>
        <w:spacing w:line="540" w:lineRule="exact"/>
        <w:ind w:firstLine="564" w:firstLineChars="181"/>
        <w:rPr>
          <w:rFonts w:hint="eastAsia" w:ascii="仿宋" w:hAnsi="仿宋" w:eastAsia="仿宋"/>
          <w:spacing w:val="-4"/>
          <w:sz w:val="32"/>
          <w:szCs w:val="32"/>
          <w:lang w:val="en-US" w:eastAsia="zh-CN"/>
        </w:rPr>
      </w:pPr>
      <w:r>
        <w:rPr>
          <w:rFonts w:hint="eastAsia" w:ascii="仿宋" w:hAnsi="仿宋" w:eastAsia="仿宋"/>
          <w:spacing w:val="-4"/>
          <w:sz w:val="32"/>
          <w:szCs w:val="32"/>
          <w:lang w:val="en-US" w:eastAsia="zh-CN"/>
        </w:rPr>
        <w:t>社会效益指标（奇台县西地镇桥子村集贸市场项目受益户数）≥1585户</w:t>
      </w:r>
    </w:p>
    <w:p>
      <w:pPr>
        <w:spacing w:line="540" w:lineRule="exact"/>
        <w:ind w:firstLine="564" w:firstLineChars="181"/>
        <w:rPr>
          <w:rFonts w:hint="eastAsia" w:ascii="仿宋" w:hAnsi="仿宋" w:eastAsia="仿宋"/>
          <w:spacing w:val="-4"/>
          <w:sz w:val="32"/>
          <w:szCs w:val="32"/>
          <w:lang w:val="en-US" w:eastAsia="zh-CN"/>
        </w:rPr>
      </w:pPr>
      <w:r>
        <w:rPr>
          <w:rFonts w:hint="eastAsia" w:ascii="仿宋" w:hAnsi="仿宋" w:eastAsia="仿宋"/>
          <w:spacing w:val="-4"/>
          <w:sz w:val="32"/>
          <w:szCs w:val="32"/>
          <w:lang w:val="en-US" w:eastAsia="zh-CN"/>
        </w:rPr>
        <w:t>可持续影响指标（奇台县西地镇桥子村集贸市场项目安全期限）≥80年</w:t>
      </w:r>
    </w:p>
    <w:p>
      <w:pPr>
        <w:spacing w:line="540" w:lineRule="exact"/>
        <w:ind w:firstLine="564" w:firstLineChars="181"/>
        <w:rPr>
          <w:rFonts w:hint="eastAsia" w:ascii="仿宋" w:hAnsi="仿宋" w:eastAsia="仿宋"/>
          <w:spacing w:val="-4"/>
          <w:sz w:val="32"/>
          <w:szCs w:val="32"/>
          <w:lang w:val="en-US" w:eastAsia="zh-CN"/>
        </w:rPr>
      </w:pPr>
      <w:r>
        <w:rPr>
          <w:rFonts w:hint="eastAsia" w:ascii="仿宋" w:hAnsi="仿宋" w:eastAsia="仿宋"/>
          <w:spacing w:val="-4"/>
          <w:sz w:val="32"/>
          <w:szCs w:val="32"/>
          <w:lang w:val="en-US" w:eastAsia="zh-CN"/>
        </w:rPr>
        <w:t>满意度指标（受益群众满意度）≥100%</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ascii="仿宋" w:hAnsi="仿宋" w:eastAsia="仿宋"/>
          <w:spacing w:val="-4"/>
          <w:sz w:val="32"/>
          <w:szCs w:val="32"/>
        </w:rPr>
      </w:pPr>
      <w:r>
        <w:rPr>
          <w:rFonts w:hint="eastAsia" w:ascii="仿宋" w:hAnsi="仿宋" w:eastAsia="仿宋"/>
          <w:spacing w:val="-4"/>
          <w:sz w:val="32"/>
          <w:szCs w:val="32"/>
        </w:rPr>
        <w:t>（如项目绩效目标已完成，可不用填写该部分。）</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hint="eastAsia" w:ascii="楷体" w:hAnsi="楷体" w:eastAsia="楷体"/>
          <w:b w:val="0"/>
          <w:bCs/>
          <w:spacing w:val="-4"/>
          <w:sz w:val="32"/>
          <w:szCs w:val="32"/>
          <w:lang w:eastAsia="zh-CN"/>
        </w:rPr>
      </w:pPr>
      <w:r>
        <w:rPr>
          <w:rFonts w:hint="eastAsia" w:ascii="仿宋_GB2312" w:eastAsia="仿宋_GB2312"/>
          <w:spacing w:val="-4"/>
          <w:sz w:val="32"/>
          <w:szCs w:val="32"/>
          <w:lang w:eastAsia="zh-CN"/>
        </w:rPr>
        <w:t>督促审计公司加快审计报告的编制。</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4" w:firstLineChars="181"/>
        <w:rPr>
          <w:rFonts w:hint="eastAsia" w:ascii="仿宋_GB2312" w:eastAsia="仿宋_GB2312"/>
          <w:spacing w:val="-4"/>
          <w:sz w:val="32"/>
          <w:szCs w:val="32"/>
          <w:lang w:eastAsia="zh-CN"/>
        </w:rPr>
      </w:pPr>
      <w:r>
        <w:rPr>
          <w:rFonts w:hint="eastAsia" w:ascii="仿宋_GB2312" w:eastAsia="仿宋_GB2312"/>
          <w:spacing w:val="-4"/>
          <w:sz w:val="32"/>
          <w:szCs w:val="32"/>
          <w:lang w:eastAsia="zh-CN"/>
        </w:rPr>
        <w:t>该项目实施过程中严格按照援疆项目资金拨付制度进行拨付款。</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7" w:firstLineChars="181"/>
        <w:rPr>
          <w:rFonts w:ascii="楷体" w:hAnsi="楷体" w:eastAsia="楷体"/>
          <w:b/>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六、项目评价工作情况</w:t>
      </w:r>
    </w:p>
    <w:p>
      <w:pPr>
        <w:ind w:firstLine="624" w:firstLineChars="200"/>
        <w:rPr>
          <w:rFonts w:hint="eastAsia" w:ascii="仿宋_GB2312" w:eastAsia="仿宋_GB2312"/>
          <w:spacing w:val="-4"/>
          <w:sz w:val="32"/>
          <w:szCs w:val="32"/>
        </w:rPr>
      </w:pPr>
      <w:r>
        <w:rPr>
          <w:rFonts w:hint="eastAsia" w:ascii="仿宋_GB2312" w:eastAsia="仿宋_GB2312"/>
          <w:spacing w:val="-4"/>
          <w:sz w:val="32"/>
          <w:szCs w:val="32"/>
        </w:rPr>
        <w:t xml:space="preserve">本项目实施主要分项目前期工作、项目工程建设及项目验收三大阶段。具体分述： 1、项目前期工作阶段。主要工作有：项目的可研，项目的报批，项目的设计，工程的招标等。 2、工程土建阶段。主要工作有：选择工程队伍，选择监理队伍，建筑材料的采购等。 3、项目验收阶段。主要工作有：组织有关力量进行项目工程的全部验收，正式验收以前项目业主要自己组织力量进行初步验收。项目验收时要有建设、安检、质检、消防、卫生等相关部门的人员到场进行全方位的验收，以保证工程质量。 </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七、附表</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b w:val="0"/>
          <w:spacing w:val="-4"/>
          <w:sz w:val="32"/>
          <w:szCs w:val="32"/>
        </w:rPr>
        <w:t>《自治区财政项目支出绩效自评表》</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tbl>
      <w:tblPr>
        <w:tblStyle w:val="19"/>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奇台县财政项目支出绩效自评表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rFonts w:hint="eastAsia"/>
                <w:kern w:val="0"/>
                <w:sz w:val="24"/>
                <w:lang w:val="en-US" w:eastAsia="zh-CN"/>
              </w:rPr>
              <w:t>2017</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奇台县</w:t>
            </w:r>
            <w:r>
              <w:rPr>
                <w:rFonts w:hint="eastAsia" w:ascii="宋体" w:hAnsi="宋体" w:cs="宋体"/>
                <w:kern w:val="0"/>
                <w:sz w:val="20"/>
                <w:szCs w:val="20"/>
                <w:lang w:eastAsia="zh-CN"/>
              </w:rPr>
              <w:t>西地镇桥子村集贸市场建设项目</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奇台县</w:t>
            </w:r>
            <w:r>
              <w:rPr>
                <w:rFonts w:hint="eastAsia" w:ascii="宋体" w:hAnsi="宋体" w:cs="宋体"/>
                <w:kern w:val="0"/>
                <w:sz w:val="20"/>
                <w:szCs w:val="20"/>
                <w:lang w:eastAsia="zh-CN"/>
              </w:rPr>
              <w:t>西地镇人民政府</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81.91</w:t>
            </w: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81.91</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81.91</w:t>
            </w:r>
            <w:r>
              <w:rPr>
                <w:rFonts w:hint="eastAsia" w:ascii="宋体" w:hAnsi="宋体" w:cs="宋体"/>
                <w:kern w:val="0"/>
                <w:sz w:val="20"/>
                <w:szCs w:val="20"/>
              </w:rPr>
              <w:t>　</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81.91</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spacing w:line="540" w:lineRule="exact"/>
              <w:ind w:firstLine="362" w:firstLineChars="181"/>
              <w:rPr>
                <w:rStyle w:val="17"/>
                <w:rFonts w:hint="eastAsia" w:ascii="仿宋" w:hAnsi="仿宋" w:eastAsia="仿宋"/>
                <w:b w:val="0"/>
                <w:spacing w:val="-4"/>
                <w:sz w:val="32"/>
                <w:szCs w:val="32"/>
                <w:lang w:eastAsia="zh-CN"/>
              </w:rPr>
            </w:pPr>
            <w:r>
              <w:rPr>
                <w:rFonts w:hint="eastAsia" w:ascii="宋体" w:hAnsi="宋体" w:eastAsia="仿宋" w:cs="宋体"/>
                <w:kern w:val="0"/>
                <w:sz w:val="20"/>
                <w:szCs w:val="20"/>
                <w:lang w:eastAsia="zh-CN"/>
              </w:rPr>
              <w:t>预计完成硬化面积</w:t>
            </w:r>
            <w:r>
              <w:rPr>
                <w:rFonts w:hint="eastAsia" w:ascii="宋体" w:hAnsi="宋体" w:eastAsia="仿宋" w:cs="宋体"/>
                <w:kern w:val="0"/>
                <w:sz w:val="20"/>
                <w:szCs w:val="20"/>
                <w:lang w:val="en-US" w:eastAsia="zh-CN"/>
              </w:rPr>
              <w:t>3000㎡，彩钢棚建设3000平方米。</w:t>
            </w:r>
          </w:p>
          <w:p>
            <w:pPr>
              <w:widowControl/>
              <w:jc w:val="left"/>
              <w:rPr>
                <w:rFonts w:ascii="宋体" w:hAnsi="宋体" w:cs="宋体"/>
                <w:kern w:val="0"/>
                <w:sz w:val="20"/>
                <w:szCs w:val="20"/>
              </w:rPr>
            </w:pPr>
          </w:p>
        </w:tc>
        <w:tc>
          <w:tcPr>
            <w:tcW w:w="3840" w:type="dxa"/>
            <w:gridSpan w:val="2"/>
            <w:tcBorders>
              <w:top w:val="single" w:color="auto" w:sz="4" w:space="0"/>
              <w:left w:val="nil"/>
              <w:bottom w:val="single" w:color="auto" w:sz="4" w:space="0"/>
              <w:right w:val="single" w:color="000000" w:sz="4" w:space="0"/>
            </w:tcBorders>
            <w:shd w:val="clear" w:color="auto" w:fill="auto"/>
          </w:tcPr>
          <w:p>
            <w:pPr>
              <w:spacing w:line="540" w:lineRule="exact"/>
              <w:ind w:firstLine="362" w:firstLineChars="181"/>
              <w:rPr>
                <w:rStyle w:val="17"/>
                <w:rFonts w:hint="eastAsia" w:ascii="仿宋" w:hAnsi="仿宋" w:eastAsia="仿宋"/>
                <w:b w:val="0"/>
                <w:spacing w:val="-4"/>
                <w:sz w:val="32"/>
                <w:szCs w:val="32"/>
                <w:lang w:eastAsia="zh-CN"/>
              </w:rPr>
            </w:pPr>
            <w:r>
              <w:rPr>
                <w:rFonts w:hint="eastAsia" w:ascii="宋体" w:hAnsi="宋体" w:eastAsia="仿宋" w:cs="宋体"/>
                <w:kern w:val="0"/>
                <w:sz w:val="20"/>
                <w:szCs w:val="20"/>
                <w:lang w:eastAsia="zh-CN"/>
              </w:rPr>
              <w:t>已完成硬化面积</w:t>
            </w:r>
            <w:r>
              <w:rPr>
                <w:rFonts w:hint="eastAsia" w:ascii="宋体" w:hAnsi="宋体" w:eastAsia="仿宋" w:cs="宋体"/>
                <w:kern w:val="0"/>
                <w:sz w:val="20"/>
                <w:szCs w:val="20"/>
                <w:lang w:val="en-US" w:eastAsia="zh-CN"/>
              </w:rPr>
              <w:t>3000㎡，彩钢棚建设3000平方米。</w:t>
            </w:r>
          </w:p>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硬化面积</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eastAsia="仿宋" w:cs="宋体"/>
                <w:kern w:val="0"/>
                <w:sz w:val="20"/>
                <w:szCs w:val="20"/>
                <w:lang w:val="en-US" w:eastAsia="zh-CN"/>
              </w:rPr>
              <w:t>3000平方米</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eastAsia="仿宋" w:cs="宋体"/>
                <w:kern w:val="0"/>
                <w:sz w:val="20"/>
                <w:szCs w:val="20"/>
                <w:lang w:val="en-US" w:eastAsia="zh-CN"/>
              </w:rPr>
              <w:t>3000平方米</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Theme="minorEastAsia" w:hAnsiTheme="minorEastAsia" w:eastAsiaTheme="minorEastAsia" w:cstheme="minorEastAsia"/>
                <w:kern w:val="0"/>
                <w:sz w:val="20"/>
                <w:szCs w:val="20"/>
              </w:rPr>
              <w:t xml:space="preserve"> </w:t>
            </w:r>
            <w:r>
              <w:rPr>
                <w:rFonts w:hint="eastAsia" w:asciiTheme="minorEastAsia" w:hAnsiTheme="minorEastAsia" w:eastAsiaTheme="minorEastAsia" w:cstheme="minorEastAsia"/>
                <w:kern w:val="0"/>
                <w:sz w:val="20"/>
                <w:szCs w:val="20"/>
                <w:lang w:val="en-US" w:eastAsia="zh-CN"/>
              </w:rPr>
              <w:t>彩钢棚</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eastAsia="仿宋" w:cs="宋体"/>
                <w:kern w:val="0"/>
                <w:sz w:val="20"/>
                <w:szCs w:val="20"/>
                <w:lang w:val="en-US" w:eastAsia="zh-CN"/>
              </w:rPr>
              <w:t>3000平方米</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eastAsia="仿宋" w:cs="宋体"/>
                <w:kern w:val="0"/>
                <w:sz w:val="20"/>
                <w:szCs w:val="20"/>
                <w:lang w:val="en-US" w:eastAsia="zh-CN"/>
              </w:rPr>
              <w:t>3000平方米</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工程款</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180万元</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180万元</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奇台县西地镇桥子村集贸市场验收合格率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8</w:t>
            </w:r>
            <w:r>
              <w:rPr>
                <w:rFonts w:hint="eastAsia" w:ascii="宋体" w:hAnsi="宋体" w:cs="宋体"/>
                <w:kern w:val="0"/>
                <w:sz w:val="20"/>
                <w:szCs w:val="20"/>
              </w:rPr>
              <w:t>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9</w:t>
            </w:r>
            <w:r>
              <w:rPr>
                <w:rFonts w:hint="eastAsia" w:ascii="宋体" w:hAnsi="宋体" w:cs="宋体"/>
                <w:kern w:val="0"/>
                <w:sz w:val="20"/>
                <w:szCs w:val="20"/>
              </w:rPr>
              <w:t>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奇台县西地镇桥子村集贸市场项目工程按期完成率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8</w:t>
            </w:r>
            <w:r>
              <w:rPr>
                <w:rFonts w:hint="eastAsia" w:ascii="宋体" w:hAnsi="宋体" w:cs="宋体"/>
                <w:kern w:val="0"/>
                <w:sz w:val="20"/>
                <w:szCs w:val="20"/>
              </w:rPr>
              <w:t>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9</w:t>
            </w:r>
            <w:r>
              <w:rPr>
                <w:rFonts w:hint="eastAsia" w:ascii="宋体" w:hAnsi="宋体" w:cs="宋体"/>
                <w:kern w:val="0"/>
                <w:sz w:val="20"/>
                <w:szCs w:val="20"/>
              </w:rPr>
              <w:t>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奇台县西地镇桥子村集贸市场项目总投资</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88.91万元</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88.91万元</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奇台县西地镇桥子村集贸市场项目受益户数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1585</w:t>
            </w:r>
            <w:r>
              <w:rPr>
                <w:rFonts w:hint="eastAsia" w:ascii="宋体" w:hAnsi="宋体" w:cs="宋体"/>
                <w:kern w:val="0"/>
                <w:sz w:val="20"/>
                <w:szCs w:val="20"/>
              </w:rPr>
              <w:t>户</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1585</w:t>
            </w:r>
            <w:r>
              <w:rPr>
                <w:rFonts w:hint="eastAsia" w:ascii="宋体" w:hAnsi="宋体" w:cs="宋体"/>
                <w:kern w:val="0"/>
                <w:sz w:val="20"/>
                <w:szCs w:val="20"/>
              </w:rPr>
              <w:t>户</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奇台县西地镇桥子村集贸市场项目安全期限</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≥80年</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80年</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受益群众满意度</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8</w:t>
            </w:r>
            <w:r>
              <w:rPr>
                <w:rFonts w:hint="eastAsia" w:ascii="宋体" w:hAnsi="宋体" w:cs="宋体"/>
                <w:kern w:val="0"/>
                <w:sz w:val="20"/>
                <w:szCs w:val="20"/>
              </w:rPr>
              <w:t>0%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9</w:t>
            </w:r>
            <w:r>
              <w:rPr>
                <w:rFonts w:hint="eastAsia" w:ascii="宋体" w:hAnsi="宋体" w:cs="宋体"/>
                <w:kern w:val="0"/>
                <w:sz w:val="20"/>
                <w:szCs w:val="20"/>
              </w:rPr>
              <w:t>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Arial Unicode MS">
    <w:altName w:val="宋体"/>
    <w:panose1 w:val="020B0604020202020204"/>
    <w:charset w:val="86"/>
    <w:family w:val="auto"/>
    <w:pitch w:val="default"/>
    <w:sig w:usb0="00000000" w:usb1="00000000" w:usb2="0000003F" w:usb3="00000000" w:csb0="603F01FF" w:csb1="FFFF0000"/>
  </w:font>
  <w:font w:name="Arial Rounded MT Bold">
    <w:panose1 w:val="020F0704030504030204"/>
    <w:charset w:val="00"/>
    <w:family w:val="auto"/>
    <w:pitch w:val="default"/>
    <w:sig w:usb0="00000003" w:usb1="00000000" w:usb2="00000000" w:usb3="00000000" w:csb0="20000001" w:csb1="00000000"/>
  </w:font>
  <w:font w:name="楷体_GB2312">
    <w:altName w:val="楷体"/>
    <w:panose1 w:val="02010609030101010101"/>
    <w:charset w:val="86"/>
    <w:family w:val="auto"/>
    <w:pitch w:val="default"/>
    <w:sig w:usb0="00000000" w:usb1="00000000" w:usb2="00000000" w:usb3="00000000" w:csb0="00040000" w:csb1="00000000"/>
  </w:font>
  <w:font w:name="Shruti">
    <w:panose1 w:val="020B0502040204020203"/>
    <w:charset w:val="00"/>
    <w:family w:val="auto"/>
    <w:pitch w:val="default"/>
    <w:sig w:usb0="00040003" w:usb1="00000000" w:usb2="00000000" w:usb3="00000000" w:csb0="00000001" w:csb1="00000000"/>
  </w:font>
  <w:font w:name="Sitka Text">
    <w:altName w:val="PMingLiU-ExtB"/>
    <w:panose1 w:val="02000505000000020004"/>
    <w:charset w:val="00"/>
    <w:family w:val="auto"/>
    <w:pitch w:val="default"/>
    <w:sig w:usb0="00000000" w:usb1="00000000" w:usb2="00000000" w:usb3="00000000" w:csb0="2000019F" w:csb1="00000000"/>
  </w:font>
  <w:font w:name="Calibri">
    <w:panose1 w:val="020F0502020204030204"/>
    <w:charset w:val="86"/>
    <w:family w:val="swiss"/>
    <w:pitch w:val="default"/>
    <w:sig w:usb0="E00002FF" w:usb1="4000ACFF" w:usb2="00000001" w:usb3="00000000" w:csb0="2000019F" w:csb1="00000000"/>
  </w:font>
  <w:font w:name="PMingLiU-ExtB">
    <w:panose1 w:val="02020500000000000000"/>
    <w:charset w:val="88"/>
    <w:family w:val="auto"/>
    <w:pitch w:val="default"/>
    <w:sig w:usb0="8000002F" w:usb1="02000008" w:usb2="00000000" w:usb3="00000000" w:csb0="00100001" w:csb1="00000000"/>
  </w:font>
  <w:font w:name="新宋体">
    <w:panose1 w:val="02010609030101010101"/>
    <w:charset w:val="86"/>
    <w:family w:val="auto"/>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D420A"/>
    <w:multiLevelType w:val="singleLevel"/>
    <w:tmpl w:val="5C3D420A"/>
    <w:lvl w:ilvl="0" w:tentative="0">
      <w:start w:val="2"/>
      <w:numFmt w:val="chineseCounting"/>
      <w:suff w:val="nothing"/>
      <w:lvlText w:val="（%1）"/>
      <w:lvlJc w:val="left"/>
    </w:lvl>
  </w:abstractNum>
  <w:abstractNum w:abstractNumId="1">
    <w:nsid w:val="5C3D9F96"/>
    <w:multiLevelType w:val="singleLevel"/>
    <w:tmpl w:val="5C3D9F9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21AE4"/>
    <w:rsid w:val="00146AAD"/>
    <w:rsid w:val="00171AE3"/>
    <w:rsid w:val="001B3A40"/>
    <w:rsid w:val="004366A8"/>
    <w:rsid w:val="00502BA7"/>
    <w:rsid w:val="005162F1"/>
    <w:rsid w:val="00535153"/>
    <w:rsid w:val="00554F82"/>
    <w:rsid w:val="0056390D"/>
    <w:rsid w:val="005719B0"/>
    <w:rsid w:val="005D10D6"/>
    <w:rsid w:val="00855E3A"/>
    <w:rsid w:val="00922CB9"/>
    <w:rsid w:val="009E5CD9"/>
    <w:rsid w:val="00A26421"/>
    <w:rsid w:val="00A4293B"/>
    <w:rsid w:val="00A67D50"/>
    <w:rsid w:val="00A8691A"/>
    <w:rsid w:val="00AC1946"/>
    <w:rsid w:val="00B40063"/>
    <w:rsid w:val="00B41F61"/>
    <w:rsid w:val="00BA46E6"/>
    <w:rsid w:val="00C43221"/>
    <w:rsid w:val="00C56C72"/>
    <w:rsid w:val="00CA6457"/>
    <w:rsid w:val="00D17F2E"/>
    <w:rsid w:val="00D30354"/>
    <w:rsid w:val="00DF42A0"/>
    <w:rsid w:val="00E769FE"/>
    <w:rsid w:val="00EA2CBE"/>
    <w:rsid w:val="00F32FEE"/>
    <w:rsid w:val="00FB10BB"/>
    <w:rsid w:val="0A0B3224"/>
    <w:rsid w:val="0DB76A9F"/>
    <w:rsid w:val="0DFA29B7"/>
    <w:rsid w:val="0EED2B0E"/>
    <w:rsid w:val="0F005216"/>
    <w:rsid w:val="0FA35970"/>
    <w:rsid w:val="10D87903"/>
    <w:rsid w:val="110F57F4"/>
    <w:rsid w:val="12A305D3"/>
    <w:rsid w:val="133D0763"/>
    <w:rsid w:val="1573402A"/>
    <w:rsid w:val="180457C9"/>
    <w:rsid w:val="1849538A"/>
    <w:rsid w:val="1AF47D7D"/>
    <w:rsid w:val="1C737A4F"/>
    <w:rsid w:val="1DED0F7B"/>
    <w:rsid w:val="1E2D22A3"/>
    <w:rsid w:val="1F2D16E4"/>
    <w:rsid w:val="1F48628D"/>
    <w:rsid w:val="20A3652F"/>
    <w:rsid w:val="22D16BE2"/>
    <w:rsid w:val="236A1013"/>
    <w:rsid w:val="278407CC"/>
    <w:rsid w:val="2E920B86"/>
    <w:rsid w:val="2EE81A54"/>
    <w:rsid w:val="34035B8D"/>
    <w:rsid w:val="360E2B9B"/>
    <w:rsid w:val="36762B44"/>
    <w:rsid w:val="36E56859"/>
    <w:rsid w:val="39704EE5"/>
    <w:rsid w:val="3A8757A4"/>
    <w:rsid w:val="3A99139F"/>
    <w:rsid w:val="3CBC1B00"/>
    <w:rsid w:val="3CFE229C"/>
    <w:rsid w:val="3E306A14"/>
    <w:rsid w:val="3E384EE6"/>
    <w:rsid w:val="41322AE8"/>
    <w:rsid w:val="42201A6D"/>
    <w:rsid w:val="428F5236"/>
    <w:rsid w:val="42C16D13"/>
    <w:rsid w:val="465F578E"/>
    <w:rsid w:val="46A60AAE"/>
    <w:rsid w:val="496864DD"/>
    <w:rsid w:val="4A2150BE"/>
    <w:rsid w:val="4A341719"/>
    <w:rsid w:val="4BB7377C"/>
    <w:rsid w:val="4D762037"/>
    <w:rsid w:val="4FEF7DC0"/>
    <w:rsid w:val="50743FDE"/>
    <w:rsid w:val="5095047A"/>
    <w:rsid w:val="51595195"/>
    <w:rsid w:val="52D457A6"/>
    <w:rsid w:val="53514FCF"/>
    <w:rsid w:val="5963244C"/>
    <w:rsid w:val="59870581"/>
    <w:rsid w:val="5D795036"/>
    <w:rsid w:val="5E222DD1"/>
    <w:rsid w:val="5FF96B08"/>
    <w:rsid w:val="6B7A434E"/>
    <w:rsid w:val="6B8E1792"/>
    <w:rsid w:val="70DB1C73"/>
    <w:rsid w:val="7239371A"/>
    <w:rsid w:val="733B1275"/>
    <w:rsid w:val="756F5FB9"/>
    <w:rsid w:val="7B557782"/>
    <w:rsid w:val="7D1D71BC"/>
    <w:rsid w:val="7FCB6F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Char"/>
    <w:basedOn w:val="16"/>
    <w:link w:val="2"/>
    <w:qFormat/>
    <w:uiPriority w:val="9"/>
    <w:rPr>
      <w:rFonts w:asciiTheme="majorHAnsi" w:hAnsiTheme="majorHAnsi" w:eastAsiaTheme="majorEastAsia"/>
      <w:b/>
      <w:bCs/>
      <w:kern w:val="32"/>
      <w:sz w:val="32"/>
      <w:szCs w:val="32"/>
    </w:rPr>
  </w:style>
  <w:style w:type="character" w:customStyle="1" w:styleId="21">
    <w:name w:val="标题 2 Char"/>
    <w:basedOn w:val="16"/>
    <w:link w:val="3"/>
    <w:semiHidden/>
    <w:qFormat/>
    <w:uiPriority w:val="9"/>
    <w:rPr>
      <w:rFonts w:asciiTheme="majorHAnsi" w:hAnsiTheme="majorHAnsi" w:eastAsiaTheme="majorEastAsia"/>
      <w:b/>
      <w:bCs/>
      <w:i/>
      <w:iCs/>
      <w:sz w:val="28"/>
      <w:szCs w:val="28"/>
    </w:rPr>
  </w:style>
  <w:style w:type="character" w:customStyle="1" w:styleId="22">
    <w:name w:val="标题 3 Char"/>
    <w:basedOn w:val="16"/>
    <w:link w:val="4"/>
    <w:semiHidden/>
    <w:qFormat/>
    <w:uiPriority w:val="9"/>
    <w:rPr>
      <w:rFonts w:asciiTheme="majorHAnsi" w:hAnsiTheme="majorHAnsi" w:eastAsiaTheme="majorEastAsia"/>
      <w:b/>
      <w:bCs/>
      <w:sz w:val="26"/>
      <w:szCs w:val="26"/>
    </w:rPr>
  </w:style>
  <w:style w:type="character" w:customStyle="1" w:styleId="23">
    <w:name w:val="标题 4 Char"/>
    <w:basedOn w:val="16"/>
    <w:link w:val="5"/>
    <w:semiHidden/>
    <w:qFormat/>
    <w:uiPriority w:val="9"/>
    <w:rPr>
      <w:b/>
      <w:bCs/>
      <w:sz w:val="28"/>
      <w:szCs w:val="28"/>
    </w:rPr>
  </w:style>
  <w:style w:type="character" w:customStyle="1" w:styleId="24">
    <w:name w:val="标题 5 Char"/>
    <w:basedOn w:val="16"/>
    <w:link w:val="6"/>
    <w:semiHidden/>
    <w:qFormat/>
    <w:uiPriority w:val="9"/>
    <w:rPr>
      <w:b/>
      <w:bCs/>
      <w:i/>
      <w:iCs/>
      <w:sz w:val="26"/>
      <w:szCs w:val="26"/>
    </w:rPr>
  </w:style>
  <w:style w:type="character" w:customStyle="1" w:styleId="25">
    <w:name w:val="标题 6 Char"/>
    <w:basedOn w:val="16"/>
    <w:link w:val="7"/>
    <w:semiHidden/>
    <w:qFormat/>
    <w:uiPriority w:val="9"/>
    <w:rPr>
      <w:b/>
      <w:bCs/>
    </w:rPr>
  </w:style>
  <w:style w:type="character" w:customStyle="1" w:styleId="26">
    <w:name w:val="标题 7 Char"/>
    <w:basedOn w:val="16"/>
    <w:link w:val="8"/>
    <w:semiHidden/>
    <w:qFormat/>
    <w:uiPriority w:val="9"/>
    <w:rPr>
      <w:sz w:val="24"/>
      <w:szCs w:val="24"/>
    </w:rPr>
  </w:style>
  <w:style w:type="character" w:customStyle="1" w:styleId="27">
    <w:name w:val="标题 8 Char"/>
    <w:basedOn w:val="16"/>
    <w:link w:val="9"/>
    <w:semiHidden/>
    <w:qFormat/>
    <w:uiPriority w:val="9"/>
    <w:rPr>
      <w:i/>
      <w:iCs/>
      <w:sz w:val="24"/>
      <w:szCs w:val="24"/>
    </w:rPr>
  </w:style>
  <w:style w:type="character" w:customStyle="1" w:styleId="28">
    <w:name w:val="标题 9 Char"/>
    <w:basedOn w:val="16"/>
    <w:link w:val="10"/>
    <w:semiHidden/>
    <w:qFormat/>
    <w:uiPriority w:val="9"/>
    <w:rPr>
      <w:rFonts w:asciiTheme="majorHAnsi" w:hAnsiTheme="majorHAnsi" w:eastAsiaTheme="majorEastAsia"/>
    </w:rPr>
  </w:style>
  <w:style w:type="character" w:customStyle="1" w:styleId="29">
    <w:name w:val="标题 Char"/>
    <w:basedOn w:val="16"/>
    <w:link w:val="15"/>
    <w:qFormat/>
    <w:uiPriority w:val="10"/>
    <w:rPr>
      <w:rFonts w:asciiTheme="majorHAnsi" w:hAnsiTheme="majorHAnsi" w:eastAsiaTheme="majorEastAsia"/>
      <w:b/>
      <w:bCs/>
      <w:kern w:val="28"/>
      <w:sz w:val="32"/>
      <w:szCs w:val="32"/>
    </w:rPr>
  </w:style>
  <w:style w:type="character" w:customStyle="1" w:styleId="30">
    <w:name w:val="副标题 Char"/>
    <w:basedOn w:val="16"/>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6"/>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6"/>
    <w:link w:val="35"/>
    <w:qFormat/>
    <w:uiPriority w:val="30"/>
    <w:rPr>
      <w:b/>
      <w:i/>
      <w:sz w:val="24"/>
    </w:rPr>
  </w:style>
  <w:style w:type="character" w:customStyle="1" w:styleId="37">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Intense Emphasis"/>
    <w:basedOn w:val="16"/>
    <w:qFormat/>
    <w:uiPriority w:val="21"/>
    <w:rPr>
      <w:b/>
      <w:i/>
      <w:sz w:val="24"/>
      <w:szCs w:val="24"/>
      <w:u w:val="single"/>
    </w:rPr>
  </w:style>
  <w:style w:type="character" w:customStyle="1" w:styleId="39">
    <w:name w:val="Subtle Reference"/>
    <w:basedOn w:val="16"/>
    <w:qFormat/>
    <w:uiPriority w:val="31"/>
    <w:rPr>
      <w:sz w:val="24"/>
      <w:szCs w:val="24"/>
      <w:u w:val="single"/>
    </w:rPr>
  </w:style>
  <w:style w:type="character" w:customStyle="1" w:styleId="40">
    <w:name w:val="Intense Reference"/>
    <w:basedOn w:val="16"/>
    <w:qFormat/>
    <w:uiPriority w:val="32"/>
    <w:rPr>
      <w:b/>
      <w:sz w:val="24"/>
      <w:u w:val="single"/>
    </w:rPr>
  </w:style>
  <w:style w:type="character" w:customStyle="1" w:styleId="41">
    <w:name w:val="Book Title"/>
    <w:basedOn w:val="16"/>
    <w:qFormat/>
    <w:uiPriority w:val="33"/>
    <w:rPr>
      <w:rFonts w:asciiTheme="majorHAnsi" w:hAnsiTheme="majorHAnsi" w:eastAsiaTheme="majorEastAsia"/>
      <w:b/>
      <w:i/>
      <w:sz w:val="24"/>
      <w:szCs w:val="24"/>
    </w:rPr>
  </w:style>
  <w:style w:type="paragraph" w:customStyle="1" w:styleId="42">
    <w:name w:val="TOC Heading"/>
    <w:basedOn w:val="2"/>
    <w:next w:val="1"/>
    <w:unhideWhenUsed/>
    <w:qFormat/>
    <w:uiPriority w:val="39"/>
    <w:pPr>
      <w:outlineLvl w:val="9"/>
    </w:pPr>
    <w:rPr>
      <w:lang w:eastAsia="en-US" w:bidi="en-US"/>
    </w:rPr>
  </w:style>
  <w:style w:type="character" w:customStyle="1" w:styleId="43">
    <w:name w:val="页眉 Char"/>
    <w:basedOn w:val="16"/>
    <w:link w:val="13"/>
    <w:qFormat/>
    <w:uiPriority w:val="99"/>
    <w:rPr>
      <w:rFonts w:ascii="Calibri" w:hAnsi="Calibri" w:eastAsia="宋体"/>
      <w:kern w:val="2"/>
      <w:sz w:val="18"/>
      <w:szCs w:val="18"/>
    </w:rPr>
  </w:style>
  <w:style w:type="character" w:customStyle="1" w:styleId="44">
    <w:name w:val="页脚 Char"/>
    <w:basedOn w:val="16"/>
    <w:link w:val="12"/>
    <w:qFormat/>
    <w:uiPriority w:val="99"/>
    <w:rPr>
      <w:rFonts w:ascii="Calibri" w:hAnsi="Calibri" w:eastAsia="宋体"/>
      <w:kern w:val="2"/>
      <w:sz w:val="18"/>
      <w:szCs w:val="18"/>
    </w:rPr>
  </w:style>
  <w:style w:type="character" w:customStyle="1" w:styleId="45">
    <w:name w:val="批注框文本 Char"/>
    <w:basedOn w:val="16"/>
    <w:link w:val="11"/>
    <w:semiHidden/>
    <w:qFormat/>
    <w:uiPriority w:val="99"/>
    <w:rPr>
      <w:rFonts w:ascii="Times New Roman" w:hAnsi="Times New Roman" w:eastAsia="宋体"/>
      <w:kern w:val="2"/>
      <w:sz w:val="18"/>
      <w:szCs w:val="18"/>
    </w:rPr>
  </w:style>
  <w:style w:type="character" w:customStyle="1" w:styleId="46">
    <w:name w:val="font31"/>
    <w:basedOn w:val="16"/>
    <w:qFormat/>
    <w:uiPriority w:val="0"/>
    <w:rPr>
      <w:rFonts w:hint="eastAsia" w:ascii="宋体" w:hAnsi="宋体" w:eastAsia="宋体" w:cs="宋体"/>
      <w:color w:val="000000"/>
      <w:sz w:val="24"/>
      <w:szCs w:val="24"/>
      <w:u w:val="none"/>
    </w:rPr>
  </w:style>
  <w:style w:type="character" w:customStyle="1" w:styleId="47">
    <w:name w:val="font01"/>
    <w:basedOn w:val="16"/>
    <w:qFormat/>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0</TotalTime>
  <ScaleCrop>false</ScaleCrop>
  <LinksUpToDate>false</LinksUpToDate>
  <CharactersWithSpaces>1366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xcj</cp:lastModifiedBy>
  <cp:lastPrinted>2018-12-31T10:56:00Z</cp:lastPrinted>
  <dcterms:modified xsi:type="dcterms:W3CDTF">2019-01-15T12:57:55Z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