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附件1：</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lang w:eastAsia="zh-CN"/>
        </w:rPr>
        <w:t>奇台县</w:t>
      </w:r>
      <w:r>
        <w:rPr>
          <w:rFonts w:hint="eastAsia" w:ascii="方正小标宋_GBK" w:hAnsi="华文中宋" w:eastAsia="方正小标宋_GBK" w:cs="宋体"/>
          <w:b/>
          <w:kern w:val="0"/>
          <w:sz w:val="48"/>
          <w:szCs w:val="48"/>
        </w:rPr>
        <w:t>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hAnsi="宋体" w:eastAsia="仿宋_GB2312" w:cs="宋体"/>
          <w:kern w:val="0"/>
          <w:sz w:val="36"/>
          <w:szCs w:val="36"/>
          <w:lang w:val="en-US" w:eastAsia="zh-CN"/>
        </w:rPr>
        <w:t>2017</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int="eastAsia" w:hAnsi="宋体" w:eastAsia="仿宋_GB2312" w:cs="宋体"/>
          <w:kern w:val="0"/>
          <w:sz w:val="36"/>
          <w:szCs w:val="36"/>
          <w:lang w:val="en-US" w:eastAsia="zh-CN"/>
        </w:rPr>
      </w:pPr>
      <w:r>
        <w:rPr>
          <w:rFonts w:hint="eastAsia" w:hAnsi="宋体" w:eastAsia="仿宋_GB2312" w:cs="宋体"/>
          <w:kern w:val="0"/>
          <w:sz w:val="36"/>
          <w:szCs w:val="36"/>
        </w:rPr>
        <w:t xml:space="preserve">     项目名称：</w:t>
      </w:r>
      <w:r>
        <w:rPr>
          <w:rFonts w:hint="eastAsia" w:hAnsi="宋体" w:eastAsia="仿宋_GB2312" w:cs="宋体"/>
          <w:kern w:val="0"/>
          <w:sz w:val="36"/>
          <w:szCs w:val="36"/>
          <w:lang w:val="en-US" w:eastAsia="zh-CN"/>
        </w:rPr>
        <w:t>地方政府其他一般债务还本支出</w:t>
      </w:r>
    </w:p>
    <w:p>
      <w:pPr>
        <w:spacing w:line="700" w:lineRule="exact"/>
        <w:jc w:val="left"/>
        <w:rPr>
          <w:rFonts w:hint="eastAsia" w:hAnsi="宋体" w:eastAsia="仿宋_GB2312" w:cs="宋体"/>
          <w:kern w:val="0"/>
          <w:sz w:val="36"/>
          <w:szCs w:val="36"/>
          <w:lang w:val="en-US" w:eastAsia="zh-CN"/>
        </w:rPr>
      </w:pPr>
      <w:r>
        <w:rPr>
          <w:rFonts w:hint="eastAsia" w:hAnsi="宋体" w:eastAsia="仿宋_GB2312" w:cs="宋体"/>
          <w:kern w:val="0"/>
          <w:sz w:val="36"/>
          <w:szCs w:val="36"/>
        </w:rPr>
        <w:t xml:space="preserve">     实施单位（公章）：奇台县</w:t>
      </w:r>
      <w:r>
        <w:rPr>
          <w:rFonts w:hint="eastAsia" w:hAnsi="宋体" w:eastAsia="仿宋_GB2312" w:cs="宋体"/>
          <w:kern w:val="0"/>
          <w:sz w:val="36"/>
          <w:szCs w:val="36"/>
          <w:lang w:val="en-US" w:eastAsia="zh-CN"/>
        </w:rPr>
        <w:t>西北湾镇人民政府</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主管部门（公章）：奇台县</w:t>
      </w:r>
      <w:r>
        <w:rPr>
          <w:rFonts w:hint="eastAsia" w:hAnsi="宋体" w:eastAsia="仿宋_GB2312" w:cs="宋体"/>
          <w:kern w:val="0"/>
          <w:sz w:val="36"/>
          <w:szCs w:val="36"/>
          <w:lang w:val="en-US" w:eastAsia="zh-CN"/>
        </w:rPr>
        <w:t>西北湾镇人民政府</w:t>
      </w:r>
    </w:p>
    <w:p>
      <w:pPr>
        <w:spacing w:line="700" w:lineRule="exact"/>
        <w:ind w:firstLine="849" w:firstLineChars="236"/>
        <w:jc w:val="left"/>
        <w:rPr>
          <w:rFonts w:hint="eastAsia" w:hAnsi="宋体" w:eastAsia="仿宋_GB2312" w:cs="宋体"/>
          <w:kern w:val="0"/>
          <w:sz w:val="36"/>
          <w:szCs w:val="36"/>
          <w:lang w:val="en-US" w:eastAsia="zh-CN"/>
        </w:rPr>
      </w:pPr>
      <w:r>
        <w:rPr>
          <w:rFonts w:hint="eastAsia" w:hAnsi="宋体" w:eastAsia="仿宋_GB2312" w:cs="宋体"/>
          <w:kern w:val="0"/>
          <w:sz w:val="36"/>
          <w:szCs w:val="36"/>
        </w:rPr>
        <w:t>项目负责人（签章）：</w:t>
      </w:r>
      <w:r>
        <w:rPr>
          <w:rFonts w:hint="eastAsia" w:hAnsi="宋体" w:eastAsia="仿宋_GB2312" w:cs="宋体"/>
          <w:kern w:val="0"/>
          <w:sz w:val="36"/>
          <w:szCs w:val="36"/>
          <w:lang w:val="en-US" w:eastAsia="zh-CN"/>
        </w:rPr>
        <w:t>黄永伟</w:t>
      </w:r>
    </w:p>
    <w:p>
      <w:pPr>
        <w:spacing w:line="700" w:lineRule="exact"/>
        <w:ind w:firstLine="849" w:firstLineChars="236"/>
        <w:jc w:val="left"/>
        <w:rPr>
          <w:rFonts w:hAnsi="宋体" w:eastAsia="仿宋_GB2312" w:cs="宋体"/>
          <w:kern w:val="0"/>
          <w:sz w:val="36"/>
          <w:szCs w:val="36"/>
          <w:highlight w:val="yellow"/>
        </w:rPr>
      </w:pPr>
      <w:r>
        <w:rPr>
          <w:rFonts w:hint="eastAsia" w:hAnsi="宋体" w:eastAsia="仿宋_GB2312" w:cs="宋体"/>
          <w:kern w:val="0"/>
          <w:sz w:val="36"/>
          <w:szCs w:val="36"/>
        </w:rPr>
        <w:t>填报时间：</w:t>
      </w:r>
      <w:r>
        <w:rPr>
          <w:rFonts w:hint="eastAsia" w:hAnsi="宋体" w:eastAsia="仿宋_GB2312" w:cs="宋体"/>
          <w:kern w:val="0"/>
          <w:sz w:val="36"/>
          <w:szCs w:val="36"/>
          <w:lang w:val="en-US" w:eastAsia="zh-CN"/>
        </w:rPr>
        <w:t>2018</w:t>
      </w:r>
      <w:r>
        <w:rPr>
          <w:rFonts w:hint="eastAsia" w:hAnsi="宋体" w:eastAsia="仿宋_GB2312" w:cs="宋体"/>
          <w:kern w:val="0"/>
          <w:sz w:val="36"/>
          <w:szCs w:val="36"/>
        </w:rPr>
        <w:t xml:space="preserve">年 </w:t>
      </w:r>
      <w:r>
        <w:rPr>
          <w:rFonts w:hint="eastAsia" w:hAnsi="宋体" w:eastAsia="仿宋_GB2312" w:cs="宋体"/>
          <w:kern w:val="0"/>
          <w:sz w:val="36"/>
          <w:szCs w:val="36"/>
          <w:lang w:val="en-US" w:eastAsia="zh-CN"/>
        </w:rPr>
        <w:t>8</w:t>
      </w:r>
      <w:r>
        <w:rPr>
          <w:rFonts w:hint="eastAsia" w:hAnsi="宋体" w:eastAsia="仿宋_GB2312" w:cs="宋体"/>
          <w:kern w:val="0"/>
          <w:sz w:val="36"/>
          <w:szCs w:val="36"/>
        </w:rPr>
        <w:t xml:space="preserve"> 月 </w:t>
      </w:r>
      <w:r>
        <w:rPr>
          <w:rFonts w:hint="eastAsia" w:hAnsi="宋体" w:eastAsia="仿宋_GB2312" w:cs="宋体"/>
          <w:kern w:val="0"/>
          <w:sz w:val="36"/>
          <w:szCs w:val="36"/>
          <w:lang w:val="en-US" w:eastAsia="zh-CN"/>
        </w:rPr>
        <w:t>17</w:t>
      </w:r>
      <w:r>
        <w:rPr>
          <w:rFonts w:hint="eastAsia" w:hAnsi="宋体" w:eastAsia="仿宋_GB2312" w:cs="宋体"/>
          <w:kern w:val="0"/>
          <w:sz w:val="36"/>
          <w:szCs w:val="36"/>
        </w:rPr>
        <w:t xml:space="preserve"> 日</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keepNext w:val="0"/>
        <w:keepLines w:val="0"/>
        <w:pageBreakBefore w:val="0"/>
        <w:widowControl w:val="0"/>
        <w:kinsoku/>
        <w:wordWrap/>
        <w:overflowPunct/>
        <w:topLinePunct w:val="0"/>
        <w:autoSpaceDE/>
        <w:autoSpaceDN/>
        <w:bidi w:val="0"/>
        <w:adjustRightIn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（1）执行本级人民代表大会的决议和上级国家行政机关的决定和命令，发布决定和命令。</w:t>
      </w:r>
    </w:p>
    <w:p>
      <w:pPr>
        <w:keepNext w:val="0"/>
        <w:keepLines w:val="0"/>
        <w:pageBreakBefore w:val="0"/>
        <w:widowControl w:val="0"/>
        <w:kinsoku/>
        <w:wordWrap/>
        <w:overflowPunct/>
        <w:topLinePunct w:val="0"/>
        <w:autoSpaceDE/>
        <w:autoSpaceDN/>
        <w:bidi w:val="0"/>
        <w:adjustRightIn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（2）执行本行政区域内的经济和社会发展计划、预算，管理本行政区域内的经济、教育、科学、文化、卫生、体育事业和财政、民政、公安、司法行政、计划生育等行政工作；</w:t>
      </w:r>
    </w:p>
    <w:p>
      <w:pPr>
        <w:keepNext w:val="0"/>
        <w:keepLines w:val="0"/>
        <w:pageBreakBefore w:val="0"/>
        <w:widowControl w:val="0"/>
        <w:kinsoku/>
        <w:wordWrap/>
        <w:overflowPunct/>
        <w:topLinePunct w:val="0"/>
        <w:autoSpaceDE/>
        <w:autoSpaceDN/>
        <w:bidi w:val="0"/>
        <w:adjustRightIn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（3）保护社会主义的全民所有的财产和劳动群众集体所有的财产，保护公民私人所有的合法财产，维护社会秩序，保障公民的人身权利、民主权利和其他权利；</w:t>
      </w:r>
    </w:p>
    <w:p>
      <w:pPr>
        <w:keepNext w:val="0"/>
        <w:keepLines w:val="0"/>
        <w:pageBreakBefore w:val="0"/>
        <w:widowControl w:val="0"/>
        <w:kinsoku/>
        <w:wordWrap/>
        <w:overflowPunct/>
        <w:topLinePunct w:val="0"/>
        <w:autoSpaceDE/>
        <w:autoSpaceDN/>
        <w:bidi w:val="0"/>
        <w:adjustRightIn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（4）保护各种经济组织的合法权益；</w:t>
      </w:r>
    </w:p>
    <w:p>
      <w:pPr>
        <w:keepNext w:val="0"/>
        <w:keepLines w:val="0"/>
        <w:pageBreakBefore w:val="0"/>
        <w:widowControl w:val="0"/>
        <w:kinsoku/>
        <w:wordWrap/>
        <w:overflowPunct/>
        <w:topLinePunct w:val="0"/>
        <w:autoSpaceDE/>
        <w:autoSpaceDN/>
        <w:bidi w:val="0"/>
        <w:adjustRightIn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（5）保障少数民族的权利和尊重少数民族的风俗习惯；</w:t>
      </w:r>
    </w:p>
    <w:p>
      <w:pPr>
        <w:keepNext w:val="0"/>
        <w:keepLines w:val="0"/>
        <w:pageBreakBefore w:val="0"/>
        <w:widowControl w:val="0"/>
        <w:kinsoku/>
        <w:wordWrap/>
        <w:overflowPunct/>
        <w:topLinePunct w:val="0"/>
        <w:autoSpaceDE/>
        <w:autoSpaceDN/>
        <w:bidi w:val="0"/>
        <w:adjustRightIn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（6）保障宪法和法律赋予妇女的男女平等、同工同酬和婚姻自由等各项权利；</w:t>
      </w:r>
    </w:p>
    <w:p>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rPr>
          <w:rStyle w:val="18"/>
          <w:rFonts w:ascii="楷体" w:hAnsi="楷体" w:eastAsia="楷体"/>
          <w:spacing w:val="-4"/>
          <w:sz w:val="32"/>
          <w:szCs w:val="32"/>
          <w:highlight w:val="yellow"/>
        </w:rPr>
      </w:pPr>
      <w:r>
        <w:rPr>
          <w:rFonts w:hint="eastAsia" w:ascii="仿宋" w:hAnsi="仿宋" w:eastAsia="仿宋" w:cs="仿宋"/>
          <w:sz w:val="32"/>
          <w:szCs w:val="32"/>
        </w:rPr>
        <w:t>（7）办理上级人民政府交办的其他事项。</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keepNext w:val="0"/>
        <w:keepLines w:val="0"/>
        <w:pageBreakBefore w:val="0"/>
        <w:widowControl w:val="0"/>
        <w:kinsoku/>
        <w:wordWrap/>
        <w:overflowPunct/>
        <w:topLinePunct w:val="0"/>
        <w:autoSpaceDE/>
        <w:autoSpaceDN/>
        <w:bidi w:val="0"/>
        <w:adjustRightInd/>
        <w:snapToGrid/>
        <w:spacing w:beforeLines="0" w:afterLines="0"/>
        <w:ind w:firstLine="624" w:firstLineChars="200"/>
        <w:jc w:val="left"/>
        <w:textAlignment w:val="auto"/>
        <w:rPr>
          <w:rStyle w:val="18"/>
          <w:rFonts w:hint="eastAsia" w:ascii="仿宋" w:hAnsi="仿宋" w:eastAsia="仿宋" w:cs="Times New Roman"/>
          <w:b w:val="0"/>
          <w:spacing w:val="-4"/>
          <w:sz w:val="32"/>
          <w:szCs w:val="32"/>
          <w:highlight w:val="none"/>
          <w:lang w:val="en-US" w:eastAsia="zh-CN"/>
        </w:rPr>
      </w:pPr>
      <w:r>
        <w:rPr>
          <w:rStyle w:val="18"/>
          <w:rFonts w:hint="eastAsia" w:ascii="仿宋" w:hAnsi="仿宋" w:eastAsia="仿宋"/>
          <w:b w:val="0"/>
          <w:spacing w:val="-4"/>
          <w:sz w:val="32"/>
          <w:szCs w:val="32"/>
          <w:highlight w:val="none"/>
          <w:lang w:val="en-US" w:eastAsia="zh-CN"/>
        </w:rPr>
        <w:t>地方政府其他一般债务还本支出主要用于2017年西北湾镇下属村组活动室建设、镇人行道工程、排水管道工程的债务还本支出，</w:t>
      </w:r>
      <w:r>
        <w:rPr>
          <w:rStyle w:val="18"/>
          <w:rFonts w:hint="eastAsia" w:ascii="仿宋" w:hAnsi="仿宋" w:eastAsia="仿宋" w:cs="Times New Roman"/>
          <w:b w:val="0"/>
          <w:spacing w:val="-4"/>
          <w:sz w:val="32"/>
          <w:szCs w:val="32"/>
          <w:highlight w:val="none"/>
          <w:lang w:val="en-US" w:eastAsia="zh-CN"/>
        </w:rPr>
        <w:t>能否按时足额偿债，既事关地方政府的形象和信誉，又直接关系到项目施工方的经济利益。因此，尽管偿债压力大，但各级政府对此都不敢掉以轻心，而是想方设法多渠道筹集资金以确保按时足额偿还，这样既保持了政府的形象和信誉，又缓解了政府的债务压力，政府可以更好的为群众服务。</w:t>
      </w:r>
    </w:p>
    <w:p>
      <w:pPr>
        <w:spacing w:beforeLines="0" w:afterLines="0"/>
        <w:ind w:firstLine="624" w:firstLineChars="200"/>
        <w:jc w:val="left"/>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spacing w:line="540" w:lineRule="exact"/>
        <w:ind w:firstLine="624" w:firstLineChars="200"/>
        <w:rPr>
          <w:rStyle w:val="18"/>
          <w:rFonts w:hint="eastAsia" w:ascii="仿宋" w:hAnsi="仿宋" w:eastAsia="仿宋"/>
          <w:b w:val="0"/>
          <w:spacing w:val="-4"/>
          <w:sz w:val="32"/>
          <w:szCs w:val="32"/>
          <w:highlight w:val="none"/>
          <w:lang w:eastAsia="zh-CN"/>
        </w:rPr>
      </w:pPr>
      <w:r>
        <w:rPr>
          <w:rStyle w:val="18"/>
          <w:rFonts w:hint="eastAsia" w:ascii="仿宋" w:hAnsi="仿宋" w:eastAsia="仿宋"/>
          <w:b w:val="0"/>
          <w:spacing w:val="-4"/>
          <w:sz w:val="32"/>
          <w:szCs w:val="32"/>
          <w:highlight w:val="none"/>
          <w:lang w:val="en-US" w:eastAsia="zh-CN"/>
        </w:rPr>
        <w:t>地方政府其他一般债务还本支出主要用于2017年西北湾镇下属村组活动室建设、镇人行道工程、排水管道工程的债务还本支出，总预算329.48万元，其中上级财政拨款安排329.48万元。</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spacing w:line="540" w:lineRule="exact"/>
        <w:ind w:firstLine="624" w:firstLineChars="200"/>
        <w:rPr>
          <w:rStyle w:val="18"/>
          <w:rFonts w:hint="eastAsia" w:ascii="仿宋" w:hAnsi="仿宋" w:eastAsia="仿宋"/>
          <w:b w:val="0"/>
          <w:spacing w:val="-4"/>
          <w:sz w:val="32"/>
          <w:szCs w:val="32"/>
          <w:highlight w:val="none"/>
          <w:lang w:eastAsia="zh-CN"/>
        </w:rPr>
      </w:pPr>
      <w:r>
        <w:rPr>
          <w:rStyle w:val="18"/>
          <w:rFonts w:hint="eastAsia" w:ascii="仿宋" w:hAnsi="仿宋" w:eastAsia="仿宋"/>
          <w:b w:val="0"/>
          <w:spacing w:val="-4"/>
          <w:sz w:val="32"/>
          <w:szCs w:val="32"/>
          <w:highlight w:val="none"/>
          <w:lang w:val="en-US" w:eastAsia="zh-CN"/>
        </w:rPr>
        <w:t>2017年西北湾镇地方政府其他一般债务还本支出，由县级财政直接支付，乡镇收集活动室建设的工程合同、工程款支付情况凭证、债务偿还协议、工程发票及开户银行的信息等。</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spacing w:line="540" w:lineRule="exact"/>
        <w:ind w:firstLine="624" w:firstLineChars="200"/>
        <w:rPr>
          <w:rStyle w:val="18"/>
          <w:rFonts w:hint="eastAsia" w:ascii="仿宋" w:hAnsi="仿宋" w:eastAsia="仿宋"/>
          <w:b w:val="0"/>
          <w:spacing w:val="-4"/>
          <w:sz w:val="32"/>
          <w:szCs w:val="32"/>
          <w:highlight w:val="yellow"/>
          <w:lang w:val="en-US"/>
        </w:rPr>
      </w:pPr>
      <w:r>
        <w:rPr>
          <w:rStyle w:val="18"/>
          <w:rFonts w:hint="eastAsia" w:ascii="仿宋" w:hAnsi="仿宋" w:eastAsia="仿宋"/>
          <w:b w:val="0"/>
          <w:spacing w:val="-4"/>
          <w:sz w:val="32"/>
          <w:szCs w:val="32"/>
          <w:highlight w:val="none"/>
          <w:lang w:val="en-US" w:eastAsia="zh-CN"/>
        </w:rPr>
        <w:t>西北湾镇地方政府其他一般债务还本支出通过支付争取地方财政化债资金，通过国库集中支付方式将西北湾镇项目的债务余额直接支付到项目施工单位账户</w:t>
      </w:r>
      <w:r>
        <w:rPr>
          <w:rStyle w:val="18"/>
          <w:rFonts w:hint="eastAsia" w:ascii="仿宋" w:hAnsi="仿宋" w:eastAsia="仿宋" w:cs="Times New Roman"/>
          <w:b w:val="0"/>
          <w:spacing w:val="-4"/>
          <w:sz w:val="32"/>
          <w:szCs w:val="32"/>
          <w:highlight w:val="none"/>
          <w:lang w:val="en-US" w:eastAsia="zh-CN"/>
        </w:rPr>
        <w:t>。</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spacing w:line="540" w:lineRule="exact"/>
        <w:ind w:firstLine="624" w:firstLineChars="200"/>
        <w:rPr>
          <w:rStyle w:val="18"/>
          <w:rFonts w:hint="eastAsia" w:ascii="仿宋" w:hAnsi="仿宋" w:eastAsia="仿宋"/>
          <w:b w:val="0"/>
          <w:spacing w:val="-4"/>
          <w:sz w:val="32"/>
          <w:szCs w:val="32"/>
          <w:highlight w:val="none"/>
          <w:lang w:val="en-US" w:eastAsia="zh-CN"/>
        </w:rPr>
      </w:pPr>
      <w:r>
        <w:rPr>
          <w:rStyle w:val="18"/>
          <w:rFonts w:hint="eastAsia" w:ascii="仿宋" w:hAnsi="仿宋" w:eastAsia="仿宋"/>
          <w:b w:val="0"/>
          <w:spacing w:val="-4"/>
          <w:sz w:val="32"/>
          <w:szCs w:val="32"/>
          <w:highlight w:val="none"/>
          <w:lang w:val="en-US" w:eastAsia="zh-CN"/>
        </w:rPr>
        <w:t>2017年西北湾镇地方政府其他一般债务还本支出，由县级财政直接支付，乡镇收集活动室建设的工程合同、工程款支付情况凭证、债务偿还协议、工程发票及开户银行的信息等，通过财政争取地方财政化债资金，采用国库集中支付方式将西北湾镇地方政府其他一般债务还本支出的债务余额直接支付到项目施工单位账户</w:t>
      </w:r>
      <w:r>
        <w:rPr>
          <w:rStyle w:val="18"/>
          <w:rFonts w:hint="eastAsia" w:ascii="仿宋" w:hAnsi="仿宋" w:eastAsia="仿宋" w:cs="Times New Roman"/>
          <w:b w:val="0"/>
          <w:spacing w:val="-4"/>
          <w:sz w:val="32"/>
          <w:szCs w:val="32"/>
          <w:highlight w:val="none"/>
          <w:lang w:val="en-US" w:eastAsia="zh-CN"/>
        </w:rPr>
        <w:t>。</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spacing w:line="540" w:lineRule="exact"/>
        <w:ind w:firstLine="624" w:firstLineChars="200"/>
        <w:rPr>
          <w:rStyle w:val="18"/>
          <w:rFonts w:ascii="仿宋" w:hAnsi="仿宋" w:eastAsia="仿宋"/>
          <w:b w:val="0"/>
          <w:spacing w:val="-4"/>
          <w:sz w:val="32"/>
          <w:szCs w:val="32"/>
          <w:highlight w:val="yellow"/>
          <w:lang w:val="en-US"/>
        </w:rPr>
      </w:pPr>
      <w:r>
        <w:rPr>
          <w:rStyle w:val="18"/>
          <w:rFonts w:hint="eastAsia" w:ascii="仿宋" w:hAnsi="仿宋" w:eastAsia="仿宋" w:cs="Times New Roman"/>
          <w:b w:val="0"/>
          <w:spacing w:val="-4"/>
          <w:sz w:val="32"/>
          <w:szCs w:val="32"/>
          <w:highlight w:val="none"/>
          <w:lang w:val="en-US" w:eastAsia="zh-CN"/>
        </w:rPr>
        <w:t>根据债务余额根据支付情况进行资金的上报、债务偿还协议的签订，领导签字，</w:t>
      </w:r>
      <w:r>
        <w:rPr>
          <w:rStyle w:val="18"/>
          <w:rFonts w:hint="eastAsia" w:ascii="仿宋" w:hAnsi="仿宋" w:eastAsia="仿宋"/>
          <w:b w:val="0"/>
          <w:spacing w:val="-4"/>
          <w:sz w:val="32"/>
          <w:szCs w:val="32"/>
          <w:highlight w:val="none"/>
          <w:lang w:val="en-US" w:eastAsia="zh-CN"/>
        </w:rPr>
        <w:t>通过财政争取地方财政化债资金，采用国库集中支付方式将西北湾镇地方政府其他一般债务还本支出的债务余额直接支付到项目施工单位账户</w:t>
      </w:r>
      <w:r>
        <w:rPr>
          <w:rStyle w:val="18"/>
          <w:rFonts w:hint="eastAsia" w:ascii="仿宋" w:hAnsi="仿宋" w:eastAsia="仿宋" w:cs="Times New Roman"/>
          <w:b w:val="0"/>
          <w:spacing w:val="-4"/>
          <w:sz w:val="32"/>
          <w:szCs w:val="32"/>
          <w:highlight w:val="none"/>
          <w:lang w:val="en-US" w:eastAsia="zh-CN"/>
        </w:rPr>
        <w:t>。</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四、项目绩效情况</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spacing w:line="540" w:lineRule="exact"/>
        <w:ind w:firstLine="564" w:firstLineChars="181"/>
        <w:rPr>
          <w:rStyle w:val="18"/>
          <w:rFonts w:hint="eastAsia" w:ascii="仿宋" w:hAnsi="仿宋" w:eastAsia="仿宋"/>
          <w:b w:val="0"/>
          <w:spacing w:val="-4"/>
          <w:sz w:val="32"/>
          <w:szCs w:val="32"/>
          <w:highlight w:val="none"/>
          <w:lang w:val="en-US" w:eastAsia="zh-CN"/>
        </w:rPr>
      </w:pPr>
      <w:r>
        <w:rPr>
          <w:rStyle w:val="18"/>
          <w:rFonts w:hint="eastAsia" w:ascii="仿宋" w:hAnsi="仿宋" w:eastAsia="仿宋"/>
          <w:b w:val="0"/>
          <w:spacing w:val="-4"/>
          <w:sz w:val="32"/>
          <w:szCs w:val="32"/>
          <w:highlight w:val="none"/>
          <w:lang w:val="en-US" w:eastAsia="zh-CN"/>
        </w:rPr>
        <w:t>2017年西北湾镇地方政府其他一般债务还本支出的债务还本支出资金及时足额到位，发放程序符合有关制度规定。资金支出解决了乡镇的债务压力，维护了政府的良好形象和信誉，充分调动他们参与社会主义新农村建设的积极性，服务广大农民群众。</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spacing w:line="540" w:lineRule="exact"/>
        <w:ind w:firstLine="564" w:firstLineChars="181"/>
        <w:rPr>
          <w:rFonts w:hint="eastAsia" w:ascii="仿宋" w:hAnsi="仿宋" w:eastAsia="仿宋"/>
          <w:spacing w:val="-4"/>
          <w:sz w:val="32"/>
          <w:szCs w:val="32"/>
          <w:highlight w:val="none"/>
          <w:lang w:val="en-US" w:eastAsia="zh-CN"/>
        </w:rPr>
      </w:pPr>
      <w:r>
        <w:rPr>
          <w:rStyle w:val="18"/>
          <w:rFonts w:hint="eastAsia" w:ascii="仿宋" w:hAnsi="仿宋" w:eastAsia="仿宋"/>
          <w:b w:val="0"/>
          <w:spacing w:val="-4"/>
          <w:sz w:val="32"/>
          <w:szCs w:val="32"/>
          <w:highlight w:val="none"/>
          <w:lang w:val="en-US" w:eastAsia="zh-CN"/>
        </w:rPr>
        <w:t>2017年西北湾镇地方政府其他一般债务还本支出的还本支出资金通过国库直接支付的方式将债务余额支付到项目施工方银行账户，项目按时完成</w:t>
      </w:r>
      <w:r>
        <w:rPr>
          <w:rFonts w:hint="eastAsia" w:ascii="仿宋" w:hAnsi="仿宋" w:eastAsia="仿宋"/>
          <w:spacing w:val="-4"/>
          <w:sz w:val="32"/>
          <w:szCs w:val="32"/>
          <w:highlight w:val="none"/>
          <w:lang w:val="en-US" w:eastAsia="zh-CN"/>
        </w:rPr>
        <w:t>。</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pPr>
        <w:spacing w:line="540" w:lineRule="exact"/>
        <w:ind w:firstLine="564" w:firstLineChars="181"/>
        <w:rPr>
          <w:rFonts w:hint="eastAsia" w:ascii="仿宋" w:hAnsi="仿宋" w:eastAsia="仿宋" w:cs="仿宋"/>
          <w:b w:val="0"/>
          <w:bCs/>
          <w:spacing w:val="-4"/>
          <w:sz w:val="32"/>
          <w:szCs w:val="32"/>
          <w:lang w:val="en-US" w:eastAsia="zh-CN"/>
        </w:rPr>
      </w:pPr>
      <w:r>
        <w:rPr>
          <w:rFonts w:hint="eastAsia" w:ascii="仿宋" w:hAnsi="仿宋" w:eastAsia="仿宋" w:cs="仿宋"/>
          <w:b w:val="0"/>
          <w:bCs/>
          <w:spacing w:val="-4"/>
          <w:sz w:val="32"/>
          <w:szCs w:val="32"/>
          <w:lang w:val="en-US" w:eastAsia="zh-CN"/>
        </w:rPr>
        <w:t>无。</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spacing w:line="540" w:lineRule="exact"/>
        <w:ind w:firstLine="564" w:firstLineChars="181"/>
        <w:rPr>
          <w:rFonts w:hint="eastAsia" w:ascii="仿宋_GB2312" w:eastAsia="仿宋_GB2312"/>
          <w:spacing w:val="-4"/>
          <w:sz w:val="32"/>
          <w:szCs w:val="32"/>
          <w:highlight w:val="none"/>
          <w:lang w:val="en-US" w:eastAsia="zh-CN"/>
        </w:rPr>
      </w:pPr>
      <w:r>
        <w:rPr>
          <w:rFonts w:hint="eastAsia" w:ascii="仿宋_GB2312" w:eastAsia="仿宋_GB2312"/>
          <w:spacing w:val="-4"/>
          <w:sz w:val="32"/>
          <w:szCs w:val="32"/>
          <w:highlight w:val="none"/>
          <w:lang w:val="en-US" w:eastAsia="zh-CN"/>
        </w:rPr>
        <w:t>主要经验：</w:t>
      </w:r>
      <w:r>
        <w:rPr>
          <w:rStyle w:val="18"/>
          <w:rFonts w:hint="eastAsia" w:ascii="仿宋" w:hAnsi="仿宋" w:eastAsia="仿宋"/>
          <w:b w:val="0"/>
          <w:spacing w:val="-4"/>
          <w:sz w:val="32"/>
          <w:szCs w:val="32"/>
          <w:highlight w:val="none"/>
          <w:lang w:val="en-US" w:eastAsia="zh-CN"/>
        </w:rPr>
        <w:t>2017年西北湾镇地方政府其他一般债务还本支出的债务还本支出资金</w:t>
      </w:r>
      <w:r>
        <w:rPr>
          <w:rFonts w:hint="eastAsia" w:ascii="仿宋_GB2312" w:eastAsia="仿宋_GB2312"/>
          <w:spacing w:val="-4"/>
          <w:sz w:val="32"/>
          <w:szCs w:val="32"/>
          <w:highlight w:val="none"/>
          <w:lang w:val="en-US" w:eastAsia="zh-CN"/>
        </w:rPr>
        <w:t>，采用国库集中直接支付的原则，将债务余额直接支付到施工方银行账户，严格按照资金的上报、审批、支付流程规范资金的使用及支付，在支付过程中未出现支出重复列报、虚增化债资金的情况。</w:t>
      </w:r>
    </w:p>
    <w:p>
      <w:pPr>
        <w:spacing w:line="540" w:lineRule="exact"/>
        <w:ind w:firstLine="564" w:firstLineChars="181"/>
        <w:rPr>
          <w:rFonts w:hint="eastAsia" w:ascii="仿宋_GB2312" w:eastAsia="仿宋_GB2312"/>
          <w:spacing w:val="-4"/>
          <w:sz w:val="32"/>
          <w:szCs w:val="32"/>
          <w:highlight w:val="none"/>
          <w:lang w:val="en-US" w:eastAsia="zh-CN"/>
        </w:rPr>
      </w:pPr>
      <w:r>
        <w:rPr>
          <w:rFonts w:hint="eastAsia" w:ascii="仿宋_GB2312" w:eastAsia="仿宋_GB2312"/>
          <w:spacing w:val="-4"/>
          <w:sz w:val="32"/>
          <w:szCs w:val="32"/>
          <w:highlight w:val="none"/>
          <w:lang w:val="en-US" w:eastAsia="zh-CN"/>
        </w:rPr>
        <w:t>存在问题：地方政府的债务规模比较庞大，而且大部分都难以偿还，缺乏有机制的管理，特别是我国正处于经济建设的关键时期，各级政府响应号召，大力发展当地经济，就需要大量资金投入建设。当财政收入无法支撑大量的支出时，各级政府只能举债，这样常年累月就形成大量的债务堆积；地方政府对债务缺乏监督管理，没有设立合理的预警机制。虽然地方政府举债，形成债务在一定限度内是可行的。但是没有监管是不行的，为了防范和化解地方政府的债务形成的威胁，必须建立债务的预警机制。</w:t>
      </w:r>
    </w:p>
    <w:p>
      <w:pPr>
        <w:spacing w:line="540" w:lineRule="exact"/>
        <w:ind w:firstLine="564" w:firstLineChars="181"/>
        <w:rPr>
          <w:rFonts w:hint="default" w:ascii="仿宋_GB2312" w:eastAsia="仿宋_GB2312"/>
          <w:spacing w:val="-4"/>
          <w:sz w:val="32"/>
          <w:szCs w:val="32"/>
          <w:highlight w:val="none"/>
          <w:lang w:val="en-US" w:eastAsia="zh-CN"/>
        </w:rPr>
      </w:pPr>
      <w:r>
        <w:rPr>
          <w:rFonts w:hint="eastAsia" w:ascii="仿宋_GB2312" w:eastAsia="仿宋_GB2312"/>
          <w:spacing w:val="-4"/>
          <w:sz w:val="32"/>
          <w:szCs w:val="32"/>
          <w:highlight w:val="none"/>
          <w:lang w:val="en-US" w:eastAsia="zh-CN"/>
        </w:rPr>
        <w:t>建议：建立健全地方债务管理体系，约束债务管理的相关措施，加强与国家相关法律法规的衔接，切实做到正规渠道融资；统一债务管理部门，建议地方政府专门建立一个债务管理部门，成立债务管理小组，负责管理地方政府的一切举借信息，并对地方政府的债务偿还做出合理的规划，提高债务管理质量；建立风险防范机制，建立健全风险评估与预警机制，及时采取应对措施，达到控制风险的目的；建立债务偿还准备金制度。</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（三）其他</w:t>
      </w:r>
    </w:p>
    <w:p>
      <w:pPr>
        <w:spacing w:line="540" w:lineRule="exact"/>
        <w:ind w:firstLine="564" w:firstLineChars="181"/>
        <w:rPr>
          <w:rFonts w:hint="eastAsia" w:ascii="仿宋" w:hAnsi="仿宋" w:eastAsia="仿宋" w:cs="仿宋"/>
          <w:b w:val="0"/>
          <w:bCs/>
          <w:spacing w:val="-4"/>
          <w:sz w:val="32"/>
          <w:szCs w:val="32"/>
          <w:lang w:val="en-US" w:eastAsia="zh-CN"/>
        </w:rPr>
      </w:pPr>
      <w:r>
        <w:rPr>
          <w:rFonts w:hint="eastAsia" w:ascii="仿宋" w:hAnsi="仿宋" w:eastAsia="仿宋" w:cs="仿宋"/>
          <w:b w:val="0"/>
          <w:bCs/>
          <w:spacing w:val="-4"/>
          <w:sz w:val="32"/>
          <w:szCs w:val="32"/>
          <w:lang w:val="en-US" w:eastAsia="zh-CN"/>
        </w:rPr>
        <w:t>无。</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六、项目评价工作情况</w:t>
      </w:r>
    </w:p>
    <w:p>
      <w:pPr>
        <w:ind w:firstLine="624" w:firstLineChars="200"/>
        <w:rPr>
          <w:rFonts w:ascii="仿宋_GB2312" w:eastAsia="仿宋_GB2312"/>
          <w:spacing w:val="-4"/>
          <w:sz w:val="32"/>
          <w:szCs w:val="32"/>
          <w:highlight w:val="none"/>
        </w:rPr>
      </w:pPr>
      <w:r>
        <w:rPr>
          <w:rStyle w:val="18"/>
          <w:rFonts w:hint="eastAsia" w:ascii="仿宋" w:hAnsi="仿宋" w:eastAsia="仿宋"/>
          <w:b w:val="0"/>
          <w:spacing w:val="-4"/>
          <w:sz w:val="32"/>
          <w:szCs w:val="32"/>
          <w:highlight w:val="none"/>
          <w:lang w:val="en-US" w:eastAsia="zh-CN"/>
        </w:rPr>
        <w:t>2017年西北湾镇地方政府其他一般债务还本支出资金</w:t>
      </w:r>
      <w:r>
        <w:rPr>
          <w:rFonts w:hint="eastAsia" w:ascii="仿宋_GB2312" w:eastAsia="仿宋_GB2312"/>
          <w:spacing w:val="-4"/>
          <w:sz w:val="32"/>
          <w:szCs w:val="32"/>
          <w:highlight w:val="none"/>
          <w:lang w:val="en-US" w:eastAsia="zh-CN"/>
        </w:rPr>
        <w:t>，能按规定发放完成；资金按时、足额到位，维护了政府的形象和信誉；资金的使用也严格按照有关规定使用，在资金使用过程中没有出现虚列支出，重复申请资金等情况。</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b w:val="0"/>
          <w:spacing w:val="-4"/>
          <w:sz w:val="32"/>
          <w:szCs w:val="32"/>
        </w:rPr>
        <w:t>《自治州财政项目支出绩效自评表》</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tbl>
      <w:tblPr>
        <w:tblStyle w:val="20"/>
        <w:tblW w:w="9020" w:type="dxa"/>
        <w:tblInd w:w="93" w:type="dxa"/>
        <w:tblLayout w:type="fixed"/>
        <w:tblCellMar>
          <w:top w:w="0" w:type="dxa"/>
          <w:left w:w="108" w:type="dxa"/>
          <w:bottom w:w="0" w:type="dxa"/>
          <w:right w:w="108" w:type="dxa"/>
        </w:tblCellMar>
      </w:tblPr>
      <w:tblGrid>
        <w:gridCol w:w="720"/>
        <w:gridCol w:w="1140"/>
        <w:gridCol w:w="1360"/>
        <w:gridCol w:w="1080"/>
        <w:gridCol w:w="880"/>
        <w:gridCol w:w="2060"/>
        <w:gridCol w:w="1780"/>
      </w:tblGrid>
      <w:tr>
        <w:tblPrEx>
          <w:tblLayout w:type="fixed"/>
          <w:tblCellMar>
            <w:top w:w="0" w:type="dxa"/>
            <w:left w:w="108" w:type="dxa"/>
            <w:bottom w:w="0" w:type="dxa"/>
            <w:right w:w="108" w:type="dxa"/>
          </w:tblCellMar>
        </w:tblPrEx>
        <w:trPr>
          <w:trHeight w:val="40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b/>
                <w:bCs/>
                <w:kern w:val="0"/>
                <w:sz w:val="32"/>
                <w:szCs w:val="32"/>
              </w:rPr>
            </w:pPr>
            <w:r>
              <w:rPr>
                <w:rFonts w:hint="eastAsia" w:ascii="宋体" w:hAnsi="宋体" w:cs="宋体"/>
                <w:b/>
                <w:bCs/>
                <w:kern w:val="0"/>
                <w:sz w:val="32"/>
                <w:szCs w:val="32"/>
                <w:lang w:eastAsia="zh-CN"/>
              </w:rPr>
              <w:t>奇台县</w:t>
            </w:r>
            <w:r>
              <w:rPr>
                <w:rFonts w:hint="eastAsia" w:ascii="宋体" w:hAnsi="宋体" w:cs="宋体"/>
                <w:b/>
                <w:bCs/>
                <w:kern w:val="0"/>
                <w:sz w:val="32"/>
                <w:szCs w:val="32"/>
              </w:rPr>
              <w:t>财政项目支出绩效自评表</w:t>
            </w:r>
          </w:p>
        </w:tc>
      </w:tr>
      <w:tr>
        <w:tblPrEx>
          <w:tblLayout w:type="fixed"/>
          <w:tblCellMar>
            <w:top w:w="0" w:type="dxa"/>
            <w:left w:w="108" w:type="dxa"/>
            <w:bottom w:w="0" w:type="dxa"/>
            <w:right w:w="108" w:type="dxa"/>
          </w:tblCellMar>
        </w:tblPrEx>
        <w:trPr>
          <w:trHeight w:val="28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w:t>
            </w:r>
            <w:r>
              <w:rPr>
                <w:kern w:val="0"/>
                <w:sz w:val="24"/>
              </w:rPr>
              <w:t xml:space="preserve"> </w:t>
            </w:r>
            <w:r>
              <w:rPr>
                <w:rFonts w:hint="eastAsia"/>
                <w:kern w:val="0"/>
                <w:sz w:val="24"/>
                <w:lang w:val="en-US" w:eastAsia="zh-CN"/>
              </w:rPr>
              <w:t>2017</w:t>
            </w:r>
            <w:r>
              <w:rPr>
                <w:rFonts w:hint="eastAsia" w:ascii="宋体" w:hAnsi="宋体" w:cs="宋体"/>
                <w:kern w:val="0"/>
                <w:sz w:val="24"/>
              </w:rPr>
              <w:t>年度）</w:t>
            </w:r>
          </w:p>
        </w:tc>
      </w:tr>
      <w:tr>
        <w:tblPrEx>
          <w:tblLayout w:type="fixed"/>
          <w:tblCellMar>
            <w:top w:w="0" w:type="dxa"/>
            <w:left w:w="108" w:type="dxa"/>
            <w:bottom w:w="0" w:type="dxa"/>
            <w:right w:w="108" w:type="dxa"/>
          </w:tblCellMar>
        </w:tblPrEx>
        <w:trPr>
          <w:trHeight w:val="285" w:hRule="atLeast"/>
        </w:trPr>
        <w:tc>
          <w:tcPr>
            <w:tcW w:w="72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14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3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0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8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20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7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r>
      <w:tr>
        <w:tblPrEx>
          <w:tblLayout w:type="fixed"/>
          <w:tblCellMar>
            <w:top w:w="0" w:type="dxa"/>
            <w:left w:w="108" w:type="dxa"/>
            <w:bottom w:w="0" w:type="dxa"/>
            <w:right w:w="108" w:type="dxa"/>
          </w:tblCellMar>
        </w:tblPrEx>
        <w:trPr>
          <w:trHeight w:val="420"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项目名称</w:t>
            </w:r>
          </w:p>
        </w:tc>
        <w:tc>
          <w:tcPr>
            <w:tcW w:w="580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地方政府一般债务还本支出</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35"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预算单位</w:t>
            </w:r>
          </w:p>
        </w:tc>
        <w:tc>
          <w:tcPr>
            <w:tcW w:w="5800"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奇台县西北湾镇人民政府</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65"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预算</w:t>
            </w:r>
            <w:r>
              <w:rPr>
                <w:rFonts w:hint="eastAsia" w:ascii="宋体" w:hAnsi="宋体" w:cs="宋体"/>
                <w:kern w:val="0"/>
                <w:sz w:val="20"/>
                <w:szCs w:val="20"/>
              </w:rPr>
              <w:br w:type="textWrapping"/>
            </w:r>
            <w:r>
              <w:rPr>
                <w:rFonts w:hint="eastAsia" w:ascii="宋体" w:hAnsi="宋体" w:cs="宋体"/>
                <w:kern w:val="0"/>
                <w:sz w:val="20"/>
                <w:szCs w:val="20"/>
              </w:rPr>
              <w:t>执行</w:t>
            </w:r>
            <w:r>
              <w:rPr>
                <w:rFonts w:hint="eastAsia" w:ascii="宋体" w:hAnsi="宋体" w:cs="宋体"/>
                <w:kern w:val="0"/>
                <w:sz w:val="20"/>
                <w:szCs w:val="20"/>
              </w:rPr>
              <w:br w:type="textWrapping"/>
            </w:r>
            <w:r>
              <w:rPr>
                <w:rFonts w:hint="eastAsia" w:ascii="宋体" w:hAnsi="宋体" w:cs="宋体"/>
                <w:kern w:val="0"/>
                <w:sz w:val="20"/>
                <w:szCs w:val="20"/>
              </w:rPr>
              <w:t>情况</w:t>
            </w:r>
            <w:r>
              <w:rPr>
                <w:rFonts w:hint="eastAsia" w:ascii="宋体" w:hAnsi="宋体" w:cs="宋体"/>
                <w:kern w:val="0"/>
                <w:sz w:val="20"/>
                <w:szCs w:val="20"/>
              </w:rPr>
              <w:br w:type="textWrapping"/>
            </w:r>
            <w:r>
              <w:rPr>
                <w:rFonts w:hint="eastAsia" w:ascii="宋体" w:hAnsi="宋体" w:cs="宋体"/>
                <w:kern w:val="0"/>
                <w:sz w:val="20"/>
                <w:szCs w:val="20"/>
              </w:rPr>
              <w:t>（万元）</w:t>
            </w: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预算数：</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329.48</w:t>
            </w: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执行数：</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329.48</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509"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329.48</w:t>
            </w:r>
            <w:r>
              <w:rPr>
                <w:rFonts w:hint="eastAsia" w:ascii="宋体" w:hAnsi="宋体" w:cs="宋体"/>
                <w:kern w:val="0"/>
                <w:sz w:val="20"/>
                <w:szCs w:val="20"/>
              </w:rPr>
              <w:t>　</w:t>
            </w:r>
          </w:p>
        </w:tc>
        <w:tc>
          <w:tcPr>
            <w:tcW w:w="2060" w:type="dxa"/>
            <w:tcBorders>
              <w:top w:val="nil"/>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329.48</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33"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2060" w:type="dxa"/>
            <w:tcBorders>
              <w:top w:val="single" w:color="auto" w:sz="4" w:space="0"/>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50"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目标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446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预期目标</w:t>
            </w:r>
          </w:p>
        </w:tc>
        <w:tc>
          <w:tcPr>
            <w:tcW w:w="38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实际完成目标</w:t>
            </w:r>
          </w:p>
        </w:tc>
      </w:tr>
      <w:tr>
        <w:tblPrEx>
          <w:tblLayout w:type="fixed"/>
          <w:tblCellMar>
            <w:top w:w="0" w:type="dxa"/>
            <w:left w:w="108" w:type="dxa"/>
            <w:bottom w:w="0" w:type="dxa"/>
            <w:right w:w="108" w:type="dxa"/>
          </w:tblCellMar>
        </w:tblPrEx>
        <w:trPr>
          <w:trHeight w:val="1425"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4460" w:type="dxa"/>
            <w:gridSpan w:val="4"/>
            <w:tcBorders>
              <w:top w:val="single" w:color="auto" w:sz="4" w:space="0"/>
              <w:left w:val="nil"/>
              <w:bottom w:val="single" w:color="auto" w:sz="4" w:space="0"/>
              <w:right w:val="single" w:color="000000" w:sz="4" w:space="0"/>
            </w:tcBorders>
            <w:shd w:val="clear" w:color="auto" w:fill="auto"/>
          </w:tcPr>
          <w:p>
            <w:pPr>
              <w:keepNext w:val="0"/>
              <w:keepLines w:val="0"/>
              <w:pageBreakBefore w:val="0"/>
              <w:widowControl w:val="0"/>
              <w:kinsoku/>
              <w:wordWrap/>
              <w:overflowPunct/>
              <w:topLinePunct w:val="0"/>
              <w:autoSpaceDE/>
              <w:autoSpaceDN/>
              <w:bidi w:val="0"/>
              <w:adjustRightInd/>
              <w:snapToGrid/>
              <w:spacing w:beforeLines="0" w:afterLines="0"/>
              <w:ind w:firstLine="400" w:firstLineChars="200"/>
              <w:jc w:val="left"/>
              <w:textAlignment w:val="auto"/>
              <w:rPr>
                <w:rStyle w:val="18"/>
                <w:rFonts w:hint="eastAsia" w:ascii="仿宋" w:hAnsi="仿宋" w:eastAsia="仿宋" w:cs="Times New Roman"/>
                <w:b w:val="0"/>
                <w:spacing w:val="-4"/>
                <w:sz w:val="20"/>
                <w:szCs w:val="20"/>
                <w:highlight w:val="none"/>
                <w:lang w:val="en-US" w:eastAsia="zh-CN"/>
              </w:rPr>
            </w:pPr>
            <w:r>
              <w:rPr>
                <w:rFonts w:hint="eastAsia" w:ascii="宋体" w:hAnsi="宋体" w:cs="宋体"/>
                <w:kern w:val="0"/>
                <w:sz w:val="20"/>
                <w:szCs w:val="20"/>
              </w:rPr>
              <w:t>　</w:t>
            </w:r>
            <w:r>
              <w:rPr>
                <w:rStyle w:val="18"/>
                <w:rFonts w:hint="eastAsia" w:ascii="仿宋" w:hAnsi="仿宋" w:eastAsia="仿宋"/>
                <w:b w:val="0"/>
                <w:spacing w:val="-4"/>
                <w:sz w:val="20"/>
                <w:szCs w:val="20"/>
                <w:highlight w:val="none"/>
                <w:lang w:val="en-US" w:eastAsia="zh-CN"/>
              </w:rPr>
              <w:t>地方政府其他一般债务还本支出主要用于2017年西北湾镇下属村组活动室建设、镇人行道工程、排水管道工程的债务还本支出，</w:t>
            </w:r>
            <w:r>
              <w:rPr>
                <w:rStyle w:val="18"/>
                <w:rFonts w:hint="eastAsia" w:ascii="仿宋" w:hAnsi="仿宋" w:eastAsia="仿宋" w:cs="Times New Roman"/>
                <w:b w:val="0"/>
                <w:spacing w:val="-4"/>
                <w:sz w:val="20"/>
                <w:szCs w:val="20"/>
                <w:highlight w:val="none"/>
                <w:lang w:val="en-US" w:eastAsia="zh-CN"/>
              </w:rPr>
              <w:t>能否按时足额偿债，既事关地方政府的形象和信誉，又直接关系到项目施工方的经济利益。因此，尽管偿债压力大，但各级政府对此都不敢掉以轻心，而是想方设法多渠道筹集资金以确保按时足额偿还，这样既保持了政府的形象和信誉，又缓解了政府的债务压力，政府可以更好的为群众服务。</w:t>
            </w:r>
          </w:p>
          <w:p>
            <w:pPr>
              <w:widowControl/>
              <w:jc w:val="left"/>
              <w:rPr>
                <w:rFonts w:ascii="宋体" w:hAnsi="宋体" w:cs="宋体"/>
                <w:kern w:val="0"/>
                <w:sz w:val="20"/>
                <w:szCs w:val="20"/>
              </w:rPr>
            </w:pPr>
          </w:p>
        </w:tc>
        <w:tc>
          <w:tcPr>
            <w:tcW w:w="3840" w:type="dxa"/>
            <w:gridSpan w:val="2"/>
            <w:tcBorders>
              <w:top w:val="single" w:color="auto" w:sz="4" w:space="0"/>
              <w:left w:val="nil"/>
              <w:bottom w:val="single" w:color="auto" w:sz="4" w:space="0"/>
              <w:right w:val="single" w:color="000000" w:sz="4" w:space="0"/>
            </w:tcBorders>
            <w:shd w:val="clear" w:color="auto" w:fill="auto"/>
          </w:tcPr>
          <w:p>
            <w:pPr>
              <w:keepNext w:val="0"/>
              <w:keepLines w:val="0"/>
              <w:pageBreakBefore w:val="0"/>
              <w:widowControl w:val="0"/>
              <w:kinsoku/>
              <w:wordWrap/>
              <w:overflowPunct/>
              <w:topLinePunct w:val="0"/>
              <w:autoSpaceDE/>
              <w:autoSpaceDN/>
              <w:bidi w:val="0"/>
              <w:adjustRightInd/>
              <w:snapToGrid/>
              <w:spacing w:after="0" w:line="0" w:lineRule="atLeast"/>
              <w:ind w:left="0" w:leftChars="0" w:right="0" w:rightChars="0" w:firstLine="345" w:firstLineChars="180"/>
              <w:jc w:val="both"/>
              <w:textAlignment w:val="auto"/>
              <w:outlineLvl w:val="9"/>
              <w:rPr>
                <w:rStyle w:val="18"/>
                <w:rFonts w:hint="eastAsia" w:ascii="仿宋" w:hAnsi="仿宋" w:eastAsia="仿宋"/>
                <w:b w:val="0"/>
                <w:spacing w:val="-4"/>
                <w:sz w:val="20"/>
                <w:szCs w:val="20"/>
                <w:highlight w:val="none"/>
                <w:lang w:val="en-US" w:eastAsia="zh-CN"/>
              </w:rPr>
            </w:pPr>
            <w:r>
              <w:rPr>
                <w:rStyle w:val="18"/>
                <w:rFonts w:hint="eastAsia" w:ascii="仿宋" w:hAnsi="仿宋" w:eastAsia="仿宋"/>
                <w:b w:val="0"/>
                <w:spacing w:val="-4"/>
                <w:sz w:val="20"/>
                <w:szCs w:val="20"/>
                <w:highlight w:val="none"/>
                <w:lang w:val="en-US" w:eastAsia="zh-CN"/>
              </w:rPr>
              <w:t>2017年西北湾镇地方政府其他一般债务还本支出的债务还本支出资金及时足额到位，发放程序符合有关制度规定。资金支出解决了乡镇的债务压力，维护了政府的良好形象和信誉，充分调动他们参与社会主义新农村建设的积极性，服务广大农民群众。</w:t>
            </w:r>
          </w:p>
          <w:p>
            <w:pPr>
              <w:widowControl/>
              <w:jc w:val="left"/>
              <w:rPr>
                <w:rFonts w:ascii="宋体" w:hAnsi="宋体" w:cs="宋体"/>
                <w:kern w:val="0"/>
                <w:sz w:val="20"/>
                <w:szCs w:val="20"/>
              </w:rPr>
            </w:pPr>
          </w:p>
        </w:tc>
      </w:tr>
      <w:tr>
        <w:tblPrEx>
          <w:tblLayout w:type="fixed"/>
          <w:tblCellMar>
            <w:top w:w="0" w:type="dxa"/>
            <w:left w:w="108" w:type="dxa"/>
            <w:bottom w:w="0" w:type="dxa"/>
            <w:right w:w="108" w:type="dxa"/>
          </w:tblCellMar>
        </w:tblPrEx>
        <w:trPr>
          <w:trHeight w:val="720" w:hRule="atLeast"/>
        </w:trPr>
        <w:tc>
          <w:tcPr>
            <w:tcW w:w="72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绩效</w:t>
            </w:r>
            <w:r>
              <w:rPr>
                <w:rFonts w:hint="eastAsia" w:ascii="宋体" w:hAnsi="宋体" w:cs="宋体"/>
                <w:kern w:val="0"/>
                <w:sz w:val="20"/>
                <w:szCs w:val="20"/>
              </w:rPr>
              <w:br w:type="textWrapping"/>
            </w:r>
            <w:r>
              <w:rPr>
                <w:rFonts w:hint="eastAsia" w:ascii="宋体" w:hAnsi="宋体" w:cs="宋体"/>
                <w:kern w:val="0"/>
                <w:sz w:val="20"/>
                <w:szCs w:val="20"/>
              </w:rPr>
              <w:t>指标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1140"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一级指标</w:t>
            </w: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二级指标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三级指标</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预期指标值（包含数字及文字描述）</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实际完成指标值（包含数字及文字描述）</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项目完成指标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数量指标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r>
              <w:rPr>
                <w:rFonts w:hint="eastAsia" w:ascii="宋体" w:hAnsi="宋体" w:cs="宋体"/>
                <w:kern w:val="0"/>
                <w:sz w:val="20"/>
                <w:szCs w:val="20"/>
                <w:lang w:eastAsia="zh-CN"/>
              </w:rPr>
              <w:t>还款金额</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w:t>
            </w:r>
            <w:r>
              <w:rPr>
                <w:rFonts w:hint="eastAsia" w:ascii="宋体" w:hAnsi="宋体" w:cs="宋体"/>
                <w:kern w:val="0"/>
                <w:sz w:val="20"/>
                <w:szCs w:val="20"/>
                <w:lang w:val="en-US" w:eastAsia="zh-CN"/>
              </w:rPr>
              <w:t>329.48</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329.48</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质量指标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时效指标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lang w:eastAsia="zh-CN"/>
              </w:rPr>
              <w:t>还款及时性</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w:t>
            </w:r>
            <w:r>
              <w:rPr>
                <w:rFonts w:hint="eastAsia" w:ascii="宋体" w:hAnsi="宋体" w:cs="宋体"/>
                <w:kern w:val="0"/>
                <w:sz w:val="20"/>
                <w:szCs w:val="20"/>
                <w:lang w:val="en-US" w:eastAsia="zh-CN"/>
              </w:rPr>
              <w:t>80%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90%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成本指标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项目效果指标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经济效益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社会效益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lang w:eastAsia="zh-CN"/>
              </w:rPr>
              <w:t>维护社会大局稳定</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w:t>
            </w:r>
            <w:r>
              <w:rPr>
                <w:rFonts w:hint="eastAsia" w:ascii="宋体" w:hAnsi="宋体" w:cs="宋体"/>
                <w:kern w:val="0"/>
                <w:sz w:val="20"/>
                <w:szCs w:val="20"/>
                <w:lang w:val="en-US" w:eastAsia="zh-CN"/>
              </w:rPr>
              <w:t>80%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90%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r>
              <w:rPr>
                <w:rFonts w:hint="eastAsia" w:ascii="宋体" w:hAnsi="宋体" w:cs="宋体"/>
                <w:kern w:val="0"/>
                <w:sz w:val="20"/>
                <w:szCs w:val="20"/>
                <w:lang w:eastAsia="zh-CN"/>
              </w:rPr>
              <w:t>化解地方政府债务危机</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w:t>
            </w:r>
            <w:r>
              <w:rPr>
                <w:rFonts w:hint="eastAsia" w:ascii="宋体" w:hAnsi="宋体" w:cs="宋体"/>
                <w:kern w:val="0"/>
                <w:sz w:val="20"/>
                <w:szCs w:val="20"/>
                <w:lang w:val="en-US" w:eastAsia="zh-CN"/>
              </w:rPr>
              <w:t>80%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90%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bookmarkStart w:id="0" w:name="_GoBack"/>
            <w:bookmarkEnd w:id="0"/>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生态效益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可持续影响</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r>
              <w:rPr>
                <w:rFonts w:hint="eastAsia" w:ascii="宋体" w:hAnsi="宋体" w:cs="宋体"/>
                <w:kern w:val="0"/>
                <w:sz w:val="20"/>
                <w:szCs w:val="20"/>
                <w:lang w:eastAsia="zh-CN"/>
              </w:rPr>
              <w:t>人民群众满意度</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w:t>
            </w:r>
            <w:r>
              <w:rPr>
                <w:rFonts w:hint="eastAsia" w:ascii="宋体" w:hAnsi="宋体" w:cs="宋体"/>
                <w:kern w:val="0"/>
                <w:sz w:val="20"/>
                <w:szCs w:val="20"/>
                <w:lang w:val="en-US" w:eastAsia="zh-CN"/>
              </w:rPr>
              <w:t>80%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90%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bl>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Verdana">
    <w:panose1 w:val="020B0604030504040204"/>
    <w:charset w:val="00"/>
    <w:family w:val="auto"/>
    <w:pitch w:val="default"/>
    <w:sig w:usb0="A10006FF" w:usb1="4000205B" w:usb2="00000010"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amp;quo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4</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56465"/>
    <w:rsid w:val="00121AE4"/>
    <w:rsid w:val="00146AAD"/>
    <w:rsid w:val="001B3A40"/>
    <w:rsid w:val="003C18BC"/>
    <w:rsid w:val="004366A8"/>
    <w:rsid w:val="00464900"/>
    <w:rsid w:val="00502BA7"/>
    <w:rsid w:val="005162F1"/>
    <w:rsid w:val="00535153"/>
    <w:rsid w:val="00554F82"/>
    <w:rsid w:val="0056390D"/>
    <w:rsid w:val="005719B0"/>
    <w:rsid w:val="005D10D6"/>
    <w:rsid w:val="007806A5"/>
    <w:rsid w:val="00855E3A"/>
    <w:rsid w:val="00922CB9"/>
    <w:rsid w:val="009E5CD9"/>
    <w:rsid w:val="00A26421"/>
    <w:rsid w:val="00A4293B"/>
    <w:rsid w:val="00A67D50"/>
    <w:rsid w:val="00A8691A"/>
    <w:rsid w:val="00AC1946"/>
    <w:rsid w:val="00B40063"/>
    <w:rsid w:val="00B41F61"/>
    <w:rsid w:val="00BA46E6"/>
    <w:rsid w:val="00C56C72"/>
    <w:rsid w:val="00CA6457"/>
    <w:rsid w:val="00D17F2E"/>
    <w:rsid w:val="00D30354"/>
    <w:rsid w:val="00DF42A0"/>
    <w:rsid w:val="00E46C51"/>
    <w:rsid w:val="00E769FE"/>
    <w:rsid w:val="00EA2CBE"/>
    <w:rsid w:val="00F32FEE"/>
    <w:rsid w:val="00FB10BB"/>
    <w:rsid w:val="019B5C89"/>
    <w:rsid w:val="0CFE70EC"/>
    <w:rsid w:val="11DA0264"/>
    <w:rsid w:val="12E114FC"/>
    <w:rsid w:val="144C5BDC"/>
    <w:rsid w:val="18501510"/>
    <w:rsid w:val="1DE2303F"/>
    <w:rsid w:val="22C2090C"/>
    <w:rsid w:val="23CB6D5C"/>
    <w:rsid w:val="23D528CE"/>
    <w:rsid w:val="2A53261D"/>
    <w:rsid w:val="42AA1454"/>
    <w:rsid w:val="45F71A29"/>
    <w:rsid w:val="460D7FF4"/>
    <w:rsid w:val="4686023F"/>
    <w:rsid w:val="573759C1"/>
    <w:rsid w:val="5CA30752"/>
    <w:rsid w:val="5E512124"/>
    <w:rsid w:val="606A30C9"/>
    <w:rsid w:val="64282EB5"/>
    <w:rsid w:val="7174147B"/>
    <w:rsid w:val="76585381"/>
    <w:rsid w:val="7B0A39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unhideWhenUsed/>
    <w:qFormat/>
    <w:uiPriority w:val="1"/>
  </w:style>
  <w:style w:type="table" w:default="1" w:styleId="20">
    <w:name w:val="Normal Table"/>
    <w:unhideWhenUsed/>
    <w:qFormat/>
    <w:uiPriority w:val="99"/>
    <w:tblPr>
      <w:tblLayout w:type="fixed"/>
      <w:tblCellMar>
        <w:top w:w="0" w:type="dxa"/>
        <w:left w:w="108" w:type="dxa"/>
        <w:bottom w:w="0" w:type="dxa"/>
        <w:right w:w="108" w:type="dxa"/>
      </w:tblCellMar>
    </w:tblPr>
  </w:style>
  <w:style w:type="paragraph" w:styleId="11">
    <w:name w:val="Balloon Text"/>
    <w:basedOn w:val="1"/>
    <w:link w:val="46"/>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Normal (Web)"/>
    <w:basedOn w:val="1"/>
    <w:unhideWhenUsed/>
    <w:qFormat/>
    <w:uiPriority w:val="99"/>
    <w:pPr>
      <w:spacing w:before="0" w:beforeAutospacing="1" w:after="0" w:afterAutospacing="1"/>
      <w:ind w:left="0" w:right="0"/>
      <w:jc w:val="left"/>
    </w:pPr>
    <w:rPr>
      <w:kern w:val="0"/>
      <w:sz w:val="24"/>
      <w:lang w:val="en-US" w:eastAsia="zh-CN" w:bidi="ar"/>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1">
    <w:name w:val="标题 1 Char"/>
    <w:basedOn w:val="17"/>
    <w:link w:val="2"/>
    <w:qFormat/>
    <w:uiPriority w:val="9"/>
    <w:rPr>
      <w:rFonts w:asciiTheme="majorHAnsi" w:hAnsiTheme="majorHAnsi" w:eastAsiaTheme="majorEastAsia"/>
      <w:b/>
      <w:bCs/>
      <w:kern w:val="32"/>
      <w:sz w:val="32"/>
      <w:szCs w:val="32"/>
    </w:rPr>
  </w:style>
  <w:style w:type="character" w:customStyle="1" w:styleId="22">
    <w:name w:val="标题 2 Char"/>
    <w:basedOn w:val="17"/>
    <w:link w:val="3"/>
    <w:semiHidden/>
    <w:qFormat/>
    <w:uiPriority w:val="9"/>
    <w:rPr>
      <w:rFonts w:asciiTheme="majorHAnsi" w:hAnsiTheme="majorHAnsi" w:eastAsiaTheme="majorEastAsia"/>
      <w:b/>
      <w:bCs/>
      <w:i/>
      <w:iCs/>
      <w:sz w:val="28"/>
      <w:szCs w:val="28"/>
    </w:rPr>
  </w:style>
  <w:style w:type="character" w:customStyle="1" w:styleId="23">
    <w:name w:val="标题 3 Char"/>
    <w:basedOn w:val="17"/>
    <w:link w:val="4"/>
    <w:semiHidden/>
    <w:qFormat/>
    <w:uiPriority w:val="9"/>
    <w:rPr>
      <w:rFonts w:asciiTheme="majorHAnsi" w:hAnsiTheme="majorHAnsi" w:eastAsiaTheme="majorEastAsia"/>
      <w:b/>
      <w:bCs/>
      <w:sz w:val="26"/>
      <w:szCs w:val="26"/>
    </w:rPr>
  </w:style>
  <w:style w:type="character" w:customStyle="1" w:styleId="24">
    <w:name w:val="标题 4 Char"/>
    <w:basedOn w:val="17"/>
    <w:link w:val="5"/>
    <w:semiHidden/>
    <w:uiPriority w:val="9"/>
    <w:rPr>
      <w:b/>
      <w:bCs/>
      <w:sz w:val="28"/>
      <w:szCs w:val="28"/>
    </w:rPr>
  </w:style>
  <w:style w:type="character" w:customStyle="1" w:styleId="25">
    <w:name w:val="标题 5 Char"/>
    <w:basedOn w:val="17"/>
    <w:link w:val="6"/>
    <w:semiHidden/>
    <w:qFormat/>
    <w:uiPriority w:val="9"/>
    <w:rPr>
      <w:b/>
      <w:bCs/>
      <w:i/>
      <w:iCs/>
      <w:sz w:val="26"/>
      <w:szCs w:val="26"/>
    </w:rPr>
  </w:style>
  <w:style w:type="character" w:customStyle="1" w:styleId="26">
    <w:name w:val="标题 6 Char"/>
    <w:basedOn w:val="17"/>
    <w:link w:val="7"/>
    <w:semiHidden/>
    <w:qFormat/>
    <w:uiPriority w:val="9"/>
    <w:rPr>
      <w:b/>
      <w:bCs/>
    </w:rPr>
  </w:style>
  <w:style w:type="character" w:customStyle="1" w:styleId="27">
    <w:name w:val="标题 7 Char"/>
    <w:basedOn w:val="17"/>
    <w:link w:val="8"/>
    <w:semiHidden/>
    <w:qFormat/>
    <w:uiPriority w:val="9"/>
    <w:rPr>
      <w:sz w:val="24"/>
      <w:szCs w:val="24"/>
    </w:rPr>
  </w:style>
  <w:style w:type="character" w:customStyle="1" w:styleId="28">
    <w:name w:val="标题 8 Char"/>
    <w:basedOn w:val="17"/>
    <w:link w:val="9"/>
    <w:semiHidden/>
    <w:qFormat/>
    <w:uiPriority w:val="9"/>
    <w:rPr>
      <w:i/>
      <w:iCs/>
      <w:sz w:val="24"/>
      <w:szCs w:val="24"/>
    </w:rPr>
  </w:style>
  <w:style w:type="character" w:customStyle="1" w:styleId="29">
    <w:name w:val="标题 9 Char"/>
    <w:basedOn w:val="17"/>
    <w:link w:val="10"/>
    <w:semiHidden/>
    <w:qFormat/>
    <w:uiPriority w:val="9"/>
    <w:rPr>
      <w:rFonts w:asciiTheme="majorHAnsi" w:hAnsiTheme="majorHAnsi" w:eastAsiaTheme="majorEastAsia"/>
    </w:rPr>
  </w:style>
  <w:style w:type="character" w:customStyle="1" w:styleId="30">
    <w:name w:val="标题 Char"/>
    <w:basedOn w:val="17"/>
    <w:link w:val="16"/>
    <w:qFormat/>
    <w:uiPriority w:val="10"/>
    <w:rPr>
      <w:rFonts w:asciiTheme="majorHAnsi" w:hAnsiTheme="majorHAnsi" w:eastAsiaTheme="majorEastAsia"/>
      <w:b/>
      <w:bCs/>
      <w:kern w:val="28"/>
      <w:sz w:val="32"/>
      <w:szCs w:val="32"/>
    </w:rPr>
  </w:style>
  <w:style w:type="character" w:customStyle="1" w:styleId="31">
    <w:name w:val="副标题 Char"/>
    <w:basedOn w:val="17"/>
    <w:link w:val="14"/>
    <w:qFormat/>
    <w:uiPriority w:val="11"/>
    <w:rPr>
      <w:rFonts w:asciiTheme="majorHAnsi" w:hAnsiTheme="majorHAnsi" w:eastAsiaTheme="majorEastAsia"/>
      <w:sz w:val="24"/>
      <w:szCs w:val="24"/>
    </w:rPr>
  </w:style>
  <w:style w:type="paragraph" w:customStyle="1"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7"/>
    <w:link w:val="34"/>
    <w:qFormat/>
    <w:uiPriority w:val="29"/>
    <w:rPr>
      <w:i/>
      <w:sz w:val="24"/>
      <w:szCs w:val="24"/>
    </w:rPr>
  </w:style>
  <w:style w:type="paragraph" w:customStyle="1"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7"/>
    <w:link w:val="36"/>
    <w:uiPriority w:val="30"/>
    <w:rPr>
      <w:b/>
      <w:i/>
      <w:sz w:val="24"/>
    </w:rPr>
  </w:style>
  <w:style w:type="character" w:customStyle="1" w:styleId="38">
    <w:name w:val="Subtle Emphasis"/>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Intense Emphasis"/>
    <w:basedOn w:val="17"/>
    <w:qFormat/>
    <w:uiPriority w:val="21"/>
    <w:rPr>
      <w:b/>
      <w:i/>
      <w:sz w:val="24"/>
      <w:szCs w:val="24"/>
      <w:u w:val="single"/>
    </w:rPr>
  </w:style>
  <w:style w:type="character" w:customStyle="1" w:styleId="40">
    <w:name w:val="Subtle Reference"/>
    <w:basedOn w:val="17"/>
    <w:qFormat/>
    <w:uiPriority w:val="31"/>
    <w:rPr>
      <w:sz w:val="24"/>
      <w:szCs w:val="24"/>
      <w:u w:val="single"/>
    </w:rPr>
  </w:style>
  <w:style w:type="character" w:customStyle="1" w:styleId="41">
    <w:name w:val="Intense Reference"/>
    <w:basedOn w:val="17"/>
    <w:qFormat/>
    <w:uiPriority w:val="32"/>
    <w:rPr>
      <w:b/>
      <w:sz w:val="24"/>
      <w:u w:val="single"/>
    </w:rPr>
  </w:style>
  <w:style w:type="character" w:customStyle="1" w:styleId="42">
    <w:name w:val="Book Title"/>
    <w:basedOn w:val="17"/>
    <w:qFormat/>
    <w:uiPriority w:val="33"/>
    <w:rPr>
      <w:rFonts w:asciiTheme="majorHAnsi" w:hAnsiTheme="majorHAnsi" w:eastAsiaTheme="majorEastAsia"/>
      <w:b/>
      <w:i/>
      <w:sz w:val="24"/>
      <w:szCs w:val="24"/>
    </w:rPr>
  </w:style>
  <w:style w:type="paragraph" w:customStyle="1" w:styleId="43">
    <w:name w:val="TOC Heading"/>
    <w:basedOn w:val="2"/>
    <w:next w:val="1"/>
    <w:unhideWhenUsed/>
    <w:qFormat/>
    <w:uiPriority w:val="39"/>
    <w:pPr>
      <w:outlineLvl w:val="9"/>
    </w:pPr>
    <w:rPr>
      <w:lang w:eastAsia="en-US" w:bidi="en-US"/>
    </w:rPr>
  </w:style>
  <w:style w:type="character" w:customStyle="1" w:styleId="44">
    <w:name w:val="页眉 Char"/>
    <w:basedOn w:val="17"/>
    <w:link w:val="13"/>
    <w:qFormat/>
    <w:uiPriority w:val="99"/>
    <w:rPr>
      <w:rFonts w:ascii="Calibri" w:hAnsi="Calibri" w:eastAsia="宋体"/>
      <w:kern w:val="2"/>
      <w:sz w:val="18"/>
      <w:szCs w:val="18"/>
    </w:rPr>
  </w:style>
  <w:style w:type="character" w:customStyle="1" w:styleId="45">
    <w:name w:val="页脚 Char"/>
    <w:basedOn w:val="17"/>
    <w:link w:val="12"/>
    <w:uiPriority w:val="99"/>
    <w:rPr>
      <w:rFonts w:ascii="Calibri" w:hAnsi="Calibri" w:eastAsia="宋体"/>
      <w:kern w:val="2"/>
      <w:sz w:val="18"/>
      <w:szCs w:val="18"/>
    </w:rPr>
  </w:style>
  <w:style w:type="character" w:customStyle="1" w:styleId="46">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204</Words>
  <Characters>1164</Characters>
  <Lines>9</Lines>
  <Paragraphs>2</Paragraphs>
  <TotalTime>0</TotalTime>
  <ScaleCrop>false</ScaleCrop>
  <LinksUpToDate>false</LinksUpToDate>
  <CharactersWithSpaces>1366</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xcj</cp:lastModifiedBy>
  <cp:lastPrinted>2019-01-13T12:20:00Z</cp:lastPrinted>
  <dcterms:modified xsi:type="dcterms:W3CDTF">2019-01-15T14:00:35Z</dcterms:modified>
  <dc:title>附件1：</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