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附件1：</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奇台县财政项目支出绩效自评报告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（2017年度）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700" w:lineRule="exact"/>
        <w:ind w:left="2518" w:leftChars="342" w:hanging="1800" w:hangingChars="500"/>
        <w:jc w:val="left"/>
        <w:rPr>
          <w:rFonts w:hAnsi="宋体" w:eastAsia="仿宋_GB2312" w:cs="宋体"/>
          <w:kern w:val="0"/>
          <w:sz w:val="36"/>
          <w:szCs w:val="36"/>
        </w:rPr>
      </w:pPr>
      <w:r>
        <w:rPr>
          <w:rFonts w:hint="eastAsia" w:hAnsi="宋体" w:eastAsia="仿宋_GB2312" w:cs="宋体"/>
          <w:kern w:val="0"/>
          <w:sz w:val="36"/>
          <w:szCs w:val="36"/>
        </w:rPr>
        <w:t>项目名称：奇台县半截沟镇江布拉克营盘滩村农田防护林植树购买树苗</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实施单位（公章）：奇台县半截沟镇人民政府</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主管部门（公章）：奇台县半截沟镇人民政府</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项目负责人（签章）：张  超</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填报时间：2018 年8月 21日（部门决算公开日期之前）</w:t>
      </w:r>
    </w:p>
    <w:p>
      <w:pPr>
        <w:spacing w:line="540" w:lineRule="exact"/>
        <w:jc w:val="center"/>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一、项目概况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（一）项目单位基本情况</w:t>
      </w:r>
    </w:p>
    <w:p>
      <w:pPr>
        <w:ind w:firstLine="624" w:firstLineChars="200"/>
        <w:jc w:val="left"/>
        <w:rPr>
          <w:rStyle w:val="17"/>
          <w:rFonts w:ascii="仿宋" w:hAnsi="仿宋" w:eastAsia="仿宋"/>
          <w:b w:val="0"/>
          <w:spacing w:val="-4"/>
          <w:sz w:val="32"/>
          <w:szCs w:val="32"/>
        </w:rPr>
      </w:pPr>
      <w:r>
        <w:rPr>
          <w:rStyle w:val="17"/>
          <w:rFonts w:hint="eastAsia" w:ascii="仿宋" w:hAnsi="仿宋" w:eastAsia="仿宋"/>
          <w:b w:val="0"/>
          <w:spacing w:val="-4"/>
          <w:sz w:val="32"/>
          <w:szCs w:val="32"/>
        </w:rPr>
        <w:t>（1）执行本级人民代表大会的决议和上级国家行政机关的决定和命令，发布决定和命令。</w:t>
      </w:r>
    </w:p>
    <w:p>
      <w:pPr>
        <w:ind w:firstLine="624" w:firstLineChars="200"/>
        <w:jc w:val="left"/>
        <w:rPr>
          <w:rStyle w:val="17"/>
          <w:rFonts w:ascii="仿宋" w:hAnsi="仿宋" w:eastAsia="仿宋"/>
          <w:b w:val="0"/>
          <w:spacing w:val="-4"/>
          <w:sz w:val="32"/>
          <w:szCs w:val="32"/>
        </w:rPr>
      </w:pPr>
      <w:r>
        <w:rPr>
          <w:rStyle w:val="17"/>
          <w:rFonts w:hint="eastAsia" w:ascii="仿宋" w:hAnsi="仿宋" w:eastAsia="仿宋"/>
          <w:b w:val="0"/>
          <w:spacing w:val="-4"/>
          <w:sz w:val="32"/>
          <w:szCs w:val="32"/>
        </w:rPr>
        <w:t>（2）执行本行政区域内的经济和社会发展计划、预算，管理本行政区域内的经济、教育、科学、文化、卫生、体育事业和财政、民政、公安、司法行政、计划生育等行政工作；</w:t>
      </w:r>
    </w:p>
    <w:p>
      <w:pPr>
        <w:ind w:firstLine="624" w:firstLineChars="200"/>
        <w:jc w:val="left"/>
        <w:rPr>
          <w:rStyle w:val="17"/>
          <w:rFonts w:ascii="仿宋" w:hAnsi="仿宋" w:eastAsia="仿宋"/>
          <w:b w:val="0"/>
          <w:spacing w:val="-4"/>
          <w:sz w:val="32"/>
          <w:szCs w:val="32"/>
        </w:rPr>
      </w:pPr>
      <w:r>
        <w:rPr>
          <w:rStyle w:val="17"/>
          <w:rFonts w:hint="eastAsia" w:ascii="仿宋" w:hAnsi="仿宋" w:eastAsia="仿宋"/>
          <w:b w:val="0"/>
          <w:spacing w:val="-4"/>
          <w:sz w:val="32"/>
          <w:szCs w:val="32"/>
        </w:rPr>
        <w:t>（3）保护社会主义的全民所有的财产和劳动群众集体所有的财产，保护公民私人所有的合法财产，维护社会秩序，保障公民的人身权利、民主权利和其他权利；</w:t>
      </w:r>
    </w:p>
    <w:p>
      <w:pPr>
        <w:ind w:firstLine="624" w:firstLineChars="200"/>
        <w:jc w:val="left"/>
        <w:rPr>
          <w:rStyle w:val="17"/>
          <w:rFonts w:ascii="仿宋" w:hAnsi="仿宋" w:eastAsia="仿宋"/>
          <w:b w:val="0"/>
          <w:spacing w:val="-4"/>
          <w:sz w:val="32"/>
          <w:szCs w:val="32"/>
        </w:rPr>
      </w:pPr>
      <w:r>
        <w:rPr>
          <w:rStyle w:val="17"/>
          <w:rFonts w:hint="eastAsia" w:ascii="仿宋" w:hAnsi="仿宋" w:eastAsia="仿宋"/>
          <w:b w:val="0"/>
          <w:spacing w:val="-4"/>
          <w:sz w:val="32"/>
          <w:szCs w:val="32"/>
        </w:rPr>
        <w:t>（4）保护各种经济组织的合法权益；</w:t>
      </w:r>
    </w:p>
    <w:p>
      <w:pPr>
        <w:ind w:firstLine="624" w:firstLineChars="200"/>
        <w:jc w:val="left"/>
        <w:rPr>
          <w:rStyle w:val="17"/>
          <w:rFonts w:ascii="仿宋" w:hAnsi="仿宋" w:eastAsia="仿宋"/>
          <w:b w:val="0"/>
          <w:spacing w:val="-4"/>
          <w:sz w:val="32"/>
          <w:szCs w:val="32"/>
        </w:rPr>
      </w:pPr>
      <w:r>
        <w:rPr>
          <w:rStyle w:val="17"/>
          <w:rFonts w:hint="eastAsia" w:ascii="仿宋" w:hAnsi="仿宋" w:eastAsia="仿宋"/>
          <w:b w:val="0"/>
          <w:spacing w:val="-4"/>
          <w:sz w:val="32"/>
          <w:szCs w:val="32"/>
        </w:rPr>
        <w:t>（5）保障少数民族的权利和尊重少数民族的风俗习惯；</w:t>
      </w:r>
    </w:p>
    <w:p>
      <w:pPr>
        <w:ind w:firstLine="624" w:firstLineChars="200"/>
        <w:jc w:val="left"/>
        <w:rPr>
          <w:rStyle w:val="17"/>
          <w:rFonts w:ascii="仿宋" w:hAnsi="仿宋" w:eastAsia="仿宋"/>
          <w:b w:val="0"/>
          <w:spacing w:val="-4"/>
          <w:sz w:val="32"/>
          <w:szCs w:val="32"/>
        </w:rPr>
      </w:pPr>
      <w:r>
        <w:rPr>
          <w:rStyle w:val="17"/>
          <w:rFonts w:hint="eastAsia" w:ascii="仿宋" w:hAnsi="仿宋" w:eastAsia="仿宋"/>
          <w:b w:val="0"/>
          <w:spacing w:val="-4"/>
          <w:sz w:val="32"/>
          <w:szCs w:val="32"/>
        </w:rPr>
        <w:t>（6）保障宪法和法律赋予妇女的男女平等、同工同酬和婚姻自由等各项权利；</w:t>
      </w:r>
    </w:p>
    <w:p>
      <w:pPr>
        <w:ind w:firstLine="624" w:firstLineChars="200"/>
        <w:jc w:val="left"/>
        <w:rPr>
          <w:rStyle w:val="17"/>
          <w:rFonts w:ascii="仿宋" w:hAnsi="仿宋" w:eastAsia="仿宋"/>
          <w:b w:val="0"/>
          <w:spacing w:val="-4"/>
          <w:sz w:val="32"/>
          <w:szCs w:val="32"/>
        </w:rPr>
      </w:pPr>
      <w:r>
        <w:rPr>
          <w:rStyle w:val="17"/>
          <w:rFonts w:hint="eastAsia" w:ascii="仿宋" w:hAnsi="仿宋" w:eastAsia="仿宋"/>
          <w:b w:val="0"/>
          <w:spacing w:val="-4"/>
          <w:sz w:val="32"/>
          <w:szCs w:val="32"/>
        </w:rPr>
        <w:t>（7）办理上级人民政府交办的其他事项。</w:t>
      </w:r>
    </w:p>
    <w:p>
      <w:pPr>
        <w:spacing w:line="540" w:lineRule="exact"/>
        <w:ind w:firstLine="567" w:firstLineChars="181"/>
        <w:rPr>
          <w:rStyle w:val="17"/>
          <w:rFonts w:ascii="仿宋" w:hAnsi="仿宋" w:eastAsia="仿宋"/>
          <w:b w:val="0"/>
          <w:spacing w:val="-4"/>
          <w:sz w:val="32"/>
          <w:szCs w:val="32"/>
        </w:rPr>
      </w:pPr>
      <w:r>
        <w:rPr>
          <w:rStyle w:val="17"/>
          <w:rFonts w:hint="eastAsia" w:ascii="楷体" w:hAnsi="楷体" w:eastAsia="楷体"/>
          <w:spacing w:val="-4"/>
          <w:sz w:val="32"/>
          <w:szCs w:val="32"/>
        </w:rPr>
        <w:t>（二）项目预算</w:t>
      </w:r>
      <w:r>
        <w:rPr>
          <w:rStyle w:val="17"/>
          <w:rFonts w:ascii="楷体" w:hAnsi="楷体" w:eastAsia="楷体"/>
          <w:spacing w:val="-4"/>
          <w:sz w:val="32"/>
          <w:szCs w:val="32"/>
        </w:rPr>
        <w:t>绩效目标</w:t>
      </w:r>
      <w:r>
        <w:rPr>
          <w:rStyle w:val="17"/>
          <w:rFonts w:hint="eastAsia" w:ascii="楷体" w:hAnsi="楷体" w:eastAsia="楷体"/>
          <w:spacing w:val="-4"/>
          <w:sz w:val="32"/>
          <w:szCs w:val="32"/>
        </w:rPr>
        <w:t>设定情况</w:t>
      </w:r>
    </w:p>
    <w:p>
      <w:pPr>
        <w:ind w:firstLine="624" w:firstLineChars="200"/>
        <w:jc w:val="left"/>
        <w:rPr>
          <w:rStyle w:val="17"/>
          <w:rFonts w:ascii="仿宋" w:hAnsi="仿宋" w:eastAsia="仿宋"/>
          <w:b w:val="0"/>
          <w:spacing w:val="-4"/>
          <w:sz w:val="32"/>
          <w:szCs w:val="32"/>
        </w:rPr>
      </w:pPr>
      <w:r>
        <w:rPr>
          <w:rStyle w:val="17"/>
          <w:rFonts w:hint="eastAsia" w:ascii="仿宋" w:hAnsi="仿宋" w:eastAsia="仿宋"/>
          <w:b w:val="0"/>
          <w:spacing w:val="-4"/>
          <w:sz w:val="32"/>
          <w:szCs w:val="32"/>
        </w:rPr>
        <w:t>该项目为2003年3月实施半截沟镇江布拉克营盘滩九村农田防护林栽植项目购进树苗，树苗高2米-2.5米，根系达到20-25㎝，共计2万株，每株0.4元，合计金额：0.8万元；2004年4月购进白杨树苗65000株，每株0.5元，合计3.25万元。以上共计金额：4.05万元。上述项目资金经2017年12月政府债务化解支付4.05万元。</w:t>
      </w:r>
    </w:p>
    <w:p>
      <w:pPr>
        <w:ind w:firstLine="624" w:firstLineChars="200"/>
        <w:jc w:val="left"/>
        <w:rPr>
          <w:rStyle w:val="17"/>
          <w:rFonts w:ascii="黑体" w:hAnsi="黑体" w:eastAsia="黑体"/>
          <w:b w:val="0"/>
          <w:spacing w:val="-4"/>
          <w:sz w:val="32"/>
          <w:szCs w:val="32"/>
        </w:rPr>
      </w:pPr>
      <w:r>
        <w:rPr>
          <w:rStyle w:val="17"/>
          <w:rFonts w:hint="eastAsia" w:ascii="黑体" w:hAnsi="黑体" w:eastAsia="黑体"/>
          <w:b w:val="0"/>
          <w:spacing w:val="-4"/>
          <w:sz w:val="32"/>
          <w:szCs w:val="32"/>
        </w:rPr>
        <w:t>二、项目资金使用及管理情况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（一）项目资金安排落实、总投入等情况分析</w:t>
      </w:r>
    </w:p>
    <w:p>
      <w:pPr>
        <w:spacing w:line="540" w:lineRule="exact"/>
        <w:ind w:firstLine="624" w:firstLineChars="200"/>
        <w:rPr>
          <w:rStyle w:val="17"/>
          <w:rFonts w:ascii="仿宋" w:hAnsi="仿宋" w:eastAsia="仿宋"/>
          <w:b w:val="0"/>
          <w:spacing w:val="-4"/>
          <w:sz w:val="32"/>
          <w:szCs w:val="32"/>
        </w:rPr>
      </w:pPr>
      <w:r>
        <w:rPr>
          <w:rStyle w:val="17"/>
          <w:rFonts w:hint="eastAsia" w:ascii="仿宋" w:hAnsi="仿宋" w:eastAsia="仿宋"/>
          <w:b w:val="0"/>
          <w:spacing w:val="-4"/>
          <w:sz w:val="32"/>
          <w:szCs w:val="32"/>
        </w:rPr>
        <w:t>该项目支付的项目资金用于购买江布拉克营盘滩村农田防护林建设工程，该项目总投入4.05万元，其中财政通过政府债务化解4.05万元。</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（二）项目资金实际使用情况分析</w:t>
      </w:r>
    </w:p>
    <w:p>
      <w:pPr>
        <w:spacing w:line="540" w:lineRule="exact"/>
        <w:ind w:firstLine="624" w:firstLineChars="200"/>
        <w:rPr>
          <w:rStyle w:val="17"/>
          <w:rFonts w:ascii="仿宋" w:hAnsi="仿宋" w:eastAsia="仿宋"/>
          <w:b w:val="0"/>
          <w:spacing w:val="-4"/>
          <w:sz w:val="32"/>
          <w:szCs w:val="32"/>
        </w:rPr>
      </w:pPr>
      <w:r>
        <w:rPr>
          <w:rStyle w:val="17"/>
          <w:rFonts w:hint="eastAsia" w:ascii="仿宋" w:hAnsi="仿宋" w:eastAsia="仿宋"/>
          <w:b w:val="0"/>
          <w:spacing w:val="-4"/>
          <w:sz w:val="32"/>
          <w:szCs w:val="32"/>
        </w:rPr>
        <w:t>该项目支付的项目资金用于江布拉克营盘滩村农田防护林建设工程，该项目总投入4.05万元，其中财政通过政府债务化解4.05万元。</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（三）项目资金管理情况分析</w:t>
      </w:r>
    </w:p>
    <w:p>
      <w:pPr>
        <w:spacing w:line="540" w:lineRule="exact"/>
        <w:ind w:firstLine="624" w:firstLineChars="200"/>
        <w:rPr>
          <w:rStyle w:val="17"/>
          <w:rFonts w:ascii="仿宋" w:hAnsi="仿宋" w:eastAsia="仿宋"/>
          <w:b w:val="0"/>
          <w:spacing w:val="-4"/>
          <w:sz w:val="32"/>
          <w:szCs w:val="32"/>
        </w:rPr>
      </w:pPr>
      <w:r>
        <w:rPr>
          <w:rStyle w:val="17"/>
          <w:rFonts w:hint="eastAsia" w:ascii="仿宋" w:hAnsi="仿宋" w:eastAsia="仿宋"/>
          <w:b w:val="0"/>
          <w:spacing w:val="-4"/>
          <w:sz w:val="32"/>
          <w:szCs w:val="32"/>
        </w:rPr>
        <w:t>资金管理相关制度及办法。</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三、项目组织实施情况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（一）项目组织情况分析</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该工程已于2003年、2004年完成树苗购买并完成栽植。</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（二）项目管理情况分析</w:t>
      </w:r>
    </w:p>
    <w:p>
      <w:pPr>
        <w:spacing w:line="540" w:lineRule="exact"/>
        <w:ind w:firstLine="640"/>
        <w:rPr>
          <w:rStyle w:val="17"/>
          <w:rFonts w:ascii="仿宋" w:hAnsi="仿宋" w:eastAsia="仿宋"/>
          <w:b w:val="0"/>
          <w:spacing w:val="-4"/>
          <w:sz w:val="32"/>
          <w:szCs w:val="32"/>
        </w:rPr>
      </w:pPr>
      <w:r>
        <w:rPr>
          <w:rStyle w:val="17"/>
          <w:rFonts w:hint="eastAsia" w:ascii="仿宋" w:hAnsi="仿宋" w:eastAsia="仿宋"/>
          <w:b w:val="0"/>
          <w:spacing w:val="-4"/>
          <w:sz w:val="32"/>
          <w:szCs w:val="32"/>
        </w:rPr>
        <w:t>该工程已于2003年、2004年完成树苗购买并完成栽植。</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四、项目绩效情况</w:t>
      </w:r>
      <w:r>
        <w:rPr>
          <w:rStyle w:val="17"/>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该工程为农田防护林建设工程，项目实施后可有效减少大风、沙尘暴等自然灾害对农田带来的侵害，全面提高农作物成活率，有效保护农作物正常生长，为农民增收，提高生活水平带来有力保障。</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4" w:firstLineChars="181"/>
        <w:rPr>
          <w:rFonts w:ascii="仿宋" w:hAnsi="仿宋" w:eastAsia="仿宋"/>
          <w:spacing w:val="-4"/>
          <w:sz w:val="32"/>
          <w:szCs w:val="32"/>
        </w:rPr>
      </w:pPr>
      <w:r>
        <w:rPr>
          <w:rStyle w:val="17"/>
          <w:rFonts w:hint="eastAsia" w:ascii="仿宋" w:hAnsi="仿宋" w:eastAsia="仿宋"/>
          <w:b w:val="0"/>
          <w:spacing w:val="-4"/>
          <w:sz w:val="32"/>
          <w:szCs w:val="32"/>
        </w:rPr>
        <w:t>江布拉克营盘滩村农田防护林建设工程的债务还本支出资金通过国库直接支付的方式将债务余额支付到项目施工方银行账户，项目按时完成</w:t>
      </w:r>
      <w:r>
        <w:rPr>
          <w:rFonts w:hint="eastAsia" w:ascii="仿宋" w:hAnsi="仿宋" w:eastAsia="仿宋"/>
          <w:spacing w:val="-4"/>
          <w:sz w:val="32"/>
          <w:szCs w:val="32"/>
        </w:rPr>
        <w:t>。</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640"/>
        <w:rPr>
          <w:rFonts w:ascii="仿宋" w:hAnsi="仿宋" w:eastAsia="仿宋"/>
          <w:spacing w:val="-4"/>
          <w:sz w:val="32"/>
          <w:szCs w:val="32"/>
        </w:rPr>
      </w:pPr>
      <w:r>
        <w:rPr>
          <w:rFonts w:hint="eastAsia" w:ascii="仿宋" w:hAnsi="仿宋" w:eastAsia="仿宋"/>
          <w:spacing w:val="-4"/>
          <w:sz w:val="32"/>
          <w:szCs w:val="32"/>
        </w:rPr>
        <w:t>继续加强对农田防护林的管理维护工作。</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江布拉克营盘滩村农田防护林建设工程采用国库集中直接支付的原则，将债务余额直接支付到施工方银行账户，严格按照资金的上报、审批、支付流程规范资金的使用及支付，在支付过程中未出现支出重复列报、虚增化债资金的情况。</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存在问题：地方政府的债务规模比较庞大，而且大部分都难以偿还，缺乏有机制的管理，特别是我国正处于经济建设的关键时期，各级政府响应号召，大力发展当地经济，就需要大量资金投入建设。当财政收入无法支撑大量的支出时，各级政府只能举债，这样常年累月就形成大量的债务堆积；地方政府对债务缺乏监督管理，没有设立合理的预警机制。虽然地方政府举债，形成债务在一定限度内是可行的。但是没有监管是不行的，为了防范和化解地方政府的债务形成的威胁，必须建立债务的预警机制。</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建议：建立健全地方债务管理体系，约束债务管理的相关措施，加强与国家相关法律法规的衔接，切实做到正规渠道融资；统一债务管理部门，建议地方政府专门建立一个债务管理部门，成立债务管理小组，负责管理地方政府的一切举借信息，并对地方政府的债务偿还做出合理的规划，提高债务管理质量；建立风险防范机制，建立健全风险评估与预警机制，及时采取应对措施，达到控制风险的目的；建立债务偿还准备金制度。</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640"/>
        <w:rPr>
          <w:rFonts w:ascii="仿宋" w:hAnsi="仿宋" w:eastAsia="仿宋"/>
          <w:spacing w:val="-4"/>
          <w:sz w:val="32"/>
          <w:szCs w:val="32"/>
        </w:rPr>
      </w:pPr>
      <w:r>
        <w:rPr>
          <w:rFonts w:hint="eastAsia" w:ascii="仿宋" w:hAnsi="仿宋" w:eastAsia="仿宋"/>
          <w:spacing w:val="-4"/>
          <w:sz w:val="32"/>
          <w:szCs w:val="32"/>
        </w:rPr>
        <w:t>无</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六、项目评价工作情况</w:t>
      </w:r>
    </w:p>
    <w:p>
      <w:pPr>
        <w:ind w:firstLine="624" w:firstLineChars="200"/>
        <w:rPr>
          <w:rStyle w:val="17"/>
          <w:rFonts w:ascii="仿宋" w:hAnsi="仿宋" w:eastAsia="仿宋"/>
          <w:b w:val="0"/>
          <w:spacing w:val="-4"/>
          <w:sz w:val="32"/>
          <w:szCs w:val="32"/>
        </w:rPr>
      </w:pPr>
      <w:r>
        <w:rPr>
          <w:rStyle w:val="17"/>
          <w:rFonts w:hint="eastAsia" w:ascii="仿宋" w:hAnsi="仿宋" w:eastAsia="仿宋"/>
          <w:b w:val="0"/>
          <w:spacing w:val="-4"/>
          <w:sz w:val="32"/>
          <w:szCs w:val="32"/>
        </w:rPr>
        <w:t>江布拉克营盘滩村农田防护林建设工程项目资金能按规定发放完成；资金按时、足额到位，维护了政府的形象和信誉；资金的使用也严格按照有关规定使用，在资金使用过程中没有出现虚列支出，重复申请资金等情况。</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七、附表</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b w:val="0"/>
          <w:spacing w:val="-4"/>
          <w:sz w:val="32"/>
          <w:szCs w:val="32"/>
        </w:rPr>
        <w:t>《自治州财政项目支出绩效自评表》</w:t>
      </w:r>
    </w:p>
    <w:p>
      <w:pPr>
        <w:spacing w:line="540" w:lineRule="exact"/>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tbl>
      <w:tblPr>
        <w:tblStyle w:val="19"/>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Cs/>
                <w:kern w:val="0"/>
                <w:sz w:val="32"/>
                <w:szCs w:val="32"/>
              </w:rPr>
            </w:pPr>
            <w:r>
              <w:rPr>
                <w:rFonts w:hint="eastAsia" w:ascii="宋体" w:hAnsi="宋体" w:cs="宋体"/>
                <w:bCs/>
                <w:kern w:val="0"/>
                <w:sz w:val="32"/>
                <w:szCs w:val="32"/>
              </w:rPr>
              <w:t>奇台县财政项目支出绩效自评表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kern w:val="0"/>
                <w:sz w:val="24"/>
              </w:rPr>
              <w:t xml:space="preserve"> </w:t>
            </w:r>
            <w:r>
              <w:rPr>
                <w:rFonts w:hint="eastAsia"/>
                <w:kern w:val="0"/>
                <w:sz w:val="24"/>
              </w:rPr>
              <w:t>2017</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奇台县半截沟镇江布拉克营盘滩村农田防护林建设工程</w:t>
            </w:r>
          </w:p>
          <w:p>
            <w:pPr>
              <w:widowControl/>
              <w:jc w:val="center"/>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奇台县半截沟镇人民政府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4.05</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4.05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4.05</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4.05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0</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0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rPr>
              <w:t>　该工程为农田防护林建设工程，项目实施后可有效减少大风、沙尘暴等自然灾害对农田带来的侵害，全面提高农作物成活率，有效保护农作物正常生长，为农民增收，提高生活水平带来有力保障。</w:t>
            </w:r>
          </w:p>
          <w:p>
            <w:pPr>
              <w:widowControl/>
              <w:jc w:val="left"/>
              <w:rPr>
                <w:rFonts w:ascii="宋体" w:hAnsi="宋体" w:cs="宋体"/>
                <w:kern w:val="0"/>
                <w:sz w:val="20"/>
                <w:szCs w:val="20"/>
              </w:rPr>
            </w:pPr>
          </w:p>
        </w:tc>
        <w:tc>
          <w:tcPr>
            <w:tcW w:w="3840" w:type="dxa"/>
            <w:gridSpan w:val="2"/>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rPr>
              <w:t>　该工程为农田防护林建设工程，项目实施后可有效减少大风、沙尘暴等自然灾害对农田带来的侵害，全面提高农作物成活率，有效保护农作物正常生长，为农民增收，提高生活水平带来有力保障。</w:t>
            </w:r>
          </w:p>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eastAsia="zh-CN"/>
              </w:rPr>
              <w:t>树木数量</w:t>
            </w:r>
          </w:p>
        </w:tc>
        <w:tc>
          <w:tcPr>
            <w:tcW w:w="2060" w:type="dxa"/>
            <w:tcBorders>
              <w:top w:val="nil"/>
              <w:left w:val="nil"/>
              <w:bottom w:val="single" w:color="auto" w:sz="4" w:space="0"/>
              <w:right w:val="single" w:color="auto" w:sz="4" w:space="0"/>
            </w:tcBorders>
            <w:shd w:val="clear" w:color="auto" w:fill="auto"/>
            <w:vAlign w:val="center"/>
          </w:tcPr>
          <w:tbl>
            <w:tblPr>
              <w:tblStyle w:val="19"/>
              <w:tblW w:w="1780" w:type="dxa"/>
              <w:tblInd w:w="93" w:type="dxa"/>
              <w:tblLayout w:type="fixed"/>
              <w:tblCellMar>
                <w:top w:w="0" w:type="dxa"/>
                <w:left w:w="108" w:type="dxa"/>
                <w:bottom w:w="0" w:type="dxa"/>
                <w:right w:w="108" w:type="dxa"/>
              </w:tblCellMar>
            </w:tblPr>
            <w:tblGrid>
              <w:gridCol w:w="1780"/>
            </w:tblGrid>
            <w:tr>
              <w:tblPrEx>
                <w:tblLayout w:type="fixed"/>
                <w:tblCellMar>
                  <w:top w:w="0" w:type="dxa"/>
                  <w:left w:w="108" w:type="dxa"/>
                  <w:bottom w:w="0" w:type="dxa"/>
                  <w:right w:w="108" w:type="dxa"/>
                </w:tblCellMar>
              </w:tblPrEx>
              <w:trPr>
                <w:trHeight w:val="480" w:hRule="atLeast"/>
              </w:trPr>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rPr>
                    <w:t>8</w:t>
                  </w:r>
                  <w:r>
                    <w:rPr>
                      <w:rFonts w:hint="eastAsia" w:ascii="宋体" w:hAnsi="宋体" w:cs="宋体"/>
                      <w:kern w:val="0"/>
                      <w:sz w:val="20"/>
                      <w:szCs w:val="20"/>
                      <w:lang w:val="en-US" w:eastAsia="zh-CN"/>
                    </w:rPr>
                    <w:t>0</w:t>
                  </w:r>
                  <w:r>
                    <w:rPr>
                      <w:rFonts w:hint="eastAsia" w:ascii="宋体" w:hAnsi="宋体" w:cs="宋体"/>
                      <w:kern w:val="0"/>
                      <w:sz w:val="20"/>
                      <w:szCs w:val="20"/>
                    </w:rPr>
                    <w:t>000株</w:t>
                  </w:r>
                </w:p>
              </w:tc>
            </w:tr>
          </w:tbl>
          <w:p>
            <w:pPr>
              <w:widowControl/>
              <w:jc w:val="left"/>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85000株</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工程验收合格率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80%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工程完成率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80%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受益户数</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110户</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140户</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eastAsia="zh-CN"/>
              </w:rPr>
              <w:t>改善生态环境</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80%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bookmarkStart w:id="0" w:name="_GoBack" w:colFirst="3" w:colLast="6"/>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群众满意度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80%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9</w:t>
            </w:r>
            <w:r>
              <w:rPr>
                <w:rFonts w:hint="eastAsia" w:ascii="宋体" w:hAnsi="宋体" w:cs="宋体"/>
                <w:kern w:val="0"/>
                <w:sz w:val="20"/>
                <w:szCs w:val="20"/>
              </w:rPr>
              <w:t>0%</w:t>
            </w:r>
          </w:p>
        </w:tc>
      </w:tr>
      <w:bookmarkEnd w:id="0"/>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56465"/>
    <w:rsid w:val="00121AE4"/>
    <w:rsid w:val="00146AAD"/>
    <w:rsid w:val="00172A27"/>
    <w:rsid w:val="001B3A40"/>
    <w:rsid w:val="002B3C90"/>
    <w:rsid w:val="003C18BC"/>
    <w:rsid w:val="004366A8"/>
    <w:rsid w:val="00464900"/>
    <w:rsid w:val="00502BA7"/>
    <w:rsid w:val="005037BE"/>
    <w:rsid w:val="005162F1"/>
    <w:rsid w:val="00526364"/>
    <w:rsid w:val="00535153"/>
    <w:rsid w:val="00554F82"/>
    <w:rsid w:val="0056390D"/>
    <w:rsid w:val="005719B0"/>
    <w:rsid w:val="005A0408"/>
    <w:rsid w:val="005B0BE6"/>
    <w:rsid w:val="005D10D6"/>
    <w:rsid w:val="006B1720"/>
    <w:rsid w:val="007806A5"/>
    <w:rsid w:val="00812C1A"/>
    <w:rsid w:val="00855E3A"/>
    <w:rsid w:val="008A43EC"/>
    <w:rsid w:val="008E6AE8"/>
    <w:rsid w:val="00922CB9"/>
    <w:rsid w:val="00951F4F"/>
    <w:rsid w:val="009E5CD9"/>
    <w:rsid w:val="00A15A14"/>
    <w:rsid w:val="00A26421"/>
    <w:rsid w:val="00A4293B"/>
    <w:rsid w:val="00A67D50"/>
    <w:rsid w:val="00A8691A"/>
    <w:rsid w:val="00AC1946"/>
    <w:rsid w:val="00B40063"/>
    <w:rsid w:val="00B41F61"/>
    <w:rsid w:val="00BA46E6"/>
    <w:rsid w:val="00BC56D8"/>
    <w:rsid w:val="00C56C72"/>
    <w:rsid w:val="00C6321E"/>
    <w:rsid w:val="00CA6457"/>
    <w:rsid w:val="00D17F2E"/>
    <w:rsid w:val="00D30354"/>
    <w:rsid w:val="00D825B9"/>
    <w:rsid w:val="00DF42A0"/>
    <w:rsid w:val="00E46C51"/>
    <w:rsid w:val="00E65FFD"/>
    <w:rsid w:val="00E769FE"/>
    <w:rsid w:val="00EA2CBE"/>
    <w:rsid w:val="00F32FEE"/>
    <w:rsid w:val="00F571B3"/>
    <w:rsid w:val="00FB10BB"/>
    <w:rsid w:val="00FD3191"/>
    <w:rsid w:val="02D03816"/>
    <w:rsid w:val="048D75A4"/>
    <w:rsid w:val="04B16D27"/>
    <w:rsid w:val="08036FC1"/>
    <w:rsid w:val="09D1043E"/>
    <w:rsid w:val="0B7A7289"/>
    <w:rsid w:val="0CFE70EC"/>
    <w:rsid w:val="11DA0264"/>
    <w:rsid w:val="144C5BDC"/>
    <w:rsid w:val="22114ED4"/>
    <w:rsid w:val="2D3A38C3"/>
    <w:rsid w:val="2D497BC4"/>
    <w:rsid w:val="3A0415CA"/>
    <w:rsid w:val="560D452D"/>
    <w:rsid w:val="5A934B4E"/>
    <w:rsid w:val="5AE86E93"/>
    <w:rsid w:val="5AF23619"/>
    <w:rsid w:val="5CA9264A"/>
    <w:rsid w:val="5FA60F75"/>
    <w:rsid w:val="606A30C9"/>
    <w:rsid w:val="75C12D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unhideWhenUsed/>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Char"/>
    <w:basedOn w:val="16"/>
    <w:link w:val="2"/>
    <w:qFormat/>
    <w:uiPriority w:val="9"/>
    <w:rPr>
      <w:rFonts w:asciiTheme="majorHAnsi" w:hAnsiTheme="majorHAnsi" w:eastAsiaTheme="majorEastAsia"/>
      <w:b/>
      <w:bCs/>
      <w:kern w:val="32"/>
      <w:sz w:val="32"/>
      <w:szCs w:val="32"/>
    </w:rPr>
  </w:style>
  <w:style w:type="character" w:customStyle="1" w:styleId="21">
    <w:name w:val="标题 2 Char"/>
    <w:basedOn w:val="16"/>
    <w:link w:val="3"/>
    <w:semiHidden/>
    <w:qFormat/>
    <w:uiPriority w:val="9"/>
    <w:rPr>
      <w:rFonts w:asciiTheme="majorHAnsi" w:hAnsiTheme="majorHAnsi" w:eastAsiaTheme="majorEastAsia"/>
      <w:b/>
      <w:bCs/>
      <w:i/>
      <w:iCs/>
      <w:sz w:val="28"/>
      <w:szCs w:val="28"/>
    </w:rPr>
  </w:style>
  <w:style w:type="character" w:customStyle="1" w:styleId="22">
    <w:name w:val="标题 3 Char"/>
    <w:basedOn w:val="16"/>
    <w:link w:val="4"/>
    <w:semiHidden/>
    <w:uiPriority w:val="9"/>
    <w:rPr>
      <w:rFonts w:asciiTheme="majorHAnsi" w:hAnsiTheme="majorHAnsi" w:eastAsiaTheme="majorEastAsia"/>
      <w:b/>
      <w:bCs/>
      <w:sz w:val="26"/>
      <w:szCs w:val="26"/>
    </w:rPr>
  </w:style>
  <w:style w:type="character" w:customStyle="1" w:styleId="23">
    <w:name w:val="标题 4 Char"/>
    <w:basedOn w:val="16"/>
    <w:link w:val="5"/>
    <w:semiHidden/>
    <w:qFormat/>
    <w:uiPriority w:val="9"/>
    <w:rPr>
      <w:b/>
      <w:bCs/>
      <w:sz w:val="28"/>
      <w:szCs w:val="28"/>
    </w:rPr>
  </w:style>
  <w:style w:type="character" w:customStyle="1" w:styleId="24">
    <w:name w:val="标题 5 Char"/>
    <w:basedOn w:val="16"/>
    <w:link w:val="6"/>
    <w:semiHidden/>
    <w:qFormat/>
    <w:uiPriority w:val="9"/>
    <w:rPr>
      <w:b/>
      <w:bCs/>
      <w:i/>
      <w:iCs/>
      <w:sz w:val="26"/>
      <w:szCs w:val="26"/>
    </w:rPr>
  </w:style>
  <w:style w:type="character" w:customStyle="1" w:styleId="25">
    <w:name w:val="标题 6 Char"/>
    <w:basedOn w:val="16"/>
    <w:link w:val="7"/>
    <w:semiHidden/>
    <w:qFormat/>
    <w:uiPriority w:val="9"/>
    <w:rPr>
      <w:b/>
      <w:bCs/>
    </w:rPr>
  </w:style>
  <w:style w:type="character" w:customStyle="1" w:styleId="26">
    <w:name w:val="标题 7 Char"/>
    <w:basedOn w:val="16"/>
    <w:link w:val="8"/>
    <w:semiHidden/>
    <w:uiPriority w:val="9"/>
    <w:rPr>
      <w:sz w:val="24"/>
      <w:szCs w:val="24"/>
    </w:rPr>
  </w:style>
  <w:style w:type="character" w:customStyle="1" w:styleId="27">
    <w:name w:val="标题 8 Char"/>
    <w:basedOn w:val="16"/>
    <w:link w:val="9"/>
    <w:semiHidden/>
    <w:qFormat/>
    <w:uiPriority w:val="9"/>
    <w:rPr>
      <w:i/>
      <w:iCs/>
      <w:sz w:val="24"/>
      <w:szCs w:val="24"/>
    </w:rPr>
  </w:style>
  <w:style w:type="character" w:customStyle="1" w:styleId="28">
    <w:name w:val="标题 9 Char"/>
    <w:basedOn w:val="16"/>
    <w:link w:val="10"/>
    <w:semiHidden/>
    <w:qFormat/>
    <w:uiPriority w:val="9"/>
    <w:rPr>
      <w:rFonts w:asciiTheme="majorHAnsi" w:hAnsiTheme="majorHAnsi" w:eastAsiaTheme="majorEastAsia"/>
    </w:rPr>
  </w:style>
  <w:style w:type="character" w:customStyle="1" w:styleId="29">
    <w:name w:val="标题 Char"/>
    <w:basedOn w:val="16"/>
    <w:link w:val="15"/>
    <w:qFormat/>
    <w:uiPriority w:val="10"/>
    <w:rPr>
      <w:rFonts w:asciiTheme="majorHAnsi" w:hAnsiTheme="majorHAnsi" w:eastAsiaTheme="majorEastAsia"/>
      <w:b/>
      <w:bCs/>
      <w:kern w:val="28"/>
      <w:sz w:val="32"/>
      <w:szCs w:val="32"/>
    </w:rPr>
  </w:style>
  <w:style w:type="character" w:customStyle="1" w:styleId="30">
    <w:name w:val="副标题 Char"/>
    <w:basedOn w:val="16"/>
    <w:link w:val="14"/>
    <w:qFormat/>
    <w:uiPriority w:val="11"/>
    <w:rPr>
      <w:rFonts w:asciiTheme="majorHAnsi" w:hAnsiTheme="majorHAnsi" w:eastAsiaTheme="majorEastAsia"/>
      <w:sz w:val="24"/>
      <w:szCs w:val="24"/>
    </w:rPr>
  </w:style>
  <w:style w:type="paragraph" w:customStyle="1" w:styleId="31">
    <w:name w:val="无间隔1"/>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列出段落1"/>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引用1"/>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6"/>
    <w:link w:val="33"/>
    <w:qFormat/>
    <w:uiPriority w:val="29"/>
    <w:rPr>
      <w:i/>
      <w:sz w:val="24"/>
      <w:szCs w:val="24"/>
    </w:rPr>
  </w:style>
  <w:style w:type="paragraph" w:customStyle="1" w:styleId="35">
    <w:name w:val="明显引用1"/>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6"/>
    <w:link w:val="35"/>
    <w:qFormat/>
    <w:uiPriority w:val="30"/>
    <w:rPr>
      <w:b/>
      <w:i/>
      <w:sz w:val="24"/>
    </w:rPr>
  </w:style>
  <w:style w:type="character" w:customStyle="1" w:styleId="37">
    <w:name w:val="不明显强调1"/>
    <w:qFormat/>
    <w:uiPriority w:val="19"/>
    <w:rPr>
      <w:i/>
      <w:color w:val="585858" w:themeColor="text1" w:themeTint="A6"/>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Char"/>
    <w:basedOn w:val="16"/>
    <w:link w:val="13"/>
    <w:qFormat/>
    <w:uiPriority w:val="99"/>
    <w:rPr>
      <w:rFonts w:ascii="Calibri" w:hAnsi="Calibri" w:eastAsia="宋体"/>
      <w:kern w:val="2"/>
      <w:sz w:val="18"/>
      <w:szCs w:val="18"/>
    </w:rPr>
  </w:style>
  <w:style w:type="character" w:customStyle="1" w:styleId="44">
    <w:name w:val="页脚 Char"/>
    <w:basedOn w:val="16"/>
    <w:link w:val="12"/>
    <w:qFormat/>
    <w:uiPriority w:val="99"/>
    <w:rPr>
      <w:rFonts w:ascii="Calibri" w:hAnsi="Calibri" w:eastAsia="宋体"/>
      <w:kern w:val="2"/>
      <w:sz w:val="18"/>
      <w:szCs w:val="18"/>
    </w:rPr>
  </w:style>
  <w:style w:type="character" w:customStyle="1" w:styleId="45">
    <w:name w:val="批注框文本 Char"/>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421</Words>
  <Characters>2402</Characters>
  <Lines>20</Lines>
  <Paragraphs>5</Paragraphs>
  <TotalTime>0</TotalTime>
  <ScaleCrop>false</ScaleCrop>
  <LinksUpToDate>false</LinksUpToDate>
  <CharactersWithSpaces>2818</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xcj</cp:lastModifiedBy>
  <cp:lastPrinted>2019-01-15T03:23:00Z</cp:lastPrinted>
  <dcterms:modified xsi:type="dcterms:W3CDTF">2019-01-16T04:20:11Z</dcterms:modified>
  <dc:title>附件1：</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