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附件1：</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奇台县财政项目支出绩效自评报告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（2017年度）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700" w:lineRule="exact"/>
        <w:ind w:left="2518" w:leftChars="342" w:hanging="1800" w:hangingChars="500"/>
        <w:jc w:val="left"/>
        <w:rPr>
          <w:rFonts w:hAnsi="宋体" w:eastAsia="仿宋_GB2312" w:cs="宋体"/>
          <w:kern w:val="0"/>
          <w:sz w:val="36"/>
          <w:szCs w:val="36"/>
        </w:rPr>
      </w:pPr>
      <w:r>
        <w:rPr>
          <w:rFonts w:hint="eastAsia" w:hAnsi="宋体" w:eastAsia="仿宋_GB2312" w:cs="宋体"/>
          <w:kern w:val="0"/>
          <w:sz w:val="36"/>
          <w:szCs w:val="36"/>
        </w:rPr>
        <w:t>项目名称：奇台县半截沟镇江布拉克营盘滩村修建乡村道路工程</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实施单位（公章）：奇台县半截沟镇人民政府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主管部门（公章）：奇台县半截沟镇人民政府</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项目负责人（签章）：张  超</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填报时间：2018年8月 21日（部门决算公开日期之前）</w:t>
      </w:r>
    </w:p>
    <w:p>
      <w:pPr>
        <w:spacing w:line="540" w:lineRule="exact"/>
        <w:jc w:val="center"/>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一、项目概况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（一）项目单位基本情况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（1）执行本级人民代表大会的决议和上级国家行政机关的决定和命令，发布决定和命令。</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（2）执行本行政区域内的经济和社会发展计划、预算，管理本行政区域内的经济、教育、科学、文化、卫生、体育事业和财政、民政、公安、司法行政、计划生育等行政工作；</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（3）保护社会主义的全民所有的财产和劳动群众集体所有的财产，保护公民私人所有的合法财产，维护社会秩序，保障公民的人身权利、民主权利和其他权利；</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（4）保护各种经济组织的合法权益；</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（5）保障少数民族的权利和尊重少数民族的风俗习惯；</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（6）保障宪法和法律赋予妇女的男女平等、同工同酬和婚姻自由等各项权利；</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（7）办理上级人民政府交办的其他事项。</w:t>
      </w:r>
    </w:p>
    <w:p>
      <w:pPr>
        <w:spacing w:line="540" w:lineRule="exact"/>
        <w:ind w:firstLine="567" w:firstLineChars="181"/>
        <w:rPr>
          <w:rStyle w:val="17"/>
          <w:rFonts w:ascii="仿宋" w:hAnsi="仿宋" w:eastAsia="仿宋"/>
          <w:b w:val="0"/>
          <w:spacing w:val="-4"/>
          <w:sz w:val="32"/>
          <w:szCs w:val="32"/>
        </w:rPr>
      </w:pPr>
      <w:r>
        <w:rPr>
          <w:rStyle w:val="17"/>
          <w:rFonts w:hint="eastAsia" w:ascii="楷体" w:hAnsi="楷体" w:eastAsia="楷体"/>
          <w:spacing w:val="-4"/>
          <w:sz w:val="32"/>
          <w:szCs w:val="32"/>
        </w:rPr>
        <w:t>（二）项目预算</w:t>
      </w:r>
      <w:r>
        <w:rPr>
          <w:rStyle w:val="17"/>
          <w:rFonts w:ascii="楷体" w:hAnsi="楷体" w:eastAsia="楷体"/>
          <w:spacing w:val="-4"/>
          <w:sz w:val="32"/>
          <w:szCs w:val="32"/>
        </w:rPr>
        <w:t>绩效目标</w:t>
      </w:r>
      <w:r>
        <w:rPr>
          <w:rStyle w:val="17"/>
          <w:rFonts w:hint="eastAsia" w:ascii="楷体" w:hAnsi="楷体" w:eastAsia="楷体"/>
          <w:spacing w:val="-4"/>
          <w:sz w:val="32"/>
          <w:szCs w:val="32"/>
        </w:rPr>
        <w:t>设定情况</w:t>
      </w:r>
    </w:p>
    <w:p>
      <w:pPr>
        <w:ind w:firstLine="624" w:firstLineChars="200"/>
        <w:jc w:val="left"/>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为2003年7月实施半截沟镇江布拉克营盘滩九村农村公路建设工程，铺垫厚20㎝路面宽度为5米砂石不大于10厘米的砂石路，每米20元，合同价：16.42万元，已付工程款1.42万元，未付工程款项：14.99万元。上述项目资金经2017年12月政府债务化解支付14.99万元。</w:t>
      </w:r>
    </w:p>
    <w:p>
      <w:pPr>
        <w:ind w:firstLine="624" w:firstLineChars="200"/>
        <w:jc w:val="left"/>
        <w:rPr>
          <w:rStyle w:val="17"/>
          <w:rFonts w:ascii="黑体" w:hAnsi="黑体" w:eastAsia="黑体"/>
          <w:b w:val="0"/>
          <w:spacing w:val="-4"/>
          <w:sz w:val="32"/>
          <w:szCs w:val="32"/>
        </w:rPr>
      </w:pPr>
      <w:r>
        <w:rPr>
          <w:rStyle w:val="17"/>
          <w:rFonts w:hint="eastAsia" w:ascii="黑体" w:hAnsi="黑体" w:eastAsia="黑体"/>
          <w:b w:val="0"/>
          <w:spacing w:val="-4"/>
          <w:sz w:val="32"/>
          <w:szCs w:val="32"/>
        </w:rPr>
        <w:t>二、项目资金使用及管理情况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（一）项目资金安排落实、总投入等情况分析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该项目支付的项目资金用于铺设实施半截沟镇江布拉克营盘滩九村农村公路建设工程，该项目总投入14.99万元，其中财政通过政府债务化解14.99万元。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（二）项目资金实际使用情况分析</w:t>
      </w:r>
    </w:p>
    <w:p>
      <w:pPr>
        <w:spacing w:line="540" w:lineRule="exact"/>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该项目支付的项目资金用于铺设实施半截沟镇江布拉克营盘滩九村农村公路建设工程，该项目总投入14.99万元，其中财政通过政府债务化解14.99万元。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（三）项目资金管理情况分析</w:t>
      </w:r>
    </w:p>
    <w:p>
      <w:pPr>
        <w:spacing w:line="540" w:lineRule="exact"/>
        <w:ind w:firstLine="624" w:firstLineChars="200"/>
        <w:rPr>
          <w:rStyle w:val="17"/>
          <w:rFonts w:ascii="仿宋" w:hAnsi="仿宋" w:eastAsia="仿宋"/>
          <w:b w:val="0"/>
          <w:spacing w:val="-4"/>
          <w:sz w:val="32"/>
          <w:szCs w:val="32"/>
          <w:highlight w:val="yellow"/>
        </w:rPr>
      </w:pPr>
      <w:r>
        <w:rPr>
          <w:rStyle w:val="17"/>
          <w:rFonts w:hint="eastAsia" w:ascii="仿宋" w:hAnsi="仿宋" w:eastAsia="仿宋"/>
          <w:b w:val="0"/>
          <w:spacing w:val="-4"/>
          <w:sz w:val="32"/>
          <w:szCs w:val="32"/>
        </w:rPr>
        <w:t>半截沟镇江布拉克营盘滩九村农村公路建设工程的债务还本支出通过支付争取地方财政化债资金，通过国库集中支付方式将截沟镇江布拉克营盘滩九村农村公路建设工程的债务余额直接支付到项目施工单位账户。</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三、项目组织实施情况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（一）项目组织情况分析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该工程已于2003年7月实施完成并投入使用。</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（二）项目管理情况分析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该工程已于2003年7月实施完成并投入使用。</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四、项目绩效情况</w:t>
      </w:r>
      <w:r>
        <w:rPr>
          <w:rStyle w:val="17"/>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（一）项目绩效目标完成情况分析</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该工程为农村道路建设工程，项目实施后可有效改善农村居民出行条件，为农业生产运输和农村居民生活提供有效的保障，为改善人居环境，增加农村经济收入奠定坚实的基础。</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spacing w:line="540" w:lineRule="exact"/>
        <w:ind w:firstLine="564" w:firstLineChars="181"/>
        <w:rPr>
          <w:rFonts w:ascii="仿宋" w:hAnsi="仿宋" w:eastAsia="仿宋"/>
          <w:spacing w:val="-4"/>
          <w:sz w:val="32"/>
          <w:szCs w:val="32"/>
        </w:rPr>
      </w:pPr>
      <w:r>
        <w:rPr>
          <w:rStyle w:val="17"/>
          <w:rFonts w:hint="eastAsia" w:ascii="仿宋" w:hAnsi="仿宋" w:eastAsia="仿宋"/>
          <w:b w:val="0"/>
          <w:spacing w:val="-4"/>
          <w:sz w:val="32"/>
          <w:szCs w:val="32"/>
        </w:rPr>
        <w:t>半截沟镇江布拉克营盘滩九村农村公路建设工程的债务还本支出资金通过国库直接支付的方式将债务余额支付到项目施工方银行账户，项目按时完成</w:t>
      </w:r>
      <w:r>
        <w:rPr>
          <w:rFonts w:hint="eastAsia" w:ascii="仿宋" w:hAnsi="仿宋" w:eastAsia="仿宋"/>
          <w:spacing w:val="-4"/>
          <w:sz w:val="32"/>
          <w:szCs w:val="32"/>
        </w:rPr>
        <w:t>。</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五、其他需要说明的问题</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（一）后续工作计划</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继续加强对农村道路的管理维护工作。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（二）主要经验及做法、存在问题和建议</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江布拉克营盘滩九村农村公路建设工程采用国库集中直接支付的原则，将债务余额直接支付到施工方银行账户，严格按照资金的上报、审批、支付流程规范资金的使用及支付，在支付过程中未出现支出重复列报、虚增化债资金的情况。</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存在问题：地方政府的债务规模比较庞大，而且大部分都难以偿还，缺乏有机制的管理，特别是我国正处于经济建设的关键时期，各级政府响应号召，大力发展当地经济，就需要大量资金投入建设。当财政收入无法支撑大量的支出时，各级政府只能举债，这样常年累月就形成大量的债务堆积；地方政府对债务缺乏监督管理，没有设立合理的预警机制。虽然地方政府举债，形成债务在一定限度内是可行的。但是没有监管是不行的，为了防范和化解地方政府的债务形成的威胁，必须建立债务的预警机制。</w:t>
      </w:r>
    </w:p>
    <w:p>
      <w:pPr>
        <w:spacing w:line="540" w:lineRule="exact"/>
        <w:ind w:firstLine="564" w:firstLineChars="181"/>
        <w:rPr>
          <w:rStyle w:val="17"/>
          <w:rFonts w:ascii="仿宋" w:hAnsi="仿宋" w:eastAsia="仿宋"/>
          <w:b w:val="0"/>
          <w:spacing w:val="-4"/>
          <w:sz w:val="32"/>
          <w:szCs w:val="32"/>
        </w:rPr>
      </w:pPr>
      <w:r>
        <w:rPr>
          <w:rStyle w:val="17"/>
          <w:rFonts w:hint="eastAsia" w:ascii="仿宋" w:hAnsi="仿宋" w:eastAsia="仿宋"/>
          <w:b w:val="0"/>
          <w:spacing w:val="-4"/>
          <w:sz w:val="32"/>
          <w:szCs w:val="32"/>
        </w:rPr>
        <w:t>建议：建立健全地方债务管理体系，约束债务管理的相关措施，加强与国家相关法律法规的衔接，切实做到正规渠道融资；统一债务管理部门，建议地方政府专门建立一个债务管理部门，成立债务管理小组，负责管理地方政府的一切举借信息，并对地方政府的债务偿还做出合理的规划，提高债务管理质量；建立风险防范机制，建立健全风险评估与预警机制，及时采取应对措施，达到控制风险的目的；建立债务偿还准备金制度。</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（三）其他</w:t>
      </w:r>
    </w:p>
    <w:p>
      <w:pPr>
        <w:spacing w:line="540" w:lineRule="exact"/>
        <w:ind w:firstLine="640"/>
        <w:rPr>
          <w:rFonts w:ascii="仿宋" w:hAnsi="仿宋" w:eastAsia="仿宋"/>
          <w:spacing w:val="-4"/>
          <w:sz w:val="32"/>
          <w:szCs w:val="32"/>
        </w:rPr>
      </w:pPr>
      <w:r>
        <w:rPr>
          <w:rFonts w:hint="eastAsia" w:ascii="仿宋" w:hAnsi="仿宋" w:eastAsia="仿宋"/>
          <w:spacing w:val="-4"/>
          <w:sz w:val="32"/>
          <w:szCs w:val="32"/>
        </w:rPr>
        <w:t>无</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六、项目评价工作情况</w:t>
      </w:r>
    </w:p>
    <w:p>
      <w:pPr>
        <w:ind w:firstLine="624" w:firstLineChars="200"/>
        <w:rPr>
          <w:rStyle w:val="17"/>
          <w:rFonts w:ascii="仿宋" w:hAnsi="仿宋" w:eastAsia="仿宋"/>
          <w:b w:val="0"/>
          <w:spacing w:val="-4"/>
          <w:sz w:val="32"/>
          <w:szCs w:val="32"/>
        </w:rPr>
      </w:pPr>
      <w:r>
        <w:rPr>
          <w:rStyle w:val="17"/>
          <w:rFonts w:hint="eastAsia" w:ascii="仿宋" w:hAnsi="仿宋" w:eastAsia="仿宋"/>
          <w:b w:val="0"/>
          <w:spacing w:val="-4"/>
          <w:sz w:val="32"/>
          <w:szCs w:val="32"/>
        </w:rPr>
        <w:t>半截沟镇江布拉克营盘滩九村农村公路建设工程</w:t>
      </w:r>
      <w:r>
        <w:rPr>
          <w:rStyle w:val="17"/>
          <w:rFonts w:hint="eastAsia" w:ascii="仿宋" w:hAnsi="仿宋" w:eastAsia="仿宋" w:cs="宋体"/>
          <w:b w:val="0"/>
          <w:spacing w:val="-4"/>
          <w:sz w:val="32"/>
          <w:szCs w:val="32"/>
        </w:rPr>
        <w:t>项目资金</w:t>
      </w:r>
      <w:r>
        <w:rPr>
          <w:rStyle w:val="17"/>
          <w:rFonts w:hint="eastAsia" w:ascii="仿宋" w:hAnsi="仿宋" w:eastAsia="仿宋"/>
          <w:b w:val="0"/>
          <w:spacing w:val="-4"/>
          <w:sz w:val="32"/>
          <w:szCs w:val="32"/>
        </w:rPr>
        <w:t>能按规定发放完成；资金按时、足额到位，维护了政府的形象和信誉；资金的使用也严格按照有关规定使用，在资金使用过程中没有出现虚列支出，重复申请资金等情况。</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七、附表</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b w:val="0"/>
          <w:spacing w:val="-4"/>
          <w:sz w:val="32"/>
          <w:szCs w:val="32"/>
        </w:rPr>
        <w:t>《自治州财政项目支出绩效自评表》</w:t>
      </w:r>
    </w:p>
    <w:p>
      <w:pPr>
        <w:spacing w:line="540" w:lineRule="exact"/>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tbl>
      <w:tblPr>
        <w:tblStyle w:val="19"/>
        <w:tblW w:w="9020" w:type="dxa"/>
        <w:tblInd w:w="93" w:type="dxa"/>
        <w:tblLayout w:type="fixed"/>
        <w:tblCellMar>
          <w:top w:w="0" w:type="dxa"/>
          <w:left w:w="108" w:type="dxa"/>
          <w:bottom w:w="0" w:type="dxa"/>
          <w:right w:w="108" w:type="dxa"/>
        </w:tblCellMar>
      </w:tblPr>
      <w:tblGrid>
        <w:gridCol w:w="720"/>
        <w:gridCol w:w="1140"/>
        <w:gridCol w:w="1360"/>
        <w:gridCol w:w="1080"/>
        <w:gridCol w:w="880"/>
        <w:gridCol w:w="2060"/>
        <w:gridCol w:w="1780"/>
      </w:tblGrid>
      <w:tr>
        <w:tblPrEx>
          <w:tblLayout w:type="fixed"/>
          <w:tblCellMar>
            <w:top w:w="0" w:type="dxa"/>
            <w:left w:w="108" w:type="dxa"/>
            <w:bottom w:w="0" w:type="dxa"/>
            <w:right w:w="108" w:type="dxa"/>
          </w:tblCellMar>
        </w:tblPrEx>
        <w:trPr>
          <w:trHeight w:val="40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bCs/>
                <w:kern w:val="0"/>
                <w:sz w:val="32"/>
                <w:szCs w:val="32"/>
              </w:rPr>
            </w:pPr>
            <w:r>
              <w:rPr>
                <w:rFonts w:hint="eastAsia" w:ascii="宋体" w:hAnsi="宋体" w:cs="宋体"/>
                <w:bCs/>
                <w:kern w:val="0"/>
                <w:sz w:val="32"/>
                <w:szCs w:val="32"/>
              </w:rPr>
              <w:t>奇台县财政项目支出绩效自评表</w:t>
            </w:r>
          </w:p>
        </w:tc>
      </w:tr>
      <w:tr>
        <w:tblPrEx>
          <w:tblLayout w:type="fixed"/>
          <w:tblCellMar>
            <w:top w:w="0" w:type="dxa"/>
            <w:left w:w="108" w:type="dxa"/>
            <w:bottom w:w="0" w:type="dxa"/>
            <w:right w:w="108" w:type="dxa"/>
          </w:tblCellMar>
        </w:tblPrEx>
        <w:trPr>
          <w:trHeight w:val="285" w:hRule="atLeast"/>
        </w:trPr>
        <w:tc>
          <w:tcPr>
            <w:tcW w:w="9020" w:type="dxa"/>
            <w:gridSpan w:val="7"/>
            <w:tcBorders>
              <w:top w:val="nil"/>
              <w:left w:val="nil"/>
              <w:bottom w:val="nil"/>
              <w:right w:val="nil"/>
            </w:tcBorders>
            <w:shd w:val="clear" w:color="auto" w:fill="auto"/>
            <w:vAlign w:val="center"/>
          </w:tcPr>
          <w:p>
            <w:pPr>
              <w:widowControl/>
              <w:jc w:val="center"/>
              <w:rPr>
                <w:rFonts w:ascii="宋体" w:hAnsi="宋体" w:cs="宋体"/>
                <w:kern w:val="0"/>
                <w:sz w:val="24"/>
              </w:rPr>
            </w:pPr>
            <w:r>
              <w:rPr>
                <w:rFonts w:hint="eastAsia" w:ascii="宋体" w:hAnsi="宋体" w:cs="宋体"/>
                <w:kern w:val="0"/>
                <w:sz w:val="24"/>
              </w:rPr>
              <w:t>（</w:t>
            </w:r>
            <w:r>
              <w:rPr>
                <w:kern w:val="0"/>
                <w:sz w:val="24"/>
              </w:rPr>
              <w:t xml:space="preserve"> </w:t>
            </w:r>
            <w:r>
              <w:rPr>
                <w:rFonts w:hint="eastAsia"/>
                <w:kern w:val="0"/>
                <w:sz w:val="24"/>
              </w:rPr>
              <w:t>2017</w:t>
            </w:r>
            <w:r>
              <w:rPr>
                <w:rFonts w:hint="eastAsia" w:ascii="宋体" w:hAnsi="宋体" w:cs="宋体"/>
                <w:kern w:val="0"/>
                <w:sz w:val="24"/>
              </w:rPr>
              <w:t>年度）</w:t>
            </w:r>
          </w:p>
        </w:tc>
      </w:tr>
      <w:tr>
        <w:tblPrEx>
          <w:tblLayout w:type="fixed"/>
          <w:tblCellMar>
            <w:top w:w="0" w:type="dxa"/>
            <w:left w:w="108" w:type="dxa"/>
            <w:bottom w:w="0" w:type="dxa"/>
            <w:right w:w="108" w:type="dxa"/>
          </w:tblCellMar>
        </w:tblPrEx>
        <w:trPr>
          <w:trHeight w:val="285" w:hRule="atLeast"/>
        </w:trPr>
        <w:tc>
          <w:tcPr>
            <w:tcW w:w="72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14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3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0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8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206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c>
          <w:tcPr>
            <w:tcW w:w="1780" w:type="dxa"/>
            <w:tcBorders>
              <w:top w:val="nil"/>
              <w:left w:val="nil"/>
              <w:bottom w:val="nil"/>
              <w:right w:val="nil"/>
            </w:tcBorders>
            <w:shd w:val="clear" w:color="auto" w:fill="auto"/>
            <w:vAlign w:val="center"/>
          </w:tcPr>
          <w:p>
            <w:pPr>
              <w:widowControl/>
              <w:jc w:val="center"/>
              <w:rPr>
                <w:rFonts w:ascii="宋体" w:hAnsi="宋体" w:cs="宋体"/>
                <w:kern w:val="0"/>
                <w:sz w:val="24"/>
              </w:rPr>
            </w:pPr>
          </w:p>
        </w:tc>
      </w:tr>
      <w:tr>
        <w:tblPrEx>
          <w:tblLayout w:type="fixed"/>
          <w:tblCellMar>
            <w:top w:w="0" w:type="dxa"/>
            <w:left w:w="108" w:type="dxa"/>
            <w:bottom w:w="0" w:type="dxa"/>
            <w:right w:w="108" w:type="dxa"/>
          </w:tblCellMar>
        </w:tblPrEx>
        <w:trPr>
          <w:trHeight w:val="420"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项目名称</w:t>
            </w:r>
          </w:p>
        </w:tc>
        <w:tc>
          <w:tcPr>
            <w:tcW w:w="580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奇台县半截沟镇江布拉克营盘滩村农村道路建设工程</w:t>
            </w:r>
          </w:p>
          <w:p>
            <w:pPr>
              <w:widowControl/>
              <w:jc w:val="center"/>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35" w:hRule="atLeast"/>
        </w:trPr>
        <w:tc>
          <w:tcPr>
            <w:tcW w:w="3220" w:type="dxa"/>
            <w:gridSpan w:val="3"/>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预算单位</w:t>
            </w:r>
          </w:p>
        </w:tc>
        <w:tc>
          <w:tcPr>
            <w:tcW w:w="5800"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奇台县半截沟镇人民政府　</w:t>
            </w:r>
          </w:p>
        </w:tc>
      </w:tr>
      <w:tr>
        <w:tblPrEx>
          <w:tblLayout w:type="fixed"/>
          <w:tblCellMar>
            <w:top w:w="0" w:type="dxa"/>
            <w:left w:w="108" w:type="dxa"/>
            <w:bottom w:w="0" w:type="dxa"/>
            <w:right w:w="108" w:type="dxa"/>
          </w:tblCellMar>
        </w:tblPrEx>
        <w:trPr>
          <w:trHeight w:val="465"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预算</w:t>
            </w:r>
            <w:r>
              <w:rPr>
                <w:rFonts w:hint="eastAsia" w:ascii="宋体" w:hAnsi="宋体" w:cs="宋体"/>
                <w:kern w:val="0"/>
                <w:sz w:val="20"/>
                <w:szCs w:val="20"/>
              </w:rPr>
              <w:br w:type="textWrapping"/>
            </w:r>
            <w:r>
              <w:rPr>
                <w:rFonts w:hint="eastAsia" w:ascii="宋体" w:hAnsi="宋体" w:cs="宋体"/>
                <w:kern w:val="0"/>
                <w:sz w:val="20"/>
                <w:szCs w:val="20"/>
              </w:rPr>
              <w:t>执行</w:t>
            </w:r>
            <w:r>
              <w:rPr>
                <w:rFonts w:hint="eastAsia" w:ascii="宋体" w:hAnsi="宋体" w:cs="宋体"/>
                <w:kern w:val="0"/>
                <w:sz w:val="20"/>
                <w:szCs w:val="20"/>
              </w:rPr>
              <w:br w:type="textWrapping"/>
            </w:r>
            <w:r>
              <w:rPr>
                <w:rFonts w:hint="eastAsia" w:ascii="宋体" w:hAnsi="宋体" w:cs="宋体"/>
                <w:kern w:val="0"/>
                <w:sz w:val="20"/>
                <w:szCs w:val="20"/>
              </w:rPr>
              <w:t>情况</w:t>
            </w:r>
            <w:r>
              <w:rPr>
                <w:rFonts w:hint="eastAsia" w:ascii="宋体" w:hAnsi="宋体" w:cs="宋体"/>
                <w:kern w:val="0"/>
                <w:sz w:val="20"/>
                <w:szCs w:val="20"/>
              </w:rPr>
              <w:br w:type="textWrapping"/>
            </w:r>
            <w:r>
              <w:rPr>
                <w:rFonts w:hint="eastAsia" w:ascii="宋体" w:hAnsi="宋体" w:cs="宋体"/>
                <w:kern w:val="0"/>
                <w:sz w:val="20"/>
                <w:szCs w:val="20"/>
              </w:rPr>
              <w:t>（万元）</w:t>
            </w: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预算数：</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14.99</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执行数：</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14.99　</w:t>
            </w:r>
          </w:p>
        </w:tc>
      </w:tr>
      <w:tr>
        <w:tblPrEx>
          <w:tblLayout w:type="fixed"/>
          <w:tblCellMar>
            <w:top w:w="0" w:type="dxa"/>
            <w:left w:w="108" w:type="dxa"/>
            <w:bottom w:w="0" w:type="dxa"/>
            <w:right w:w="108" w:type="dxa"/>
          </w:tblCellMar>
        </w:tblPrEx>
        <w:trPr>
          <w:trHeight w:val="509"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14.99</w:t>
            </w:r>
          </w:p>
        </w:tc>
        <w:tc>
          <w:tcPr>
            <w:tcW w:w="2060" w:type="dxa"/>
            <w:tcBorders>
              <w:top w:val="nil"/>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其中：财政拨款</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14.99　</w:t>
            </w:r>
          </w:p>
        </w:tc>
      </w:tr>
      <w:tr>
        <w:tblPrEx>
          <w:tblLayout w:type="fixed"/>
          <w:tblCellMar>
            <w:top w:w="0" w:type="dxa"/>
            <w:left w:w="108" w:type="dxa"/>
            <w:bottom w:w="0" w:type="dxa"/>
            <w:right w:w="108" w:type="dxa"/>
          </w:tblCellMar>
        </w:tblPrEx>
        <w:trPr>
          <w:trHeight w:val="433"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2500" w:type="dxa"/>
            <w:gridSpan w:val="2"/>
            <w:tcBorders>
              <w:top w:val="single" w:color="auto" w:sz="4" w:space="0"/>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0</w:t>
            </w:r>
          </w:p>
        </w:tc>
        <w:tc>
          <w:tcPr>
            <w:tcW w:w="2060" w:type="dxa"/>
            <w:tcBorders>
              <w:top w:val="single" w:color="auto" w:sz="4" w:space="0"/>
              <w:left w:val="nil"/>
              <w:bottom w:val="nil"/>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其他资金</w:t>
            </w:r>
          </w:p>
        </w:tc>
        <w:tc>
          <w:tcPr>
            <w:tcW w:w="1780" w:type="dxa"/>
            <w:tcBorders>
              <w:top w:val="nil"/>
              <w:left w:val="nil"/>
              <w:bottom w:val="single" w:color="auto" w:sz="4" w:space="0"/>
              <w:right w:val="single" w:color="auto" w:sz="4" w:space="0"/>
            </w:tcBorders>
            <w:shd w:val="clear" w:color="auto" w:fill="auto"/>
            <w:vAlign w:val="center"/>
          </w:tcPr>
          <w:p>
            <w:pPr>
              <w:widowControl/>
              <w:jc w:val="right"/>
              <w:rPr>
                <w:rFonts w:ascii="宋体" w:hAnsi="宋体" w:cs="宋体"/>
                <w:kern w:val="0"/>
                <w:sz w:val="20"/>
                <w:szCs w:val="20"/>
              </w:rPr>
            </w:pPr>
            <w:r>
              <w:rPr>
                <w:rFonts w:hint="eastAsia" w:ascii="宋体" w:hAnsi="宋体" w:cs="宋体"/>
                <w:kern w:val="0"/>
                <w:sz w:val="20"/>
                <w:szCs w:val="20"/>
              </w:rPr>
              <w:t>0　</w:t>
            </w:r>
          </w:p>
        </w:tc>
      </w:tr>
      <w:tr>
        <w:tblPrEx>
          <w:tblLayout w:type="fixed"/>
          <w:tblCellMar>
            <w:top w:w="0" w:type="dxa"/>
            <w:left w:w="108" w:type="dxa"/>
            <w:bottom w:w="0" w:type="dxa"/>
            <w:right w:w="108" w:type="dxa"/>
          </w:tblCellMar>
        </w:tblPrEx>
        <w:trPr>
          <w:trHeight w:val="450" w:hRule="atLeast"/>
        </w:trPr>
        <w:tc>
          <w:tcPr>
            <w:tcW w:w="7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目标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4460"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预期目标</w:t>
            </w:r>
          </w:p>
        </w:tc>
        <w:tc>
          <w:tcPr>
            <w:tcW w:w="384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实际完成目标</w:t>
            </w:r>
          </w:p>
        </w:tc>
      </w:tr>
      <w:tr>
        <w:tblPrEx>
          <w:tblLayout w:type="fixed"/>
          <w:tblCellMar>
            <w:top w:w="0" w:type="dxa"/>
            <w:left w:w="108" w:type="dxa"/>
            <w:bottom w:w="0" w:type="dxa"/>
            <w:right w:w="108" w:type="dxa"/>
          </w:tblCellMar>
        </w:tblPrEx>
        <w:trPr>
          <w:trHeight w:val="1425" w:hRule="atLeast"/>
        </w:trPr>
        <w:tc>
          <w:tcPr>
            <w:tcW w:w="7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4460" w:type="dxa"/>
            <w:gridSpan w:val="4"/>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该工程为农村道路建设工程，项目实施后可有效改善农村居民出行条件，为农业生产运输和农村居民生活提供有效的保障，为改善人居环境，增加农村经济收入奠定坚实的基础。</w:t>
            </w:r>
          </w:p>
          <w:p>
            <w:pPr>
              <w:widowControl/>
              <w:jc w:val="left"/>
              <w:rPr>
                <w:rFonts w:ascii="宋体" w:hAnsi="宋体" w:cs="宋体"/>
                <w:kern w:val="0"/>
                <w:sz w:val="20"/>
                <w:szCs w:val="20"/>
              </w:rPr>
            </w:pPr>
          </w:p>
        </w:tc>
        <w:tc>
          <w:tcPr>
            <w:tcW w:w="3840" w:type="dxa"/>
            <w:gridSpan w:val="2"/>
            <w:tcBorders>
              <w:top w:val="single" w:color="auto" w:sz="4" w:space="0"/>
              <w:left w:val="nil"/>
              <w:bottom w:val="single" w:color="auto" w:sz="4" w:space="0"/>
              <w:right w:val="single" w:color="000000" w:sz="4" w:space="0"/>
            </w:tcBorders>
            <w:shd w:val="clear" w:color="auto" w:fill="auto"/>
          </w:tcPr>
          <w:p>
            <w:pPr>
              <w:widowControl/>
              <w:jc w:val="left"/>
              <w:rPr>
                <w:rFonts w:ascii="宋体" w:hAnsi="宋体" w:cs="宋体"/>
                <w:kern w:val="0"/>
                <w:sz w:val="20"/>
                <w:szCs w:val="20"/>
              </w:rPr>
            </w:pPr>
            <w:r>
              <w:rPr>
                <w:rFonts w:hint="eastAsia" w:ascii="宋体" w:hAnsi="宋体" w:cs="宋体"/>
                <w:kern w:val="0"/>
                <w:sz w:val="20"/>
                <w:szCs w:val="20"/>
              </w:rPr>
              <w:t>　该工程为农村道路建设工程，项目实施后可有效改善农村居民出行条件，为农业生产运输和农村居民生活提供有效的保障，为改善人居环境，增加农村经济收入奠定坚实的基础。</w:t>
            </w:r>
          </w:p>
          <w:p>
            <w:pPr>
              <w:widowControl/>
              <w:jc w:val="left"/>
              <w:rPr>
                <w:rFonts w:ascii="宋体" w:hAnsi="宋体" w:cs="宋体"/>
                <w:kern w:val="0"/>
                <w:sz w:val="20"/>
                <w:szCs w:val="20"/>
              </w:rPr>
            </w:pPr>
          </w:p>
        </w:tc>
      </w:tr>
      <w:tr>
        <w:tblPrEx>
          <w:tblLayout w:type="fixed"/>
          <w:tblCellMar>
            <w:top w:w="0" w:type="dxa"/>
            <w:left w:w="108" w:type="dxa"/>
            <w:bottom w:w="0" w:type="dxa"/>
            <w:right w:w="108" w:type="dxa"/>
          </w:tblCellMar>
        </w:tblPrEx>
        <w:trPr>
          <w:trHeight w:val="720" w:hRule="atLeast"/>
        </w:trPr>
        <w:tc>
          <w:tcPr>
            <w:tcW w:w="72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年度</w:t>
            </w:r>
            <w:r>
              <w:rPr>
                <w:rFonts w:hint="eastAsia" w:ascii="宋体" w:hAnsi="宋体" w:cs="宋体"/>
                <w:kern w:val="0"/>
                <w:sz w:val="20"/>
                <w:szCs w:val="20"/>
              </w:rPr>
              <w:br w:type="textWrapping"/>
            </w:r>
            <w:r>
              <w:rPr>
                <w:rFonts w:hint="eastAsia" w:ascii="宋体" w:hAnsi="宋体" w:cs="宋体"/>
                <w:kern w:val="0"/>
                <w:sz w:val="20"/>
                <w:szCs w:val="20"/>
              </w:rPr>
              <w:t>绩效</w:t>
            </w:r>
            <w:r>
              <w:rPr>
                <w:rFonts w:hint="eastAsia" w:ascii="宋体" w:hAnsi="宋体" w:cs="宋体"/>
                <w:kern w:val="0"/>
                <w:sz w:val="20"/>
                <w:szCs w:val="20"/>
              </w:rPr>
              <w:br w:type="textWrapping"/>
            </w:r>
            <w:r>
              <w:rPr>
                <w:rFonts w:hint="eastAsia" w:ascii="宋体" w:hAnsi="宋体" w:cs="宋体"/>
                <w:kern w:val="0"/>
                <w:sz w:val="20"/>
                <w:szCs w:val="20"/>
              </w:rPr>
              <w:t>指标</w:t>
            </w:r>
            <w:r>
              <w:rPr>
                <w:rFonts w:hint="eastAsia" w:ascii="宋体" w:hAnsi="宋体" w:cs="宋体"/>
                <w:kern w:val="0"/>
                <w:sz w:val="20"/>
                <w:szCs w:val="20"/>
              </w:rPr>
              <w:br w:type="textWrapping"/>
            </w:r>
            <w:r>
              <w:rPr>
                <w:rFonts w:hint="eastAsia" w:ascii="宋体" w:hAnsi="宋体" w:cs="宋体"/>
                <w:kern w:val="0"/>
                <w:sz w:val="20"/>
                <w:szCs w:val="20"/>
              </w:rPr>
              <w:t>完成</w:t>
            </w:r>
            <w:r>
              <w:rPr>
                <w:rFonts w:hint="eastAsia" w:ascii="宋体" w:hAnsi="宋体" w:cs="宋体"/>
                <w:kern w:val="0"/>
                <w:sz w:val="20"/>
                <w:szCs w:val="20"/>
              </w:rPr>
              <w:br w:type="textWrapping"/>
            </w:r>
            <w:r>
              <w:rPr>
                <w:rFonts w:hint="eastAsia" w:ascii="宋体" w:hAnsi="宋体" w:cs="宋体"/>
                <w:kern w:val="0"/>
                <w:sz w:val="20"/>
                <w:szCs w:val="20"/>
              </w:rPr>
              <w:t>情况</w:t>
            </w:r>
          </w:p>
        </w:tc>
        <w:tc>
          <w:tcPr>
            <w:tcW w:w="1140" w:type="dxa"/>
            <w:tcBorders>
              <w:top w:val="nil"/>
              <w:left w:val="nil"/>
              <w:bottom w:val="nil"/>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一级指标</w:t>
            </w: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二级指标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三级指标</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预期指标值（包含数字及文字描述）</w:t>
            </w:r>
          </w:p>
        </w:tc>
        <w:tc>
          <w:tcPr>
            <w:tcW w:w="178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实际完成指标值（包含数字及文字描述）</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项目完成指标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数量指标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公路长度</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eastAsia="宋体" w:cs="宋体"/>
                <w:kern w:val="0"/>
                <w:sz w:val="20"/>
                <w:szCs w:val="20"/>
                <w:lang w:eastAsia="zh-CN"/>
              </w:rPr>
            </w:pPr>
            <w:r>
              <w:rPr>
                <w:rFonts w:hint="eastAsia" w:ascii="宋体" w:hAnsi="宋体" w:cs="宋体"/>
                <w:kern w:val="0"/>
                <w:sz w:val="20"/>
                <w:szCs w:val="20"/>
                <w:lang w:eastAsia="zh-CN"/>
              </w:rPr>
              <w:t>》</w:t>
            </w:r>
            <w:r>
              <w:rPr>
                <w:rFonts w:hint="eastAsia" w:ascii="宋体" w:hAnsi="宋体" w:cs="宋体"/>
                <w:kern w:val="0"/>
                <w:sz w:val="20"/>
                <w:szCs w:val="20"/>
                <w:lang w:val="en-US" w:eastAsia="zh-CN"/>
              </w:rPr>
              <w:t>3公里</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4公里</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质量指标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工程验收合格率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时效指标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工程完成率</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100%</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成本指标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项目效果指标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经济效益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社会效益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r>
              <w:rPr>
                <w:rFonts w:hint="eastAsia" w:ascii="宋体" w:hAnsi="宋体" w:cs="宋体"/>
                <w:kern w:val="0"/>
                <w:sz w:val="20"/>
                <w:szCs w:val="20"/>
                <w:lang w:eastAsia="zh-CN"/>
              </w:rPr>
              <w:t>受益户数</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120户</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160户</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生态效益</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可持续影响</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指标1：</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bookmarkStart w:id="0" w:name="_GoBack" w:colFirst="3" w:colLast="6"/>
          </w:p>
        </w:tc>
        <w:tc>
          <w:tcPr>
            <w:tcW w:w="114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w:t>
            </w:r>
            <w:r>
              <w:rPr>
                <w:rFonts w:hint="eastAsia" w:ascii="宋体" w:hAnsi="宋体" w:cs="宋体"/>
                <w:kern w:val="0"/>
                <w:sz w:val="20"/>
                <w:szCs w:val="20"/>
              </w:rPr>
              <w:br w:type="textWrapping"/>
            </w:r>
            <w:r>
              <w:rPr>
                <w:rFonts w:hint="eastAsia" w:ascii="宋体" w:hAnsi="宋体" w:cs="宋体"/>
                <w:kern w:val="0"/>
                <w:sz w:val="20"/>
                <w:szCs w:val="20"/>
              </w:rPr>
              <w:t>指标</w:t>
            </w:r>
          </w:p>
        </w:tc>
        <w:tc>
          <w:tcPr>
            <w:tcW w:w="1360" w:type="dxa"/>
            <w:vMerge w:val="restart"/>
            <w:tcBorders>
              <w:top w:val="nil"/>
              <w:left w:val="single" w:color="auto" w:sz="4" w:space="0"/>
              <w:bottom w:val="single" w:color="000000"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满意度指标</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群众满意度　</w:t>
            </w:r>
          </w:p>
        </w:tc>
        <w:tc>
          <w:tcPr>
            <w:tcW w:w="206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eastAsia="zh-CN"/>
              </w:rPr>
              <w:t>》</w:t>
            </w:r>
            <w:r>
              <w:rPr>
                <w:rFonts w:hint="eastAsia" w:ascii="宋体" w:hAnsi="宋体" w:cs="宋体"/>
                <w:kern w:val="0"/>
                <w:sz w:val="20"/>
                <w:szCs w:val="20"/>
                <w:lang w:val="en-US" w:eastAsia="zh-CN"/>
              </w:rPr>
              <w:t>80%</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r>
              <w:rPr>
                <w:rFonts w:hint="eastAsia" w:ascii="宋体" w:hAnsi="宋体" w:cs="宋体"/>
                <w:kern w:val="0"/>
                <w:sz w:val="20"/>
                <w:szCs w:val="20"/>
                <w:lang w:val="en-US" w:eastAsia="zh-CN"/>
              </w:rPr>
              <w:t>9</w:t>
            </w:r>
            <w:r>
              <w:rPr>
                <w:rFonts w:hint="eastAsia" w:ascii="宋体" w:hAnsi="宋体" w:cs="宋体"/>
                <w:kern w:val="0"/>
                <w:sz w:val="20"/>
                <w:szCs w:val="20"/>
              </w:rPr>
              <w:t>0%</w:t>
            </w:r>
          </w:p>
        </w:tc>
      </w:tr>
      <w:bookmarkEnd w:id="0"/>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指标2：</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xml:space="preserve">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r>
        <w:tblPrEx>
          <w:tblLayout w:type="fixed"/>
          <w:tblCellMar>
            <w:top w:w="0" w:type="dxa"/>
            <w:left w:w="108" w:type="dxa"/>
            <w:bottom w:w="0" w:type="dxa"/>
            <w:right w:w="108" w:type="dxa"/>
          </w:tblCellMar>
        </w:tblPrEx>
        <w:trPr>
          <w:trHeight w:val="480" w:hRule="atLeast"/>
        </w:trPr>
        <w:tc>
          <w:tcPr>
            <w:tcW w:w="72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140" w:type="dxa"/>
            <w:vMerge w:val="continue"/>
            <w:tcBorders>
              <w:top w:val="nil"/>
              <w:left w:val="single" w:color="auto" w:sz="4" w:space="0"/>
              <w:bottom w:val="single" w:color="000000" w:sz="4" w:space="0"/>
              <w:right w:val="single" w:color="auto" w:sz="4" w:space="0"/>
            </w:tcBorders>
            <w:vAlign w:val="center"/>
          </w:tcPr>
          <w:p>
            <w:pPr>
              <w:widowControl/>
              <w:jc w:val="left"/>
              <w:rPr>
                <w:rFonts w:ascii="宋体" w:hAnsi="宋体" w:cs="宋体"/>
                <w:kern w:val="0"/>
                <w:sz w:val="20"/>
                <w:szCs w:val="20"/>
              </w:rPr>
            </w:pPr>
          </w:p>
        </w:tc>
        <w:tc>
          <w:tcPr>
            <w:tcW w:w="13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w:t>
            </w:r>
          </w:p>
        </w:tc>
        <w:tc>
          <w:tcPr>
            <w:tcW w:w="1960" w:type="dxa"/>
            <w:gridSpan w:val="2"/>
            <w:tcBorders>
              <w:top w:val="single" w:color="auto" w:sz="4" w:space="0"/>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c>
          <w:tcPr>
            <w:tcW w:w="2060"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w:t>
            </w:r>
          </w:p>
        </w:tc>
        <w:tc>
          <w:tcPr>
            <w:tcW w:w="1780"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cs="宋体"/>
                <w:kern w:val="0"/>
                <w:sz w:val="20"/>
                <w:szCs w:val="20"/>
              </w:rPr>
            </w:pPr>
            <w:r>
              <w:rPr>
                <w:rFonts w:hint="eastAsia" w:ascii="宋体" w:hAnsi="宋体" w:cs="宋体"/>
                <w:kern w:val="0"/>
                <w:sz w:val="20"/>
                <w:szCs w:val="20"/>
              </w:rPr>
              <w:t>　</w:t>
            </w:r>
          </w:p>
        </w:tc>
      </w:tr>
    </w:tbl>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6465"/>
    <w:rsid w:val="00121AE4"/>
    <w:rsid w:val="00146AAD"/>
    <w:rsid w:val="00172A27"/>
    <w:rsid w:val="001B3A40"/>
    <w:rsid w:val="002D4F3F"/>
    <w:rsid w:val="003C18BC"/>
    <w:rsid w:val="00432960"/>
    <w:rsid w:val="004366A8"/>
    <w:rsid w:val="00464900"/>
    <w:rsid w:val="00502BA7"/>
    <w:rsid w:val="005162F1"/>
    <w:rsid w:val="00535153"/>
    <w:rsid w:val="00554F82"/>
    <w:rsid w:val="0056390D"/>
    <w:rsid w:val="005719B0"/>
    <w:rsid w:val="00587266"/>
    <w:rsid w:val="005A0408"/>
    <w:rsid w:val="005B0BE6"/>
    <w:rsid w:val="005D10D6"/>
    <w:rsid w:val="006B50B6"/>
    <w:rsid w:val="007806A5"/>
    <w:rsid w:val="007B02C9"/>
    <w:rsid w:val="00855E3A"/>
    <w:rsid w:val="00922CB9"/>
    <w:rsid w:val="009B4D79"/>
    <w:rsid w:val="009E427C"/>
    <w:rsid w:val="009E5CD9"/>
    <w:rsid w:val="00A26421"/>
    <w:rsid w:val="00A4293B"/>
    <w:rsid w:val="00A67D50"/>
    <w:rsid w:val="00A7192B"/>
    <w:rsid w:val="00A8691A"/>
    <w:rsid w:val="00AC1946"/>
    <w:rsid w:val="00B10ECD"/>
    <w:rsid w:val="00B40063"/>
    <w:rsid w:val="00B41F61"/>
    <w:rsid w:val="00BA46E6"/>
    <w:rsid w:val="00C56C72"/>
    <w:rsid w:val="00CA6457"/>
    <w:rsid w:val="00D17F2E"/>
    <w:rsid w:val="00D30354"/>
    <w:rsid w:val="00D46B9F"/>
    <w:rsid w:val="00DF42A0"/>
    <w:rsid w:val="00E138BD"/>
    <w:rsid w:val="00E46C51"/>
    <w:rsid w:val="00E769FE"/>
    <w:rsid w:val="00EA2CBE"/>
    <w:rsid w:val="00EA44BF"/>
    <w:rsid w:val="00F270A2"/>
    <w:rsid w:val="00F32FEE"/>
    <w:rsid w:val="00F512A1"/>
    <w:rsid w:val="00F64DE9"/>
    <w:rsid w:val="00FB10BB"/>
    <w:rsid w:val="00FD3191"/>
    <w:rsid w:val="02D03816"/>
    <w:rsid w:val="048D75A4"/>
    <w:rsid w:val="04B16D27"/>
    <w:rsid w:val="08036FC1"/>
    <w:rsid w:val="09D1043E"/>
    <w:rsid w:val="0B7A7289"/>
    <w:rsid w:val="0CFE70EC"/>
    <w:rsid w:val="11DA0264"/>
    <w:rsid w:val="144C5BDC"/>
    <w:rsid w:val="22114ED4"/>
    <w:rsid w:val="2D3A38C3"/>
    <w:rsid w:val="2D497BC4"/>
    <w:rsid w:val="3A0415CA"/>
    <w:rsid w:val="560D452D"/>
    <w:rsid w:val="5A934B4E"/>
    <w:rsid w:val="5AE86E93"/>
    <w:rsid w:val="5D681C71"/>
    <w:rsid w:val="5FA60F75"/>
    <w:rsid w:val="5FDA79A2"/>
    <w:rsid w:val="603B7482"/>
    <w:rsid w:val="606A30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Char"/>
    <w:basedOn w:val="16"/>
    <w:link w:val="2"/>
    <w:qFormat/>
    <w:uiPriority w:val="9"/>
    <w:rPr>
      <w:rFonts w:asciiTheme="majorHAnsi" w:hAnsiTheme="majorHAnsi" w:eastAsiaTheme="majorEastAsia"/>
      <w:b/>
      <w:bCs/>
      <w:kern w:val="32"/>
      <w:sz w:val="32"/>
      <w:szCs w:val="32"/>
    </w:rPr>
  </w:style>
  <w:style w:type="character" w:customStyle="1" w:styleId="21">
    <w:name w:val="标题 2 Char"/>
    <w:basedOn w:val="16"/>
    <w:link w:val="3"/>
    <w:semiHidden/>
    <w:qFormat/>
    <w:uiPriority w:val="9"/>
    <w:rPr>
      <w:rFonts w:asciiTheme="majorHAnsi" w:hAnsiTheme="majorHAnsi" w:eastAsiaTheme="majorEastAsia"/>
      <w:b/>
      <w:bCs/>
      <w:i/>
      <w:iCs/>
      <w:sz w:val="28"/>
      <w:szCs w:val="28"/>
    </w:rPr>
  </w:style>
  <w:style w:type="character" w:customStyle="1" w:styleId="22">
    <w:name w:val="标题 3 Char"/>
    <w:basedOn w:val="16"/>
    <w:link w:val="4"/>
    <w:semiHidden/>
    <w:qFormat/>
    <w:uiPriority w:val="9"/>
    <w:rPr>
      <w:rFonts w:asciiTheme="majorHAnsi" w:hAnsiTheme="majorHAnsi" w:eastAsiaTheme="majorEastAsia"/>
      <w:b/>
      <w:bCs/>
      <w:sz w:val="26"/>
      <w:szCs w:val="26"/>
    </w:rPr>
  </w:style>
  <w:style w:type="character" w:customStyle="1" w:styleId="23">
    <w:name w:val="标题 4 Char"/>
    <w:basedOn w:val="16"/>
    <w:link w:val="5"/>
    <w:semiHidden/>
    <w:qFormat/>
    <w:uiPriority w:val="9"/>
    <w:rPr>
      <w:b/>
      <w:bCs/>
      <w:sz w:val="28"/>
      <w:szCs w:val="28"/>
    </w:rPr>
  </w:style>
  <w:style w:type="character" w:customStyle="1" w:styleId="24">
    <w:name w:val="标题 5 Char"/>
    <w:basedOn w:val="16"/>
    <w:link w:val="6"/>
    <w:semiHidden/>
    <w:qFormat/>
    <w:uiPriority w:val="9"/>
    <w:rPr>
      <w:b/>
      <w:bCs/>
      <w:i/>
      <w:iCs/>
      <w:sz w:val="26"/>
      <w:szCs w:val="26"/>
    </w:rPr>
  </w:style>
  <w:style w:type="character" w:customStyle="1" w:styleId="25">
    <w:name w:val="标题 6 Char"/>
    <w:basedOn w:val="16"/>
    <w:link w:val="7"/>
    <w:semiHidden/>
    <w:qFormat/>
    <w:uiPriority w:val="9"/>
    <w:rPr>
      <w:b/>
      <w:bCs/>
    </w:rPr>
  </w:style>
  <w:style w:type="character" w:customStyle="1" w:styleId="26">
    <w:name w:val="标题 7 Char"/>
    <w:basedOn w:val="16"/>
    <w:link w:val="8"/>
    <w:semiHidden/>
    <w:qFormat/>
    <w:uiPriority w:val="9"/>
    <w:rPr>
      <w:sz w:val="24"/>
      <w:szCs w:val="24"/>
    </w:rPr>
  </w:style>
  <w:style w:type="character" w:customStyle="1" w:styleId="27">
    <w:name w:val="标题 8 Char"/>
    <w:basedOn w:val="16"/>
    <w:link w:val="9"/>
    <w:semiHidden/>
    <w:qFormat/>
    <w:uiPriority w:val="9"/>
    <w:rPr>
      <w:i/>
      <w:iCs/>
      <w:sz w:val="24"/>
      <w:szCs w:val="24"/>
    </w:rPr>
  </w:style>
  <w:style w:type="character" w:customStyle="1" w:styleId="28">
    <w:name w:val="标题 9 Char"/>
    <w:basedOn w:val="16"/>
    <w:link w:val="10"/>
    <w:semiHidden/>
    <w:qFormat/>
    <w:uiPriority w:val="9"/>
    <w:rPr>
      <w:rFonts w:asciiTheme="majorHAnsi" w:hAnsiTheme="majorHAnsi" w:eastAsiaTheme="majorEastAsia"/>
    </w:rPr>
  </w:style>
  <w:style w:type="character" w:customStyle="1" w:styleId="29">
    <w:name w:val="标题 Char"/>
    <w:basedOn w:val="16"/>
    <w:link w:val="15"/>
    <w:qFormat/>
    <w:uiPriority w:val="10"/>
    <w:rPr>
      <w:rFonts w:asciiTheme="majorHAnsi" w:hAnsiTheme="majorHAnsi" w:eastAsiaTheme="majorEastAsia"/>
      <w:b/>
      <w:bCs/>
      <w:kern w:val="28"/>
      <w:sz w:val="32"/>
      <w:szCs w:val="32"/>
    </w:rPr>
  </w:style>
  <w:style w:type="character" w:customStyle="1" w:styleId="30">
    <w:name w:val="副标题 Char"/>
    <w:basedOn w:val="16"/>
    <w:link w:val="14"/>
    <w:qFormat/>
    <w:uiPriority w:val="11"/>
    <w:rPr>
      <w:rFonts w:asciiTheme="majorHAnsi" w:hAnsiTheme="majorHAnsi" w:eastAsiaTheme="majorEastAsia"/>
      <w:sz w:val="24"/>
      <w:szCs w:val="24"/>
    </w:rPr>
  </w:style>
  <w:style w:type="paragraph" w:customStyle="1" w:styleId="31">
    <w:name w:val="无间隔1"/>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列出段落1"/>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引用1"/>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6"/>
    <w:link w:val="33"/>
    <w:qFormat/>
    <w:uiPriority w:val="29"/>
    <w:rPr>
      <w:i/>
      <w:sz w:val="24"/>
      <w:szCs w:val="24"/>
    </w:rPr>
  </w:style>
  <w:style w:type="paragraph" w:customStyle="1" w:styleId="35">
    <w:name w:val="明显引用1"/>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6"/>
    <w:link w:val="35"/>
    <w:qFormat/>
    <w:uiPriority w:val="30"/>
    <w:rPr>
      <w:b/>
      <w:i/>
      <w:sz w:val="24"/>
    </w:rPr>
  </w:style>
  <w:style w:type="character" w:customStyle="1" w:styleId="37">
    <w:name w:val="不明显强调1"/>
    <w:qFormat/>
    <w:uiPriority w:val="19"/>
    <w:rPr>
      <w:i/>
      <w:color w:val="585858" w:themeColor="text1" w:themeTint="A6"/>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6"/>
    <w:link w:val="13"/>
    <w:qFormat/>
    <w:uiPriority w:val="99"/>
    <w:rPr>
      <w:rFonts w:ascii="Calibri" w:hAnsi="Calibri" w:eastAsia="宋体"/>
      <w:kern w:val="2"/>
      <w:sz w:val="18"/>
      <w:szCs w:val="18"/>
    </w:rPr>
  </w:style>
  <w:style w:type="character" w:customStyle="1" w:styleId="44">
    <w:name w:val="页脚 Char"/>
    <w:basedOn w:val="16"/>
    <w:link w:val="12"/>
    <w:qFormat/>
    <w:uiPriority w:val="99"/>
    <w:rPr>
      <w:rFonts w:ascii="Calibri" w:hAnsi="Calibri" w:eastAsia="宋体"/>
      <w:kern w:val="2"/>
      <w:sz w:val="18"/>
      <w:szCs w:val="18"/>
    </w:rPr>
  </w:style>
  <w:style w:type="character" w:customStyle="1" w:styleId="45">
    <w:name w:val="批注框文本 Char"/>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425</Words>
  <Characters>2428</Characters>
  <Lines>20</Lines>
  <Paragraphs>5</Paragraphs>
  <TotalTime>0</TotalTime>
  <ScaleCrop>false</ScaleCrop>
  <LinksUpToDate>false</LinksUpToDate>
  <CharactersWithSpaces>2848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xcj</cp:lastModifiedBy>
  <cp:lastPrinted>2019-01-15T03:23:00Z</cp:lastPrinted>
  <dcterms:modified xsi:type="dcterms:W3CDTF">2019-01-16T04:22:18Z</dcterms:modified>
  <dc:title>附件1：</dc:title>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