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附件1：</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奇台县财政项目支出绩效自评报告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（2017年度）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项目名称：奇台县半截沟镇半截沟村自来水工程</w:t>
      </w:r>
    </w:p>
    <w:p>
      <w:pPr>
        <w:spacing w:line="700" w:lineRule="exact"/>
        <w:ind w:firstLine="2880" w:firstLineChars="800"/>
        <w:jc w:val="left"/>
        <w:rPr>
          <w:rFonts w:hAnsi="宋体" w:eastAsia="仿宋_GB2312" w:cs="宋体"/>
          <w:kern w:val="0"/>
          <w:sz w:val="36"/>
          <w:szCs w:val="36"/>
        </w:rPr>
      </w:pPr>
      <w:r>
        <w:rPr>
          <w:rFonts w:hint="eastAsia" w:hAnsi="宋体" w:eastAsia="仿宋_GB2312" w:cs="宋体"/>
          <w:kern w:val="0"/>
          <w:sz w:val="36"/>
          <w:szCs w:val="36"/>
        </w:rPr>
        <w:t>建设</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实施单位（公章）：奇台县半截沟镇人民政府</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主管部门（公章）：奇台县半截沟镇人民政府</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项目负责人（签章）：张  超</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填报时间：2018年8月21日（部门决算公开日期之前）</w:t>
      </w:r>
    </w:p>
    <w:p>
      <w:pPr>
        <w:spacing w:line="540" w:lineRule="exact"/>
        <w:jc w:val="center"/>
        <w:rPr>
          <w:rFonts w:hAnsi="宋体" w:eastAsia="仿宋_GB2312" w:cs="宋体"/>
          <w:kern w:val="0"/>
          <w:sz w:val="30"/>
          <w:szCs w:val="30"/>
        </w:rPr>
      </w:pPr>
    </w:p>
    <w:p>
      <w:pPr>
        <w:spacing w:line="540" w:lineRule="exact"/>
        <w:rPr>
          <w:rStyle w:val="17"/>
          <w:rFonts w:ascii="黑体" w:hAnsi="黑体" w:eastAsia="黑体"/>
          <w:b w:val="0"/>
          <w:spacing w:val="-4"/>
          <w:sz w:val="32"/>
          <w:szCs w:val="32"/>
        </w:rPr>
      </w:pP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一、项目概况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（一）项目单位基本情况</w:t>
      </w:r>
    </w:p>
    <w:p>
      <w:pPr>
        <w:ind w:firstLine="624" w:firstLineChars="200"/>
        <w:jc w:val="left"/>
        <w:rPr>
          <w:rStyle w:val="17"/>
          <w:rFonts w:ascii="仿宋" w:hAnsi="仿宋" w:eastAsia="仿宋"/>
          <w:b w:val="0"/>
          <w:spacing w:val="-4"/>
          <w:sz w:val="32"/>
          <w:szCs w:val="32"/>
        </w:rPr>
      </w:pPr>
      <w:r>
        <w:rPr>
          <w:rStyle w:val="17"/>
          <w:rFonts w:hint="eastAsia" w:ascii="仿宋" w:hAnsi="仿宋" w:eastAsia="仿宋"/>
          <w:b w:val="0"/>
          <w:spacing w:val="-4"/>
          <w:sz w:val="32"/>
          <w:szCs w:val="32"/>
        </w:rPr>
        <w:t>（1）执行本级人民代表大会的决议和上级国家行政机关的决定和命令，发布决定和命令。</w:t>
      </w:r>
    </w:p>
    <w:p>
      <w:pPr>
        <w:ind w:firstLine="624" w:firstLineChars="200"/>
        <w:jc w:val="left"/>
        <w:rPr>
          <w:rStyle w:val="17"/>
          <w:rFonts w:ascii="仿宋" w:hAnsi="仿宋" w:eastAsia="仿宋"/>
          <w:b w:val="0"/>
          <w:spacing w:val="-4"/>
          <w:sz w:val="32"/>
          <w:szCs w:val="32"/>
        </w:rPr>
      </w:pPr>
      <w:r>
        <w:rPr>
          <w:rStyle w:val="17"/>
          <w:rFonts w:hint="eastAsia" w:ascii="仿宋" w:hAnsi="仿宋" w:eastAsia="仿宋"/>
          <w:b w:val="0"/>
          <w:spacing w:val="-4"/>
          <w:sz w:val="32"/>
          <w:szCs w:val="32"/>
        </w:rPr>
        <w:t>（2）执行本行政区域内的经济和社会发展计划、预算，管理本行政区域内的经济、教育、科学、文化、卫生、体育事业和财政、民政、公安、司法行政、计划生育等行政工作；</w:t>
      </w:r>
    </w:p>
    <w:p>
      <w:pPr>
        <w:ind w:firstLine="624" w:firstLineChars="200"/>
        <w:jc w:val="left"/>
        <w:rPr>
          <w:rStyle w:val="17"/>
          <w:rFonts w:ascii="仿宋" w:hAnsi="仿宋" w:eastAsia="仿宋"/>
          <w:b w:val="0"/>
          <w:spacing w:val="-4"/>
          <w:sz w:val="32"/>
          <w:szCs w:val="32"/>
        </w:rPr>
      </w:pPr>
      <w:r>
        <w:rPr>
          <w:rStyle w:val="17"/>
          <w:rFonts w:hint="eastAsia" w:ascii="仿宋" w:hAnsi="仿宋" w:eastAsia="仿宋"/>
          <w:b w:val="0"/>
          <w:spacing w:val="-4"/>
          <w:sz w:val="32"/>
          <w:szCs w:val="32"/>
        </w:rPr>
        <w:t>（3）保护社会主义的全民所有的财产和劳动群众集体所有的财产，保护公民私人所有的合法财产，维护社会秩序，保障公民的人身权利、民主权利和其他权利；</w:t>
      </w:r>
    </w:p>
    <w:p>
      <w:pPr>
        <w:ind w:firstLine="624" w:firstLineChars="200"/>
        <w:jc w:val="left"/>
        <w:rPr>
          <w:rStyle w:val="17"/>
          <w:rFonts w:ascii="仿宋" w:hAnsi="仿宋" w:eastAsia="仿宋"/>
          <w:b w:val="0"/>
          <w:spacing w:val="-4"/>
          <w:sz w:val="32"/>
          <w:szCs w:val="32"/>
        </w:rPr>
      </w:pPr>
      <w:r>
        <w:rPr>
          <w:rStyle w:val="17"/>
          <w:rFonts w:hint="eastAsia" w:ascii="仿宋" w:hAnsi="仿宋" w:eastAsia="仿宋"/>
          <w:b w:val="0"/>
          <w:spacing w:val="-4"/>
          <w:sz w:val="32"/>
          <w:szCs w:val="32"/>
        </w:rPr>
        <w:t>（4）保护各种经济组织的合法权益；</w:t>
      </w:r>
    </w:p>
    <w:p>
      <w:pPr>
        <w:ind w:firstLine="624" w:firstLineChars="200"/>
        <w:jc w:val="left"/>
        <w:rPr>
          <w:rStyle w:val="17"/>
          <w:rFonts w:ascii="仿宋" w:hAnsi="仿宋" w:eastAsia="仿宋"/>
          <w:b w:val="0"/>
          <w:spacing w:val="-4"/>
          <w:sz w:val="32"/>
          <w:szCs w:val="32"/>
        </w:rPr>
      </w:pPr>
      <w:r>
        <w:rPr>
          <w:rStyle w:val="17"/>
          <w:rFonts w:hint="eastAsia" w:ascii="仿宋" w:hAnsi="仿宋" w:eastAsia="仿宋"/>
          <w:b w:val="0"/>
          <w:spacing w:val="-4"/>
          <w:sz w:val="32"/>
          <w:szCs w:val="32"/>
        </w:rPr>
        <w:t>（5）保障少数民族的权利和尊重少数民族的风俗习惯；</w:t>
      </w:r>
    </w:p>
    <w:p>
      <w:pPr>
        <w:ind w:firstLine="624" w:firstLineChars="200"/>
        <w:jc w:val="left"/>
        <w:rPr>
          <w:rStyle w:val="17"/>
          <w:rFonts w:ascii="仿宋" w:hAnsi="仿宋" w:eastAsia="仿宋"/>
          <w:b w:val="0"/>
          <w:spacing w:val="-4"/>
          <w:sz w:val="32"/>
          <w:szCs w:val="32"/>
        </w:rPr>
      </w:pPr>
      <w:r>
        <w:rPr>
          <w:rStyle w:val="17"/>
          <w:rFonts w:hint="eastAsia" w:ascii="仿宋" w:hAnsi="仿宋" w:eastAsia="仿宋"/>
          <w:b w:val="0"/>
          <w:spacing w:val="-4"/>
          <w:sz w:val="32"/>
          <w:szCs w:val="32"/>
        </w:rPr>
        <w:t>（6）保障宪法和法律赋予妇女的男女平等、同工同酬和婚姻自由等各项权利；</w:t>
      </w:r>
    </w:p>
    <w:p>
      <w:pPr>
        <w:ind w:firstLine="624" w:firstLineChars="200"/>
        <w:jc w:val="left"/>
        <w:rPr>
          <w:rStyle w:val="17"/>
          <w:rFonts w:ascii="仿宋" w:hAnsi="仿宋" w:eastAsia="仿宋"/>
          <w:b w:val="0"/>
          <w:spacing w:val="-4"/>
          <w:sz w:val="32"/>
          <w:szCs w:val="32"/>
        </w:rPr>
      </w:pPr>
      <w:r>
        <w:rPr>
          <w:rStyle w:val="17"/>
          <w:rFonts w:hint="eastAsia" w:ascii="仿宋" w:hAnsi="仿宋" w:eastAsia="仿宋"/>
          <w:b w:val="0"/>
          <w:spacing w:val="-4"/>
          <w:sz w:val="32"/>
          <w:szCs w:val="32"/>
        </w:rPr>
        <w:t>（7）办理上级人民政府交办的其他事项。</w:t>
      </w:r>
    </w:p>
    <w:p>
      <w:pPr>
        <w:spacing w:line="540" w:lineRule="exact"/>
        <w:ind w:firstLine="567" w:firstLineChars="181"/>
        <w:rPr>
          <w:rStyle w:val="17"/>
          <w:rFonts w:ascii="仿宋" w:hAnsi="仿宋" w:eastAsia="仿宋"/>
          <w:b w:val="0"/>
          <w:spacing w:val="-4"/>
          <w:sz w:val="32"/>
          <w:szCs w:val="32"/>
        </w:rPr>
      </w:pPr>
      <w:r>
        <w:rPr>
          <w:rStyle w:val="17"/>
          <w:rFonts w:hint="eastAsia" w:ascii="楷体" w:hAnsi="楷体" w:eastAsia="楷体"/>
          <w:spacing w:val="-4"/>
          <w:sz w:val="32"/>
          <w:szCs w:val="32"/>
        </w:rPr>
        <w:t>（二）项目预算</w:t>
      </w:r>
      <w:r>
        <w:rPr>
          <w:rStyle w:val="17"/>
          <w:rFonts w:ascii="楷体" w:hAnsi="楷体" w:eastAsia="楷体"/>
          <w:spacing w:val="-4"/>
          <w:sz w:val="32"/>
          <w:szCs w:val="32"/>
        </w:rPr>
        <w:t>绩效目标</w:t>
      </w:r>
      <w:r>
        <w:rPr>
          <w:rStyle w:val="17"/>
          <w:rFonts w:hint="eastAsia" w:ascii="楷体" w:hAnsi="楷体" w:eastAsia="楷体"/>
          <w:spacing w:val="-4"/>
          <w:sz w:val="32"/>
          <w:szCs w:val="32"/>
        </w:rPr>
        <w:t>设定情况</w:t>
      </w:r>
    </w:p>
    <w:p>
      <w:pPr>
        <w:ind w:firstLine="624" w:firstLineChars="200"/>
        <w:jc w:val="left"/>
        <w:rPr>
          <w:rStyle w:val="17"/>
          <w:rFonts w:ascii="仿宋" w:hAnsi="仿宋" w:eastAsia="仿宋"/>
          <w:b w:val="0"/>
          <w:spacing w:val="-4"/>
          <w:sz w:val="32"/>
          <w:szCs w:val="32"/>
        </w:rPr>
      </w:pPr>
      <w:r>
        <w:rPr>
          <w:rStyle w:val="17"/>
          <w:rFonts w:hint="eastAsia" w:ascii="仿宋" w:hAnsi="仿宋" w:eastAsia="仿宋"/>
          <w:b w:val="0"/>
          <w:spacing w:val="-4"/>
          <w:sz w:val="32"/>
          <w:szCs w:val="32"/>
        </w:rPr>
        <w:t>该项目为实施营盘滩5村至老葛根村共12公里供水管网建设工程，合同价：21.6万元，实际工程款：16.16万元。已付工程款12万元，未付工程款4.16万元，经2017年12月政府债务化解支付4.16万元。</w:t>
      </w:r>
    </w:p>
    <w:p>
      <w:pPr>
        <w:ind w:firstLine="624" w:firstLineChars="200"/>
        <w:jc w:val="left"/>
        <w:rPr>
          <w:rStyle w:val="17"/>
          <w:rFonts w:ascii="黑体" w:hAnsi="黑体" w:eastAsia="黑体"/>
          <w:b w:val="0"/>
          <w:spacing w:val="-4"/>
          <w:sz w:val="32"/>
          <w:szCs w:val="32"/>
        </w:rPr>
      </w:pPr>
      <w:r>
        <w:rPr>
          <w:rStyle w:val="17"/>
          <w:rFonts w:hint="eastAsia" w:ascii="黑体" w:hAnsi="黑体" w:eastAsia="黑体"/>
          <w:b w:val="0"/>
          <w:spacing w:val="-4"/>
          <w:sz w:val="32"/>
          <w:szCs w:val="32"/>
        </w:rPr>
        <w:t>二、项目资金使用及管理情况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（一）项目资金安排落实、总投入等情况分析</w:t>
      </w:r>
    </w:p>
    <w:p>
      <w:pPr>
        <w:spacing w:line="540" w:lineRule="exact"/>
        <w:ind w:firstLine="624" w:firstLineChars="200"/>
        <w:rPr>
          <w:rStyle w:val="17"/>
          <w:rFonts w:ascii="仿宋" w:hAnsi="仿宋" w:eastAsia="仿宋"/>
          <w:b w:val="0"/>
          <w:spacing w:val="-4"/>
          <w:sz w:val="32"/>
          <w:szCs w:val="32"/>
        </w:rPr>
      </w:pPr>
      <w:r>
        <w:rPr>
          <w:rStyle w:val="17"/>
          <w:rFonts w:hint="eastAsia" w:ascii="仿宋" w:hAnsi="仿宋" w:eastAsia="仿宋"/>
          <w:b w:val="0"/>
          <w:spacing w:val="-4"/>
          <w:sz w:val="32"/>
          <w:szCs w:val="32"/>
        </w:rPr>
        <w:t>该项目支付的项目资金用于村民自来水管网改造铺设工程，该项目总投入4.16万元，其中财政通过政府债务化解4.16万元。</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（二）项目资金实际使用情况分析</w:t>
      </w:r>
    </w:p>
    <w:p>
      <w:pPr>
        <w:spacing w:line="540" w:lineRule="exact"/>
        <w:ind w:firstLine="624" w:firstLineChars="200"/>
        <w:rPr>
          <w:rStyle w:val="17"/>
          <w:rFonts w:ascii="仿宋" w:hAnsi="仿宋" w:eastAsia="仿宋"/>
          <w:b w:val="0"/>
          <w:spacing w:val="-4"/>
          <w:sz w:val="32"/>
          <w:szCs w:val="32"/>
        </w:rPr>
      </w:pPr>
      <w:r>
        <w:rPr>
          <w:rStyle w:val="17"/>
          <w:rFonts w:hint="eastAsia" w:ascii="仿宋" w:hAnsi="仿宋" w:eastAsia="仿宋"/>
          <w:b w:val="0"/>
          <w:spacing w:val="-4"/>
          <w:sz w:val="32"/>
          <w:szCs w:val="32"/>
        </w:rPr>
        <w:t>该项目支付的项目资金用于村民自来水管网改造铺设工程，该项目总投入4.16万元，其中财政通过政府债务化解4.16万元。</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（三）项目资金管理情况分析</w:t>
      </w:r>
    </w:p>
    <w:p>
      <w:pPr>
        <w:spacing w:line="540" w:lineRule="exact"/>
        <w:ind w:firstLine="624" w:firstLineChars="200"/>
        <w:rPr>
          <w:rStyle w:val="17"/>
          <w:rFonts w:ascii="仿宋" w:hAnsi="仿宋" w:eastAsia="仿宋"/>
          <w:b w:val="0"/>
          <w:spacing w:val="-4"/>
          <w:sz w:val="32"/>
          <w:szCs w:val="32"/>
          <w:highlight w:val="yellow"/>
        </w:rPr>
      </w:pPr>
      <w:r>
        <w:rPr>
          <w:rStyle w:val="17"/>
          <w:rFonts w:hint="eastAsia" w:ascii="仿宋" w:hAnsi="仿宋" w:eastAsia="仿宋"/>
          <w:b w:val="0"/>
          <w:spacing w:val="-4"/>
          <w:sz w:val="32"/>
          <w:szCs w:val="32"/>
        </w:rPr>
        <w:t>半截沟镇半截沟村自来水项目工程的债务还本支出通过支付争取地方财政化债资金，通过国库集中支付方式将半半截沟镇半截沟村自来水项目工程的债务余额直接支付到项目施工单位账户。</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三、项目组织实施情况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（一）项目组织情况分析</w:t>
      </w:r>
    </w:p>
    <w:p>
      <w:pPr>
        <w:spacing w:line="540" w:lineRule="exact"/>
        <w:ind w:firstLine="564" w:firstLineChars="181"/>
        <w:rPr>
          <w:rStyle w:val="17"/>
          <w:rFonts w:ascii="仿宋" w:hAnsi="仿宋" w:eastAsia="仿宋"/>
          <w:b w:val="0"/>
          <w:spacing w:val="-4"/>
          <w:sz w:val="32"/>
          <w:szCs w:val="32"/>
        </w:rPr>
      </w:pPr>
      <w:r>
        <w:rPr>
          <w:rStyle w:val="17"/>
          <w:rFonts w:hint="eastAsia" w:ascii="仿宋" w:hAnsi="仿宋" w:eastAsia="仿宋"/>
          <w:b w:val="0"/>
          <w:spacing w:val="-4"/>
          <w:sz w:val="32"/>
          <w:szCs w:val="32"/>
        </w:rPr>
        <w:t>该工程已于1998年施工并完成投入使用。</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（二）项目管理情况分析</w:t>
      </w:r>
    </w:p>
    <w:p>
      <w:pPr>
        <w:spacing w:line="540" w:lineRule="exact"/>
        <w:ind w:firstLine="564" w:firstLineChars="181"/>
        <w:rPr>
          <w:rStyle w:val="17"/>
          <w:rFonts w:ascii="仿宋" w:hAnsi="仿宋" w:eastAsia="仿宋"/>
          <w:b w:val="0"/>
          <w:spacing w:val="-4"/>
          <w:sz w:val="32"/>
          <w:szCs w:val="32"/>
        </w:rPr>
      </w:pPr>
      <w:r>
        <w:rPr>
          <w:rStyle w:val="17"/>
          <w:rFonts w:hint="eastAsia" w:ascii="仿宋" w:hAnsi="仿宋" w:eastAsia="仿宋"/>
          <w:b w:val="0"/>
          <w:spacing w:val="-4"/>
          <w:sz w:val="32"/>
          <w:szCs w:val="32"/>
        </w:rPr>
        <w:t>该工程已于1998年施工并完成投入使用。</w:t>
      </w:r>
    </w:p>
    <w:p>
      <w:pPr>
        <w:spacing w:line="540" w:lineRule="exact"/>
        <w:ind w:firstLine="640"/>
        <w:rPr>
          <w:rStyle w:val="17"/>
          <w:rFonts w:ascii="黑体" w:hAnsi="黑体" w:eastAsia="黑体"/>
        </w:rPr>
      </w:pPr>
      <w:r>
        <w:rPr>
          <w:rStyle w:val="17"/>
          <w:rFonts w:hint="eastAsia" w:ascii="黑体" w:hAnsi="黑体" w:eastAsia="黑体"/>
          <w:b w:val="0"/>
          <w:spacing w:val="-4"/>
          <w:sz w:val="32"/>
          <w:szCs w:val="32"/>
        </w:rPr>
        <w:t>四、项目绩效情况</w:t>
      </w:r>
      <w:r>
        <w:rPr>
          <w:rStyle w:val="17"/>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spacing w:line="540" w:lineRule="exact"/>
        <w:ind w:firstLine="564" w:firstLineChars="181"/>
        <w:rPr>
          <w:rStyle w:val="17"/>
          <w:rFonts w:ascii="仿宋" w:hAnsi="仿宋" w:eastAsia="仿宋"/>
          <w:b w:val="0"/>
          <w:spacing w:val="-4"/>
          <w:sz w:val="32"/>
          <w:szCs w:val="32"/>
        </w:rPr>
      </w:pPr>
      <w:r>
        <w:rPr>
          <w:rStyle w:val="17"/>
          <w:rFonts w:hint="eastAsia" w:ascii="仿宋" w:hAnsi="仿宋" w:eastAsia="仿宋"/>
          <w:b w:val="0"/>
          <w:spacing w:val="-4"/>
          <w:sz w:val="32"/>
          <w:szCs w:val="32"/>
        </w:rPr>
        <w:t>该工程为农村居民自来水管网建设改造工程，项目实施后可有效解决半截沟镇半截沟三、八村村民饮水问题，全面提高村民生活质量。</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40" w:lineRule="exact"/>
        <w:ind w:firstLine="564" w:firstLineChars="181"/>
        <w:rPr>
          <w:rFonts w:ascii="仿宋" w:hAnsi="仿宋" w:eastAsia="仿宋"/>
          <w:spacing w:val="-4"/>
          <w:sz w:val="32"/>
          <w:szCs w:val="32"/>
        </w:rPr>
      </w:pPr>
      <w:r>
        <w:rPr>
          <w:rStyle w:val="17"/>
          <w:rFonts w:hint="eastAsia" w:ascii="仿宋" w:hAnsi="仿宋" w:eastAsia="仿宋"/>
          <w:b w:val="0"/>
          <w:spacing w:val="-4"/>
          <w:sz w:val="32"/>
          <w:szCs w:val="32"/>
        </w:rPr>
        <w:t>半截沟镇半截沟村自来水项目的债务还本支出资金通过国库直接支付的方式将债务余额支付到项目施工方银行账户，项目按时完成</w:t>
      </w:r>
      <w:r>
        <w:rPr>
          <w:rFonts w:hint="eastAsia" w:ascii="仿宋" w:hAnsi="仿宋" w:eastAsia="仿宋"/>
          <w:spacing w:val="-4"/>
          <w:sz w:val="32"/>
          <w:szCs w:val="32"/>
        </w:rPr>
        <w:t>。</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640"/>
        <w:rPr>
          <w:rFonts w:ascii="仿宋" w:hAnsi="仿宋" w:eastAsia="仿宋"/>
          <w:spacing w:val="-4"/>
          <w:sz w:val="32"/>
          <w:szCs w:val="32"/>
        </w:rPr>
      </w:pPr>
      <w:r>
        <w:rPr>
          <w:rFonts w:hint="eastAsia" w:ascii="仿宋" w:hAnsi="仿宋" w:eastAsia="仿宋"/>
          <w:spacing w:val="-4"/>
          <w:sz w:val="32"/>
          <w:szCs w:val="32"/>
        </w:rPr>
        <w:t>继续加强对农村供水管网的检测管理维护工作。</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spacing w:line="540" w:lineRule="exact"/>
        <w:ind w:firstLine="564" w:firstLineChars="181"/>
        <w:rPr>
          <w:rStyle w:val="17"/>
          <w:rFonts w:ascii="仿宋" w:hAnsi="仿宋" w:eastAsia="仿宋"/>
          <w:b w:val="0"/>
          <w:spacing w:val="-4"/>
          <w:sz w:val="32"/>
          <w:szCs w:val="32"/>
        </w:rPr>
      </w:pPr>
      <w:r>
        <w:rPr>
          <w:rStyle w:val="17"/>
          <w:rFonts w:hint="eastAsia" w:ascii="仿宋" w:hAnsi="仿宋" w:eastAsia="仿宋"/>
          <w:b w:val="0"/>
          <w:spacing w:val="-4"/>
          <w:sz w:val="32"/>
          <w:szCs w:val="32"/>
        </w:rPr>
        <w:t>半截沟镇半截沟村自来水项目采用国库集中直接支付的原则，将债务余额直接支付到施工方银行账户，严格按照资金的上报、审批、支付流程规范资金的使用及支付，在支付过程中未出现支出重复列报、虚增化债资金的情况。</w:t>
      </w:r>
    </w:p>
    <w:p>
      <w:pPr>
        <w:spacing w:line="540" w:lineRule="exact"/>
        <w:ind w:firstLine="564" w:firstLineChars="181"/>
        <w:rPr>
          <w:rStyle w:val="17"/>
          <w:rFonts w:ascii="仿宋" w:hAnsi="仿宋" w:eastAsia="仿宋"/>
          <w:b w:val="0"/>
          <w:spacing w:val="-4"/>
          <w:sz w:val="32"/>
          <w:szCs w:val="32"/>
        </w:rPr>
      </w:pPr>
      <w:r>
        <w:rPr>
          <w:rStyle w:val="17"/>
          <w:rFonts w:hint="eastAsia" w:ascii="仿宋" w:hAnsi="仿宋" w:eastAsia="仿宋"/>
          <w:b w:val="0"/>
          <w:spacing w:val="-4"/>
          <w:sz w:val="32"/>
          <w:szCs w:val="32"/>
        </w:rPr>
        <w:t>存在问题：地方政府的债务规模比较庞大，而且大部分都难以偿还，缺乏有机制的管理，特别是我国正处于经济建设的关键时期，各级政府响应号召，大力发展当地经济，就需要大量资金投入建设。当财政收入无法支撑大量的支出时，各级政府只能举债，这样常年累月就形成大量的债务堆积；地方政府对债务缺乏监督管理，没有设立合理的预警机制。虽然地方政府举债，形成债务在一定限度内是可行的。但是没有监管是不行的，为了防范和化解地方政府的债务形成的威胁，必须建立债务的预警机制。</w:t>
      </w:r>
    </w:p>
    <w:p>
      <w:pPr>
        <w:spacing w:line="540" w:lineRule="exact"/>
        <w:ind w:firstLine="564" w:firstLineChars="181"/>
        <w:rPr>
          <w:rStyle w:val="17"/>
          <w:rFonts w:ascii="仿宋" w:hAnsi="仿宋" w:eastAsia="仿宋"/>
          <w:b w:val="0"/>
          <w:spacing w:val="-4"/>
          <w:sz w:val="32"/>
          <w:szCs w:val="32"/>
        </w:rPr>
      </w:pPr>
      <w:r>
        <w:rPr>
          <w:rStyle w:val="17"/>
          <w:rFonts w:hint="eastAsia" w:ascii="仿宋" w:hAnsi="仿宋" w:eastAsia="仿宋"/>
          <w:b w:val="0"/>
          <w:spacing w:val="-4"/>
          <w:sz w:val="32"/>
          <w:szCs w:val="32"/>
        </w:rPr>
        <w:t>建议：建立健全地方债务管理体系，约束债务管理的相关措施，加强与国家相关法律法规的衔接，切实做到正规渠道融资；统一债务管理部门，建议地方政府专门建立一个债务管理部门，成立债务管理小组，负责管理地方政府的一切举借信息，并对地方政府的债务偿还做出合理的规划，提高债务管理质量；建立风险防范机制，建立健全风险评估与预警机制，及时采取应对措施，达到控制风险的目的；建立债务偿还准备金制度。</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spacing w:line="540" w:lineRule="exact"/>
        <w:ind w:firstLine="640"/>
        <w:rPr>
          <w:rFonts w:ascii="仿宋" w:hAnsi="仿宋" w:eastAsia="仿宋"/>
          <w:spacing w:val="-4"/>
          <w:sz w:val="32"/>
          <w:szCs w:val="32"/>
        </w:rPr>
      </w:pPr>
      <w:r>
        <w:rPr>
          <w:rFonts w:hint="eastAsia" w:ascii="仿宋" w:hAnsi="仿宋" w:eastAsia="仿宋"/>
          <w:spacing w:val="-4"/>
          <w:sz w:val="32"/>
          <w:szCs w:val="32"/>
        </w:rPr>
        <w:t>无</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六、项目评价工作情况</w:t>
      </w:r>
    </w:p>
    <w:p>
      <w:pPr>
        <w:ind w:firstLine="624" w:firstLineChars="200"/>
        <w:rPr>
          <w:rStyle w:val="17"/>
          <w:rFonts w:ascii="仿宋" w:hAnsi="仿宋" w:eastAsia="仿宋"/>
          <w:b w:val="0"/>
          <w:spacing w:val="-4"/>
          <w:sz w:val="32"/>
          <w:szCs w:val="32"/>
        </w:rPr>
      </w:pPr>
      <w:r>
        <w:rPr>
          <w:rStyle w:val="17"/>
          <w:rFonts w:hint="eastAsia" w:ascii="仿宋" w:hAnsi="仿宋" w:eastAsia="仿宋"/>
          <w:b w:val="0"/>
          <w:spacing w:val="-4"/>
          <w:sz w:val="32"/>
          <w:szCs w:val="32"/>
        </w:rPr>
        <w:t>半截沟镇半截沟村自来水项目</w:t>
      </w:r>
      <w:r>
        <w:rPr>
          <w:rStyle w:val="17"/>
          <w:rFonts w:hint="eastAsia" w:ascii="仿宋" w:hAnsi="仿宋" w:eastAsia="仿宋" w:cs="宋体"/>
          <w:b w:val="0"/>
          <w:spacing w:val="-4"/>
          <w:sz w:val="32"/>
          <w:szCs w:val="32"/>
        </w:rPr>
        <w:t>资金</w:t>
      </w:r>
      <w:r>
        <w:rPr>
          <w:rStyle w:val="17"/>
          <w:rFonts w:hint="eastAsia" w:ascii="仿宋" w:hAnsi="仿宋" w:eastAsia="仿宋"/>
          <w:b w:val="0"/>
          <w:spacing w:val="-4"/>
          <w:sz w:val="32"/>
          <w:szCs w:val="32"/>
        </w:rPr>
        <w:t>能按规定发放完成；资金按时、足额到位，维护了政府的形象和信誉；资金的使用也严格按照有关规定使用，在资金使用过程中没有出现虚列支出，重复申请资金等情况。</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七、附表</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b w:val="0"/>
          <w:spacing w:val="-4"/>
          <w:sz w:val="32"/>
          <w:szCs w:val="32"/>
        </w:rPr>
        <w:t>《自治州财政项目支出绩效自评表》</w:t>
      </w:r>
    </w:p>
    <w:p>
      <w:pPr>
        <w:spacing w:line="540" w:lineRule="exact"/>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tbl>
      <w:tblPr>
        <w:tblStyle w:val="19"/>
        <w:tblW w:w="9020" w:type="dxa"/>
        <w:tblInd w:w="93" w:type="dxa"/>
        <w:tblLayout w:type="fixed"/>
        <w:tblCellMar>
          <w:top w:w="0" w:type="dxa"/>
          <w:left w:w="108" w:type="dxa"/>
          <w:bottom w:w="0" w:type="dxa"/>
          <w:right w:w="108" w:type="dxa"/>
        </w:tblCellMar>
      </w:tblPr>
      <w:tblGrid>
        <w:gridCol w:w="720"/>
        <w:gridCol w:w="1140"/>
        <w:gridCol w:w="1360"/>
        <w:gridCol w:w="1080"/>
        <w:gridCol w:w="880"/>
        <w:gridCol w:w="2060"/>
        <w:gridCol w:w="1780"/>
      </w:tblGrid>
      <w:tr>
        <w:tblPrEx>
          <w:tblLayout w:type="fixed"/>
          <w:tblCellMar>
            <w:top w:w="0" w:type="dxa"/>
            <w:left w:w="108" w:type="dxa"/>
            <w:bottom w:w="0" w:type="dxa"/>
            <w:right w:w="108" w:type="dxa"/>
          </w:tblCellMar>
        </w:tblPrEx>
        <w:trPr>
          <w:trHeight w:val="40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bCs/>
                <w:kern w:val="0"/>
                <w:sz w:val="32"/>
                <w:szCs w:val="32"/>
              </w:rPr>
            </w:pPr>
            <w:r>
              <w:rPr>
                <w:rFonts w:hint="eastAsia" w:ascii="宋体" w:hAnsi="宋体" w:cs="宋体"/>
                <w:bCs/>
                <w:kern w:val="0"/>
                <w:sz w:val="32"/>
                <w:szCs w:val="32"/>
              </w:rPr>
              <w:t>奇台县财政项目支出绩效自评表</w:t>
            </w:r>
          </w:p>
        </w:tc>
      </w:tr>
      <w:tr>
        <w:tblPrEx>
          <w:tblLayout w:type="fixed"/>
          <w:tblCellMar>
            <w:top w:w="0" w:type="dxa"/>
            <w:left w:w="108" w:type="dxa"/>
            <w:bottom w:w="0" w:type="dxa"/>
            <w:right w:w="108" w:type="dxa"/>
          </w:tblCellMar>
        </w:tblPrEx>
        <w:trPr>
          <w:trHeight w:val="28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w:t>
            </w:r>
            <w:r>
              <w:rPr>
                <w:kern w:val="0"/>
                <w:sz w:val="24"/>
              </w:rPr>
              <w:t xml:space="preserve"> </w:t>
            </w:r>
            <w:r>
              <w:rPr>
                <w:rFonts w:hint="eastAsia"/>
                <w:kern w:val="0"/>
                <w:sz w:val="24"/>
              </w:rPr>
              <w:t>2017</w:t>
            </w:r>
            <w:r>
              <w:rPr>
                <w:rFonts w:hint="eastAsia" w:ascii="宋体" w:hAnsi="宋体" w:cs="宋体"/>
                <w:kern w:val="0"/>
                <w:sz w:val="24"/>
              </w:rPr>
              <w:t>年度）</w:t>
            </w:r>
          </w:p>
        </w:tc>
      </w:tr>
      <w:tr>
        <w:tblPrEx>
          <w:tblLayout w:type="fixed"/>
          <w:tblCellMar>
            <w:top w:w="0" w:type="dxa"/>
            <w:left w:w="108" w:type="dxa"/>
            <w:bottom w:w="0" w:type="dxa"/>
            <w:right w:w="108" w:type="dxa"/>
          </w:tblCellMar>
        </w:tblPrEx>
        <w:trPr>
          <w:trHeight w:val="285" w:hRule="atLeast"/>
        </w:trPr>
        <w:tc>
          <w:tcPr>
            <w:tcW w:w="72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14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3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0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8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20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7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r>
      <w:tr>
        <w:tblPrEx>
          <w:tblLayout w:type="fixed"/>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项目名称</w:t>
            </w:r>
          </w:p>
        </w:tc>
        <w:tc>
          <w:tcPr>
            <w:tcW w:w="580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奇台县半截沟镇半截沟村自来水修建工程</w:t>
            </w:r>
          </w:p>
          <w:p>
            <w:pPr>
              <w:widowControl/>
              <w:jc w:val="center"/>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35"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预算单位</w:t>
            </w:r>
          </w:p>
        </w:tc>
        <w:tc>
          <w:tcPr>
            <w:tcW w:w="5800"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奇台县半截沟镇人民政府　</w:t>
            </w:r>
          </w:p>
        </w:tc>
      </w:tr>
      <w:tr>
        <w:tblPrEx>
          <w:tblLayout w:type="fixed"/>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预算</w:t>
            </w:r>
            <w:r>
              <w:rPr>
                <w:rFonts w:hint="eastAsia" w:ascii="宋体" w:hAnsi="宋体" w:cs="宋体"/>
                <w:kern w:val="0"/>
                <w:sz w:val="20"/>
                <w:szCs w:val="20"/>
              </w:rPr>
              <w:br w:type="textWrapping"/>
            </w:r>
            <w:r>
              <w:rPr>
                <w:rFonts w:hint="eastAsia" w:ascii="宋体" w:hAnsi="宋体" w:cs="宋体"/>
                <w:kern w:val="0"/>
                <w:sz w:val="20"/>
                <w:szCs w:val="20"/>
              </w:rPr>
              <w:t>执行</w:t>
            </w:r>
            <w:r>
              <w:rPr>
                <w:rFonts w:hint="eastAsia" w:ascii="宋体" w:hAnsi="宋体" w:cs="宋体"/>
                <w:kern w:val="0"/>
                <w:sz w:val="20"/>
                <w:szCs w:val="20"/>
              </w:rPr>
              <w:br w:type="textWrapping"/>
            </w:r>
            <w:r>
              <w:rPr>
                <w:rFonts w:hint="eastAsia" w:ascii="宋体" w:hAnsi="宋体" w:cs="宋体"/>
                <w:kern w:val="0"/>
                <w:sz w:val="20"/>
                <w:szCs w:val="20"/>
              </w:rPr>
              <w:t>情况</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预算数：</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4.16</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执行数：</w:t>
            </w:r>
          </w:p>
        </w:tc>
        <w:tc>
          <w:tcPr>
            <w:tcW w:w="1780" w:type="dxa"/>
            <w:tcBorders>
              <w:top w:val="nil"/>
              <w:left w:val="nil"/>
              <w:bottom w:val="single" w:color="auto" w:sz="4" w:space="0"/>
              <w:right w:val="single" w:color="auto" w:sz="4" w:space="0"/>
            </w:tcBorders>
            <w:shd w:val="clear" w:color="auto" w:fill="auto"/>
          </w:tcPr>
          <w:p>
            <w:pPr>
              <w:rPr>
                <w:rFonts w:ascii="宋体" w:hAnsi="宋体" w:cs="宋体"/>
                <w:kern w:val="0"/>
                <w:sz w:val="20"/>
                <w:szCs w:val="20"/>
              </w:rPr>
            </w:pPr>
            <w:r>
              <w:rPr>
                <w:rFonts w:hint="eastAsia" w:ascii="宋体" w:hAnsi="宋体" w:cs="宋体"/>
                <w:kern w:val="0"/>
                <w:sz w:val="20"/>
                <w:szCs w:val="20"/>
              </w:rPr>
              <w:t>4.16</w:t>
            </w:r>
          </w:p>
        </w:tc>
      </w:tr>
      <w:tr>
        <w:tblPrEx>
          <w:tblLayout w:type="fixed"/>
          <w:tblCellMar>
            <w:top w:w="0" w:type="dxa"/>
            <w:left w:w="108" w:type="dxa"/>
            <w:bottom w:w="0" w:type="dxa"/>
            <w:right w:w="108" w:type="dxa"/>
          </w:tblCellMar>
        </w:tblPrEx>
        <w:trPr>
          <w:trHeight w:val="509"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4.16</w:t>
            </w:r>
          </w:p>
        </w:tc>
        <w:tc>
          <w:tcPr>
            <w:tcW w:w="2060" w:type="dxa"/>
            <w:tcBorders>
              <w:top w:val="nil"/>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780" w:type="dxa"/>
            <w:tcBorders>
              <w:top w:val="nil"/>
              <w:left w:val="nil"/>
              <w:bottom w:val="single" w:color="auto" w:sz="4" w:space="0"/>
              <w:right w:val="single" w:color="auto" w:sz="4" w:space="0"/>
            </w:tcBorders>
            <w:shd w:val="clear" w:color="auto" w:fill="auto"/>
          </w:tcPr>
          <w:p>
            <w:pPr>
              <w:rPr>
                <w:rFonts w:ascii="宋体" w:hAnsi="宋体" w:cs="宋体"/>
                <w:kern w:val="0"/>
                <w:sz w:val="20"/>
                <w:szCs w:val="20"/>
              </w:rPr>
            </w:pPr>
            <w:r>
              <w:rPr>
                <w:rFonts w:hint="eastAsia" w:ascii="宋体" w:hAnsi="宋体" w:cs="宋体"/>
                <w:kern w:val="0"/>
                <w:sz w:val="20"/>
                <w:szCs w:val="20"/>
              </w:rPr>
              <w:t>4.16</w:t>
            </w:r>
          </w:p>
        </w:tc>
      </w:tr>
      <w:tr>
        <w:tblPrEx>
          <w:tblLayout w:type="fixed"/>
          <w:tblCellMar>
            <w:top w:w="0" w:type="dxa"/>
            <w:left w:w="108" w:type="dxa"/>
            <w:bottom w:w="0" w:type="dxa"/>
            <w:right w:w="108" w:type="dxa"/>
          </w:tblCellMar>
        </w:tblPrEx>
        <w:trPr>
          <w:trHeight w:val="433"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0</w:t>
            </w:r>
          </w:p>
        </w:tc>
        <w:tc>
          <w:tcPr>
            <w:tcW w:w="2060" w:type="dxa"/>
            <w:tcBorders>
              <w:top w:val="single" w:color="auto" w:sz="4" w:space="0"/>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0　</w:t>
            </w:r>
          </w:p>
        </w:tc>
      </w:tr>
      <w:tr>
        <w:tblPrEx>
          <w:tblLayout w:type="fixed"/>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目标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446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预期目标</w:t>
            </w:r>
          </w:p>
        </w:tc>
        <w:tc>
          <w:tcPr>
            <w:tcW w:w="38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实际完成目标</w:t>
            </w:r>
          </w:p>
        </w:tc>
      </w:tr>
      <w:tr>
        <w:tblPrEx>
          <w:tblLayout w:type="fixed"/>
          <w:tblCellMar>
            <w:top w:w="0" w:type="dxa"/>
            <w:left w:w="108" w:type="dxa"/>
            <w:bottom w:w="0" w:type="dxa"/>
            <w:right w:w="108" w:type="dxa"/>
          </w:tblCellMar>
        </w:tblPrEx>
        <w:trPr>
          <w:trHeight w:val="1425"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460" w:type="dxa"/>
            <w:gridSpan w:val="4"/>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cs="宋体"/>
                <w:kern w:val="0"/>
                <w:sz w:val="20"/>
                <w:szCs w:val="20"/>
              </w:rPr>
            </w:pPr>
            <w:r>
              <w:rPr>
                <w:rFonts w:hint="eastAsia" w:ascii="宋体" w:hAnsi="宋体" w:cs="宋体"/>
                <w:kern w:val="0"/>
                <w:sz w:val="20"/>
                <w:szCs w:val="20"/>
              </w:rPr>
              <w:t>　该工程为农村居民自来水管网建设改造工程，项目实施后可有效解决半截沟镇半截沟三、八村村民饮水问题，全面提高村民生活质量。</w:t>
            </w:r>
          </w:p>
          <w:p>
            <w:pPr>
              <w:widowControl/>
              <w:jc w:val="left"/>
              <w:rPr>
                <w:rFonts w:ascii="宋体" w:hAnsi="宋体" w:cs="宋体"/>
                <w:kern w:val="0"/>
                <w:sz w:val="20"/>
                <w:szCs w:val="20"/>
              </w:rPr>
            </w:pPr>
          </w:p>
        </w:tc>
        <w:tc>
          <w:tcPr>
            <w:tcW w:w="3840" w:type="dxa"/>
            <w:gridSpan w:val="2"/>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cs="宋体"/>
                <w:kern w:val="0"/>
                <w:sz w:val="20"/>
                <w:szCs w:val="20"/>
              </w:rPr>
            </w:pPr>
            <w:r>
              <w:rPr>
                <w:rFonts w:hint="eastAsia" w:ascii="宋体" w:hAnsi="宋体" w:cs="宋体"/>
                <w:kern w:val="0"/>
                <w:sz w:val="20"/>
                <w:szCs w:val="20"/>
              </w:rPr>
              <w:t>　该工程为农村居民自来水管网建设改造工程，项目实施后可有效解决半截沟镇半截沟三、八村村民饮水问题，全面提高村民生活质量。</w:t>
            </w:r>
          </w:p>
          <w:p>
            <w:pPr>
              <w:widowControl/>
              <w:jc w:val="left"/>
              <w:rPr>
                <w:rFonts w:ascii="宋体" w:hAnsi="宋体" w:cs="宋体"/>
                <w:kern w:val="0"/>
                <w:sz w:val="20"/>
                <w:szCs w:val="20"/>
              </w:rPr>
            </w:pPr>
          </w:p>
        </w:tc>
      </w:tr>
      <w:tr>
        <w:tblPrEx>
          <w:tblLayout w:type="fixed"/>
          <w:tblCellMar>
            <w:top w:w="0" w:type="dxa"/>
            <w:left w:w="108" w:type="dxa"/>
            <w:bottom w:w="0" w:type="dxa"/>
            <w:right w:w="108" w:type="dxa"/>
          </w:tblCellMar>
        </w:tblPrEx>
        <w:trPr>
          <w:trHeight w:val="720" w:hRule="atLeast"/>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绩效</w:t>
            </w:r>
            <w:r>
              <w:rPr>
                <w:rFonts w:hint="eastAsia" w:ascii="宋体" w:hAnsi="宋体" w:cs="宋体"/>
                <w:kern w:val="0"/>
                <w:sz w:val="20"/>
                <w:szCs w:val="20"/>
              </w:rPr>
              <w:br w:type="textWrapping"/>
            </w:r>
            <w:r>
              <w:rPr>
                <w:rFonts w:hint="eastAsia" w:ascii="宋体" w:hAnsi="宋体" w:cs="宋体"/>
                <w:kern w:val="0"/>
                <w:sz w:val="20"/>
                <w:szCs w:val="20"/>
              </w:rPr>
              <w:t>指标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1140"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一级指标</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二级指标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三级指标</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预期指标值（包含数字及文字描述）</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实际完成指标值（包含数字及文字描述）</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项目完成指标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数量指标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val="en-US" w:eastAsia="zh-CN"/>
              </w:rPr>
              <w:t>饮水管线</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12000米</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12000米</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质量指标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工程验收合格率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w:t>
            </w:r>
            <w:r>
              <w:rPr>
                <w:rFonts w:hint="eastAsia" w:ascii="宋体" w:hAnsi="宋体" w:cs="宋体"/>
                <w:kern w:val="0"/>
                <w:sz w:val="20"/>
                <w:szCs w:val="20"/>
                <w:lang w:val="en-US" w:eastAsia="zh-CN"/>
              </w:rPr>
              <w:t>80%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时效指标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工程完成率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w:t>
            </w:r>
            <w:r>
              <w:rPr>
                <w:rFonts w:hint="eastAsia" w:ascii="宋体" w:hAnsi="宋体" w:cs="宋体"/>
                <w:kern w:val="0"/>
                <w:sz w:val="20"/>
                <w:szCs w:val="20"/>
                <w:lang w:val="en-US" w:eastAsia="zh-CN"/>
              </w:rPr>
              <w:t>80%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成本指标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项目效果指标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经济效益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社会效益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r>
              <w:rPr>
                <w:rFonts w:hint="eastAsia" w:ascii="宋体" w:hAnsi="宋体" w:cs="宋体"/>
                <w:kern w:val="0"/>
                <w:sz w:val="20"/>
                <w:szCs w:val="20"/>
                <w:lang w:eastAsia="zh-CN"/>
              </w:rPr>
              <w:t>受益户数</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w:t>
            </w:r>
            <w:r>
              <w:rPr>
                <w:rFonts w:hint="eastAsia" w:ascii="宋体" w:hAnsi="宋体" w:cs="宋体"/>
                <w:kern w:val="0"/>
                <w:sz w:val="20"/>
                <w:szCs w:val="20"/>
                <w:lang w:val="en-US" w:eastAsia="zh-CN"/>
              </w:rPr>
              <w:t>40户</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46户</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生态效益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可持续影响</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群众满意度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w:t>
            </w:r>
            <w:r>
              <w:rPr>
                <w:rFonts w:hint="eastAsia" w:ascii="宋体" w:hAnsi="宋体" w:cs="宋体"/>
                <w:kern w:val="0"/>
                <w:sz w:val="20"/>
                <w:szCs w:val="20"/>
                <w:lang w:val="en-US" w:eastAsia="zh-CN"/>
              </w:rPr>
              <w:t>80%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9</w:t>
            </w:r>
            <w:bookmarkStart w:id="0" w:name="_GoBack"/>
            <w:bookmarkEnd w:id="0"/>
            <w:r>
              <w:rPr>
                <w:rFonts w:hint="eastAsia" w:ascii="宋体" w:hAnsi="宋体" w:cs="宋体"/>
                <w:kern w:val="0"/>
                <w:sz w:val="20"/>
                <w:szCs w:val="20"/>
              </w:rPr>
              <w:t>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bl>
    <w:p>
      <w:pPr>
        <w:spacing w:line="540" w:lineRule="exact"/>
        <w:ind w:firstLine="567"/>
        <w:rPr>
          <w:rStyle w:val="17"/>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56465"/>
    <w:rsid w:val="000A42C0"/>
    <w:rsid w:val="00121AE4"/>
    <w:rsid w:val="00146AAD"/>
    <w:rsid w:val="00152A3A"/>
    <w:rsid w:val="00172A27"/>
    <w:rsid w:val="001B3A40"/>
    <w:rsid w:val="002171D4"/>
    <w:rsid w:val="00272A4E"/>
    <w:rsid w:val="002C48CC"/>
    <w:rsid w:val="003260BA"/>
    <w:rsid w:val="003C18BC"/>
    <w:rsid w:val="004366A8"/>
    <w:rsid w:val="00464900"/>
    <w:rsid w:val="00502BA7"/>
    <w:rsid w:val="00504B2C"/>
    <w:rsid w:val="005162F1"/>
    <w:rsid w:val="00535153"/>
    <w:rsid w:val="00554F82"/>
    <w:rsid w:val="0056390D"/>
    <w:rsid w:val="005719B0"/>
    <w:rsid w:val="005A0408"/>
    <w:rsid w:val="005B0BE6"/>
    <w:rsid w:val="005D10D6"/>
    <w:rsid w:val="006C504E"/>
    <w:rsid w:val="006E093A"/>
    <w:rsid w:val="007806A5"/>
    <w:rsid w:val="00855E3A"/>
    <w:rsid w:val="00922CB9"/>
    <w:rsid w:val="009E5CD9"/>
    <w:rsid w:val="00A26421"/>
    <w:rsid w:val="00A4293B"/>
    <w:rsid w:val="00A67D50"/>
    <w:rsid w:val="00A8691A"/>
    <w:rsid w:val="00AC1946"/>
    <w:rsid w:val="00B40063"/>
    <w:rsid w:val="00B41F61"/>
    <w:rsid w:val="00BA46E6"/>
    <w:rsid w:val="00C56C72"/>
    <w:rsid w:val="00CA6457"/>
    <w:rsid w:val="00D06CEB"/>
    <w:rsid w:val="00D17F2E"/>
    <w:rsid w:val="00D30354"/>
    <w:rsid w:val="00DF42A0"/>
    <w:rsid w:val="00E46C51"/>
    <w:rsid w:val="00E769FE"/>
    <w:rsid w:val="00EA2CBE"/>
    <w:rsid w:val="00EE4707"/>
    <w:rsid w:val="00F32FEE"/>
    <w:rsid w:val="00FB10BB"/>
    <w:rsid w:val="00FB5BD6"/>
    <w:rsid w:val="00FD3191"/>
    <w:rsid w:val="02D03816"/>
    <w:rsid w:val="04B16D27"/>
    <w:rsid w:val="09D1043E"/>
    <w:rsid w:val="0B7A7289"/>
    <w:rsid w:val="0CFE70EC"/>
    <w:rsid w:val="11DA0264"/>
    <w:rsid w:val="144C5BDC"/>
    <w:rsid w:val="1D5C3794"/>
    <w:rsid w:val="22114ED4"/>
    <w:rsid w:val="280E056F"/>
    <w:rsid w:val="3A0415CA"/>
    <w:rsid w:val="3B85754E"/>
    <w:rsid w:val="4797392D"/>
    <w:rsid w:val="51982F2C"/>
    <w:rsid w:val="531F335A"/>
    <w:rsid w:val="5A934B4E"/>
    <w:rsid w:val="5AE86E93"/>
    <w:rsid w:val="5FA60F75"/>
    <w:rsid w:val="606A30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unhideWhenUsed/>
    <w:uiPriority w:val="1"/>
  </w:style>
  <w:style w:type="table" w:default="1" w:styleId="19">
    <w:name w:val="Normal Table"/>
    <w:unhideWhenUsed/>
    <w:qFormat/>
    <w:uiPriority w:val="99"/>
    <w:tblPr>
      <w:tblLayout w:type="fixed"/>
      <w:tblCellMar>
        <w:top w:w="0" w:type="dxa"/>
        <w:left w:w="108" w:type="dxa"/>
        <w:bottom w:w="0" w:type="dxa"/>
        <w:right w:w="108" w:type="dxa"/>
      </w:tblCellMar>
    </w:tblPr>
  </w:style>
  <w:style w:type="paragraph" w:styleId="11">
    <w:name w:val="Balloon Text"/>
    <w:basedOn w:val="1"/>
    <w:link w:val="45"/>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Char"/>
    <w:basedOn w:val="16"/>
    <w:link w:val="2"/>
    <w:qFormat/>
    <w:uiPriority w:val="9"/>
    <w:rPr>
      <w:rFonts w:asciiTheme="majorHAnsi" w:hAnsiTheme="majorHAnsi" w:eastAsiaTheme="majorEastAsia"/>
      <w:b/>
      <w:bCs/>
      <w:kern w:val="32"/>
      <w:sz w:val="32"/>
      <w:szCs w:val="32"/>
    </w:rPr>
  </w:style>
  <w:style w:type="character" w:customStyle="1" w:styleId="21">
    <w:name w:val="标题 2 Char"/>
    <w:basedOn w:val="16"/>
    <w:link w:val="3"/>
    <w:semiHidden/>
    <w:qFormat/>
    <w:uiPriority w:val="9"/>
    <w:rPr>
      <w:rFonts w:asciiTheme="majorHAnsi" w:hAnsiTheme="majorHAnsi" w:eastAsiaTheme="majorEastAsia"/>
      <w:b/>
      <w:bCs/>
      <w:i/>
      <w:iCs/>
      <w:sz w:val="28"/>
      <w:szCs w:val="28"/>
    </w:rPr>
  </w:style>
  <w:style w:type="character" w:customStyle="1" w:styleId="22">
    <w:name w:val="标题 3 Char"/>
    <w:basedOn w:val="16"/>
    <w:link w:val="4"/>
    <w:semiHidden/>
    <w:qFormat/>
    <w:uiPriority w:val="9"/>
    <w:rPr>
      <w:rFonts w:asciiTheme="majorHAnsi" w:hAnsiTheme="majorHAnsi" w:eastAsiaTheme="majorEastAsia"/>
      <w:b/>
      <w:bCs/>
      <w:sz w:val="26"/>
      <w:szCs w:val="26"/>
    </w:rPr>
  </w:style>
  <w:style w:type="character" w:customStyle="1" w:styleId="23">
    <w:name w:val="标题 4 Char"/>
    <w:basedOn w:val="16"/>
    <w:link w:val="5"/>
    <w:semiHidden/>
    <w:qFormat/>
    <w:uiPriority w:val="9"/>
    <w:rPr>
      <w:b/>
      <w:bCs/>
      <w:sz w:val="28"/>
      <w:szCs w:val="28"/>
    </w:rPr>
  </w:style>
  <w:style w:type="character" w:customStyle="1" w:styleId="24">
    <w:name w:val="标题 5 Char"/>
    <w:basedOn w:val="16"/>
    <w:link w:val="6"/>
    <w:semiHidden/>
    <w:qFormat/>
    <w:uiPriority w:val="9"/>
    <w:rPr>
      <w:b/>
      <w:bCs/>
      <w:i/>
      <w:iCs/>
      <w:sz w:val="26"/>
      <w:szCs w:val="26"/>
    </w:rPr>
  </w:style>
  <w:style w:type="character" w:customStyle="1" w:styleId="25">
    <w:name w:val="标题 6 Char"/>
    <w:basedOn w:val="16"/>
    <w:link w:val="7"/>
    <w:semiHidden/>
    <w:qFormat/>
    <w:uiPriority w:val="9"/>
    <w:rPr>
      <w:b/>
      <w:bCs/>
    </w:rPr>
  </w:style>
  <w:style w:type="character" w:customStyle="1" w:styleId="26">
    <w:name w:val="标题 7 Char"/>
    <w:basedOn w:val="16"/>
    <w:link w:val="8"/>
    <w:semiHidden/>
    <w:uiPriority w:val="9"/>
    <w:rPr>
      <w:sz w:val="24"/>
      <w:szCs w:val="24"/>
    </w:rPr>
  </w:style>
  <w:style w:type="character" w:customStyle="1" w:styleId="27">
    <w:name w:val="标题 8 Char"/>
    <w:basedOn w:val="16"/>
    <w:link w:val="9"/>
    <w:semiHidden/>
    <w:qFormat/>
    <w:uiPriority w:val="9"/>
    <w:rPr>
      <w:i/>
      <w:iCs/>
      <w:sz w:val="24"/>
      <w:szCs w:val="24"/>
    </w:rPr>
  </w:style>
  <w:style w:type="character" w:customStyle="1" w:styleId="28">
    <w:name w:val="标题 9 Char"/>
    <w:basedOn w:val="16"/>
    <w:link w:val="10"/>
    <w:semiHidden/>
    <w:qFormat/>
    <w:uiPriority w:val="9"/>
    <w:rPr>
      <w:rFonts w:asciiTheme="majorHAnsi" w:hAnsiTheme="majorHAnsi" w:eastAsiaTheme="majorEastAsia"/>
    </w:rPr>
  </w:style>
  <w:style w:type="character" w:customStyle="1" w:styleId="29">
    <w:name w:val="标题 Char"/>
    <w:basedOn w:val="16"/>
    <w:link w:val="15"/>
    <w:qFormat/>
    <w:uiPriority w:val="10"/>
    <w:rPr>
      <w:rFonts w:asciiTheme="majorHAnsi" w:hAnsiTheme="majorHAnsi" w:eastAsiaTheme="majorEastAsia"/>
      <w:b/>
      <w:bCs/>
      <w:kern w:val="28"/>
      <w:sz w:val="32"/>
      <w:szCs w:val="32"/>
    </w:rPr>
  </w:style>
  <w:style w:type="character" w:customStyle="1" w:styleId="30">
    <w:name w:val="副标题 Char"/>
    <w:basedOn w:val="16"/>
    <w:link w:val="14"/>
    <w:qFormat/>
    <w:uiPriority w:val="11"/>
    <w:rPr>
      <w:rFonts w:asciiTheme="majorHAnsi" w:hAnsiTheme="majorHAnsi" w:eastAsiaTheme="majorEastAsia"/>
      <w:sz w:val="24"/>
      <w:szCs w:val="24"/>
    </w:rPr>
  </w:style>
  <w:style w:type="paragraph" w:customStyle="1" w:styleId="31">
    <w:name w:val="无间隔1"/>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2">
    <w:name w:val="列出段落1"/>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3">
    <w:name w:val="引用1"/>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6"/>
    <w:link w:val="33"/>
    <w:qFormat/>
    <w:uiPriority w:val="29"/>
    <w:rPr>
      <w:i/>
      <w:sz w:val="24"/>
      <w:szCs w:val="24"/>
    </w:rPr>
  </w:style>
  <w:style w:type="paragraph" w:customStyle="1" w:styleId="35">
    <w:name w:val="明显引用1"/>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6"/>
    <w:link w:val="35"/>
    <w:qFormat/>
    <w:uiPriority w:val="30"/>
    <w:rPr>
      <w:b/>
      <w:i/>
      <w:sz w:val="24"/>
    </w:rPr>
  </w:style>
  <w:style w:type="character" w:customStyle="1" w:styleId="37">
    <w:name w:val="不明显强调1"/>
    <w:qFormat/>
    <w:uiPriority w:val="19"/>
    <w:rPr>
      <w:i/>
      <w:color w:val="585858" w:themeColor="text1" w:themeTint="A6"/>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unhideWhenUsed/>
    <w:qFormat/>
    <w:uiPriority w:val="39"/>
    <w:pPr>
      <w:outlineLvl w:val="9"/>
    </w:pPr>
    <w:rPr>
      <w:lang w:eastAsia="en-US" w:bidi="en-US"/>
    </w:rPr>
  </w:style>
  <w:style w:type="character" w:customStyle="1" w:styleId="43">
    <w:name w:val="页眉 Char"/>
    <w:basedOn w:val="16"/>
    <w:link w:val="13"/>
    <w:qFormat/>
    <w:uiPriority w:val="99"/>
    <w:rPr>
      <w:rFonts w:ascii="Calibri" w:hAnsi="Calibri" w:eastAsia="宋体"/>
      <w:kern w:val="2"/>
      <w:sz w:val="18"/>
      <w:szCs w:val="18"/>
    </w:rPr>
  </w:style>
  <w:style w:type="character" w:customStyle="1" w:styleId="44">
    <w:name w:val="页脚 Char"/>
    <w:basedOn w:val="16"/>
    <w:link w:val="12"/>
    <w:qFormat/>
    <w:uiPriority w:val="99"/>
    <w:rPr>
      <w:rFonts w:ascii="Calibri" w:hAnsi="Calibri" w:eastAsia="宋体"/>
      <w:kern w:val="2"/>
      <w:sz w:val="18"/>
      <w:szCs w:val="18"/>
    </w:rPr>
  </w:style>
  <w:style w:type="character" w:customStyle="1" w:styleId="45">
    <w:name w:val="批注框文本 Char"/>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403</Words>
  <Characters>2298</Characters>
  <Lines>19</Lines>
  <Paragraphs>5</Paragraphs>
  <TotalTime>1</TotalTime>
  <ScaleCrop>false</ScaleCrop>
  <LinksUpToDate>false</LinksUpToDate>
  <CharactersWithSpaces>2696</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xcj</cp:lastModifiedBy>
  <cp:lastPrinted>2019-01-15T03:23:00Z</cp:lastPrinted>
  <dcterms:modified xsi:type="dcterms:W3CDTF">2019-01-16T04:02:04Z</dcterms:modified>
  <dc:title>附件1：</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