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hint="eastAsia" w:ascii="仿宋" w:hAnsi="仿宋" w:eastAsia="仿宋" w:cs="宋体"/>
          <w:kern w:val="0"/>
          <w:sz w:val="32"/>
          <w:szCs w:val="32"/>
        </w:rPr>
        <w:t>附件1：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ascii="方正小标宋_GBK" w:hAnsi="华文中宋" w:eastAsia="方正小标宋_GBK" w:cs="宋体"/>
          <w:b/>
          <w:kern w:val="0"/>
          <w:sz w:val="48"/>
          <w:szCs w:val="48"/>
        </w:rPr>
      </w:pPr>
      <w:r>
        <w:rPr>
          <w:rFonts w:hint="eastAsia" w:ascii="方正小标宋_GBK" w:hAnsi="华文中宋" w:eastAsia="方正小标宋_GBK" w:cs="宋体"/>
          <w:b/>
          <w:kern w:val="0"/>
          <w:sz w:val="48"/>
          <w:szCs w:val="48"/>
        </w:rPr>
        <w:t>自治州财政项目支出绩效自评报告</w:t>
      </w:r>
    </w:p>
    <w:p>
      <w:pPr>
        <w:spacing w:line="540" w:lineRule="exact"/>
        <w:jc w:val="center"/>
        <w:rPr>
          <w:rFonts w:ascii="华文中宋" w:hAnsi="华文中宋" w:eastAsia="华文中宋" w:cs="宋体"/>
          <w:b/>
          <w:kern w:val="0"/>
          <w:sz w:val="52"/>
          <w:szCs w:val="52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（ 2017年度）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项目名称：东湾镇</w:t>
      </w:r>
      <w:r>
        <w:rPr>
          <w:rStyle w:val="18"/>
          <w:rFonts w:hint="eastAsia" w:ascii="仿宋" w:hAnsi="仿宋" w:eastAsia="仿宋"/>
          <w:b w:val="0"/>
          <w:spacing w:val="-4"/>
          <w:sz w:val="36"/>
          <w:szCs w:val="36"/>
        </w:rPr>
        <w:t>道路灯安装</w:t>
      </w:r>
    </w:p>
    <w:p>
      <w:pPr>
        <w:spacing w:line="700" w:lineRule="exact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 xml:space="preserve">     实施单位（公章）：东湾镇人民政府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主管部门（公章）：奇台县财政局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项目负责人（签章）：郑君</w:t>
      </w:r>
    </w:p>
    <w:p>
      <w:pPr>
        <w:spacing w:line="700" w:lineRule="exact"/>
        <w:ind w:firstLine="849" w:firstLineChars="236"/>
        <w:jc w:val="left"/>
        <w:rPr>
          <w:rFonts w:hAnsi="宋体" w:eastAsia="仿宋_GB2312" w:cs="宋体"/>
          <w:kern w:val="0"/>
          <w:sz w:val="36"/>
          <w:szCs w:val="36"/>
        </w:rPr>
      </w:pPr>
      <w:r>
        <w:rPr>
          <w:rFonts w:hint="eastAsia" w:hAnsi="宋体" w:eastAsia="仿宋_GB2312" w:cs="宋体"/>
          <w:kern w:val="0"/>
          <w:sz w:val="36"/>
          <w:szCs w:val="36"/>
        </w:rPr>
        <w:t>填报时间：2018年 8月25日</w:t>
      </w:r>
    </w:p>
    <w:p>
      <w:pPr>
        <w:spacing w:line="540" w:lineRule="exact"/>
        <w:jc w:val="center"/>
        <w:rPr>
          <w:rFonts w:hAnsi="宋体" w:eastAsia="仿宋_GB2312" w:cs="宋体"/>
          <w:kern w:val="0"/>
          <w:sz w:val="30"/>
          <w:szCs w:val="30"/>
        </w:rPr>
      </w:pPr>
    </w:p>
    <w:p>
      <w:pPr>
        <w:spacing w:line="540" w:lineRule="exact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</w:pP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一、项目概况</w:t>
      </w:r>
    </w:p>
    <w:p>
      <w:pPr>
        <w:spacing w:line="540" w:lineRule="exact"/>
        <w:ind w:firstLine="567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（一）项目单位基本情况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东湾镇位于城西南22km处，东临吉布库镇，西接吉木萨尔县，南依天山，北至大泉塔塔尔族乡。全镇总面积192平方公里，有4个行政村，52个村民小组,26个片组。总耕地面积15.28万亩（其中：水浇地14.5万亩，旱地0.78万亩。确权后合同地11.7万亩，人均耕地10亩）。▲境内有两个水库（白杨河和根葛尔水库）分别是根葛尔水库（小型），库容120万立方，年均引水量260万立方；白杨河水库（中型），库容990万方，年均引水量3400万方，占来水量的45%。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2017年全镇实现生产总值5.1亿元，增速6%以上，实现农村居民可支配收入17407元，较上年增加802元，增幅4.6%。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（二）项目预算</w:t>
      </w:r>
      <w:r>
        <w:rPr>
          <w:rStyle w:val="18"/>
          <w:rFonts w:ascii="楷体" w:hAnsi="楷体" w:eastAsia="楷体"/>
          <w:spacing w:val="-4"/>
          <w:sz w:val="32"/>
          <w:szCs w:val="32"/>
        </w:rPr>
        <w:t>绩效目标</w:t>
      </w: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设定情况</w:t>
      </w:r>
    </w:p>
    <w:p>
      <w:pPr>
        <w:ind w:firstLine="624" w:firstLineChars="200"/>
        <w:jc w:val="lef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道路灯安装建设补助资金主要用于201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7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年东湾镇道路灯安装项目，道路灯安装是党和国家执政的根基。</w:t>
      </w:r>
    </w:p>
    <w:p>
      <w:pPr>
        <w:ind w:firstLine="624" w:firstLineChars="200"/>
        <w:jc w:val="lef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乡镇政府作为最道路灯安装组织，是政府职能下沉到农村网络体系的中枢，既承担行政职能，又承担经济和社会管理职能，连接着政府和乡村、农民，对上承接县政府在农村的各项工作，中间负责与各职能部门的协调，对下承担村委会、社区的公共服务和区域社会秩序的维护，在城市建设及管理中发挥着重要的作用。</w:t>
      </w:r>
    </w:p>
    <w:p>
      <w:pPr>
        <w:ind w:firstLine="624" w:firstLineChars="200"/>
        <w:jc w:val="lef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加强道路灯安装建设，不仅是维护社会和谐稳定的需要，也是有效解决“渗透性危机”的基本途径。通过加强道路灯安装建设，提升了政府的执政能力，是政府简政放权、放管结合、亲民便民、启动双引擎的一个抓手，不仅能节约行政成本，通过街改，还能释放全社会的创新活力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二、项目资金使用及管理情况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（一）项目资金安排落实、总投入等情况分析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道路灯安装建设补助资金用于道路灯安装建设，总投资144599.00万元，其中本级财政拨款安排144599.00万元。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（二）项目资金实际使用情况分析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该项目资金144599.00万元。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（三）项目资金管理情况分析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《道路灯安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eastAsia="zh-CN"/>
        </w:rPr>
        <w:t>装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建设资金管理办法》和东湾镇财务制度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三、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道路灯安装</w:t>
      </w: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实施情况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（一）项目组织情况分析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201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7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年道路灯安建设项目按预定方案确定的时间、方法和程序完成了东湾镇道路灯安装建设的整体维修、地坪的平整，达到了改善人文生活环境、提高了东湾镇居民的居住环境。</w:t>
      </w:r>
    </w:p>
    <w:p>
      <w:pPr>
        <w:spacing w:line="540" w:lineRule="exact"/>
        <w:ind w:firstLine="567" w:firstLineChars="181"/>
        <w:rPr>
          <w:rStyle w:val="18"/>
          <w:rFonts w:ascii="楷体" w:hAnsi="楷体" w:eastAsia="楷体"/>
          <w:spacing w:val="-4"/>
          <w:sz w:val="32"/>
          <w:szCs w:val="32"/>
        </w:rPr>
      </w:pPr>
      <w:r>
        <w:rPr>
          <w:rStyle w:val="18"/>
          <w:rFonts w:hint="eastAsia" w:ascii="楷体" w:hAnsi="楷体" w:eastAsia="楷体"/>
          <w:spacing w:val="-4"/>
          <w:sz w:val="32"/>
          <w:szCs w:val="32"/>
        </w:rPr>
        <w:t>（二）项目管理情况分析</w:t>
      </w:r>
    </w:p>
    <w:p>
      <w:pPr>
        <w:spacing w:line="540" w:lineRule="exact"/>
        <w:ind w:firstLine="624" w:firstLineChars="200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根据《道路灯安建设资金管理办法》和东湾镇财务制度的相关要求进行监督管理，资金的拨付使用报账制，即有发票、合同、清单、验收报告等，并由廉政效能监督委员会人员签字后方可支付。</w:t>
      </w:r>
    </w:p>
    <w:p>
      <w:pPr>
        <w:spacing w:line="540" w:lineRule="exact"/>
        <w:ind w:firstLine="640"/>
        <w:rPr>
          <w:rStyle w:val="18"/>
          <w:rFonts w:ascii="黑体" w:hAnsi="黑体" w:eastAsia="黑体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四、项目绩效情况</w:t>
      </w:r>
      <w:r>
        <w:rPr>
          <w:rStyle w:val="18"/>
          <w:rFonts w:hint="eastAsia" w:ascii="黑体" w:hAnsi="黑体" w:eastAsia="黑体"/>
        </w:rPr>
        <w:t xml:space="preserve"> 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（一）项目绩效目标完成情况分析</w:t>
      </w:r>
    </w:p>
    <w:p>
      <w:pPr>
        <w:spacing w:line="540" w:lineRule="exact"/>
        <w:ind w:firstLine="564" w:firstLineChars="181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201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  <w:lang w:val="en-US" w:eastAsia="zh-CN"/>
        </w:rPr>
        <w:t>7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年道路灯安建设补助资金及时足额到位，产出数量、质量符合标准规定。资金支出社会效益、经济效益、可持续效益显著提高和改善。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（二）项目绩效目标未完成原因分析</w:t>
      </w:r>
    </w:p>
    <w:p>
      <w:pPr>
        <w:spacing w:line="540" w:lineRule="exact"/>
        <w:ind w:firstLine="564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仿宋" w:hAnsi="仿宋" w:eastAsia="仿宋"/>
          <w:spacing w:val="-4"/>
          <w:sz w:val="32"/>
          <w:szCs w:val="32"/>
        </w:rPr>
        <w:t>项目按时完工。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五、其他需要说明的问题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（一）后续工作计划</w:t>
      </w:r>
    </w:p>
    <w:p>
      <w:pPr>
        <w:spacing w:line="540" w:lineRule="exact"/>
        <w:ind w:firstLine="567" w:firstLineChars="181"/>
        <w:rPr>
          <w:rFonts w:ascii="仿宋" w:hAnsi="仿宋" w:eastAsia="仿宋"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 xml:space="preserve"> </w:t>
      </w:r>
      <w:r>
        <w:rPr>
          <w:rFonts w:hint="eastAsia" w:ascii="仿宋" w:hAnsi="仿宋" w:eastAsia="仿宋"/>
          <w:spacing w:val="-4"/>
          <w:sz w:val="32"/>
          <w:szCs w:val="32"/>
        </w:rPr>
        <w:t>无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（二）主要经验及做法、存在问题和建议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主要经验：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道路灯安</w:t>
      </w:r>
      <w:r>
        <w:rPr>
          <w:rFonts w:hint="eastAsia" w:ascii="仿宋_GB2312" w:eastAsia="仿宋_GB2312"/>
          <w:spacing w:val="-4"/>
          <w:sz w:val="32"/>
          <w:szCs w:val="32"/>
        </w:rPr>
        <w:t>严格按照有关规定使用，并且由严格的财务审批程序，做到了资金专款专用。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存在问题：资金量难以预算精确。受市场、人工等因素的影响，资金难以以预算精确，往往出现支大于收的现象。</w:t>
      </w:r>
    </w:p>
    <w:p>
      <w:pPr>
        <w:pStyle w:val="15"/>
        <w:widowControl/>
        <w:spacing w:beforeAutospacing="0" w:afterAutospacing="0" w:line="22" w:lineRule="atLeast"/>
        <w:ind w:firstLine="420"/>
        <w:jc w:val="both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建议：一、建议政府加大对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道路灯安</w:t>
      </w:r>
      <w:r>
        <w:rPr>
          <w:rFonts w:hint="eastAsia" w:ascii="仿宋_GB2312" w:eastAsia="仿宋_GB2312"/>
          <w:spacing w:val="-4"/>
          <w:sz w:val="32"/>
          <w:szCs w:val="32"/>
        </w:rPr>
        <w:t>建设的投入；二是</w:t>
      </w:r>
      <w:r>
        <w:rPr>
          <w:rFonts w:ascii="仿宋_GB2312" w:eastAsia="仿宋_GB2312"/>
          <w:spacing w:val="-4"/>
          <w:sz w:val="32"/>
          <w:szCs w:val="32"/>
        </w:rPr>
        <w:t>确保专项经费及时足额到</w:t>
      </w:r>
      <w:r>
        <w:rPr>
          <w:rFonts w:hint="eastAsia" w:ascii="仿宋_GB2312" w:eastAsia="仿宋_GB2312"/>
          <w:spacing w:val="-4"/>
          <w:sz w:val="32"/>
          <w:szCs w:val="32"/>
        </w:rPr>
        <w:t>位；三是</w:t>
      </w:r>
      <w:r>
        <w:rPr>
          <w:rFonts w:ascii="仿宋_GB2312" w:eastAsia="仿宋_GB2312"/>
          <w:spacing w:val="-4"/>
          <w:sz w:val="32"/>
          <w:szCs w:val="32"/>
        </w:rPr>
        <w:t>进一步规范资金管理</w:t>
      </w:r>
      <w:r>
        <w:rPr>
          <w:rFonts w:hint="eastAsia" w:ascii="仿宋_GB2312" w:eastAsia="仿宋_GB2312"/>
          <w:spacing w:val="-4"/>
          <w:sz w:val="32"/>
          <w:szCs w:val="32"/>
        </w:rPr>
        <w:t>；四是</w:t>
      </w:r>
      <w:r>
        <w:rPr>
          <w:rFonts w:ascii="仿宋_GB2312" w:eastAsia="仿宋_GB2312"/>
          <w:spacing w:val="-4"/>
          <w:sz w:val="32"/>
          <w:szCs w:val="32"/>
        </w:rPr>
        <w:t>开展经常性督促检查，加强</w:t>
      </w: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道路灯安</w:t>
      </w:r>
      <w:r>
        <w:rPr>
          <w:rFonts w:ascii="仿宋_GB2312" w:eastAsia="仿宋_GB2312"/>
          <w:spacing w:val="-4"/>
          <w:sz w:val="32"/>
          <w:szCs w:val="32"/>
        </w:rPr>
        <w:t>建设和管理</w:t>
      </w:r>
      <w:r>
        <w:rPr>
          <w:rFonts w:hint="eastAsia" w:ascii="仿宋_GB2312" w:eastAsia="仿宋_GB2312"/>
          <w:spacing w:val="-4"/>
          <w:sz w:val="32"/>
          <w:szCs w:val="32"/>
        </w:rPr>
        <w:t>。</w:t>
      </w:r>
    </w:p>
    <w:p>
      <w:pPr>
        <w:spacing w:line="540" w:lineRule="exact"/>
        <w:ind w:firstLine="567" w:firstLineChars="181"/>
        <w:rPr>
          <w:rFonts w:ascii="楷体" w:hAnsi="楷体" w:eastAsia="楷体"/>
          <w:b/>
          <w:spacing w:val="-4"/>
          <w:sz w:val="32"/>
          <w:szCs w:val="32"/>
        </w:rPr>
      </w:pPr>
      <w:r>
        <w:rPr>
          <w:rFonts w:hint="eastAsia" w:ascii="楷体" w:hAnsi="楷体" w:eastAsia="楷体"/>
          <w:b/>
          <w:spacing w:val="-4"/>
          <w:sz w:val="32"/>
          <w:szCs w:val="32"/>
        </w:rPr>
        <w:t>（三）其他</w:t>
      </w:r>
    </w:p>
    <w:p>
      <w:pPr>
        <w:spacing w:line="540" w:lineRule="exact"/>
        <w:ind w:firstLine="564" w:firstLineChars="181"/>
        <w:rPr>
          <w:rFonts w:ascii="仿宋_GB2312" w:eastAsia="仿宋_GB2312"/>
          <w:spacing w:val="-4"/>
          <w:kern w:val="0"/>
          <w:sz w:val="32"/>
          <w:szCs w:val="32"/>
        </w:rPr>
      </w:pPr>
      <w:r>
        <w:rPr>
          <w:rFonts w:hint="eastAsia" w:ascii="仿宋_GB2312" w:eastAsia="仿宋_GB2312"/>
          <w:spacing w:val="-4"/>
          <w:kern w:val="0"/>
          <w:sz w:val="32"/>
          <w:szCs w:val="32"/>
        </w:rPr>
        <w:t>无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六、项目评价工作情况</w:t>
      </w:r>
    </w:p>
    <w:p>
      <w:pPr>
        <w:ind w:firstLine="624" w:firstLineChars="200"/>
        <w:rPr>
          <w:rFonts w:ascii="仿宋_GB2312" w:eastAsia="仿宋_GB2312"/>
          <w:spacing w:val="-4"/>
          <w:sz w:val="32"/>
          <w:szCs w:val="32"/>
        </w:rPr>
      </w:pPr>
      <w:r>
        <w:rPr>
          <w:rFonts w:hint="eastAsia" w:ascii="仿宋_GB2312" w:eastAsia="仿宋_GB2312"/>
          <w:spacing w:val="-4"/>
          <w:sz w:val="32"/>
          <w:szCs w:val="32"/>
        </w:rPr>
        <w:t>项目的进展及执行比较顺利，按计划完成；补助资金按时、足额到位，保障了项目的正常开展；资金的使用也严格按照有关规定使用，在资金使用过程中没有出现贪污、截留挪用等情况。</w:t>
      </w:r>
    </w:p>
    <w:p>
      <w:pPr>
        <w:spacing w:line="540" w:lineRule="exact"/>
        <w:ind w:firstLine="640"/>
        <w:rPr>
          <w:rStyle w:val="18"/>
          <w:rFonts w:ascii="黑体" w:hAnsi="黑体" w:eastAsia="黑体"/>
          <w:b w:val="0"/>
          <w:spacing w:val="-4"/>
          <w:sz w:val="32"/>
          <w:szCs w:val="32"/>
        </w:rPr>
      </w:pPr>
      <w:r>
        <w:rPr>
          <w:rStyle w:val="18"/>
          <w:rFonts w:hint="eastAsia" w:ascii="黑体" w:hAnsi="黑体" w:eastAsia="黑体"/>
          <w:b w:val="0"/>
          <w:spacing w:val="-4"/>
          <w:sz w:val="32"/>
          <w:szCs w:val="32"/>
        </w:rPr>
        <w:t>七、附表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  <w:r>
        <w:rPr>
          <w:rStyle w:val="18"/>
          <w:rFonts w:hint="eastAsia" w:ascii="仿宋" w:hAnsi="仿宋" w:eastAsia="仿宋"/>
          <w:b w:val="0"/>
          <w:spacing w:val="-4"/>
          <w:sz w:val="32"/>
          <w:szCs w:val="32"/>
        </w:rPr>
        <w:t>《自治州财政项目支出绩效自评表》</w:t>
      </w: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p>
      <w:pPr>
        <w:spacing w:line="540" w:lineRule="exact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tbl>
      <w:tblPr>
        <w:tblStyle w:val="20"/>
        <w:tblW w:w="9020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140"/>
        <w:gridCol w:w="1360"/>
        <w:gridCol w:w="1080"/>
        <w:gridCol w:w="880"/>
        <w:gridCol w:w="2060"/>
        <w:gridCol w:w="178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ind w:firstLine="1606" w:firstLineChars="500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自治州财政项目支出绩效自评表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9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</w:t>
            </w:r>
            <w:r>
              <w:rPr>
                <w:rFonts w:hint="eastAsia"/>
                <w:kern w:val="0"/>
                <w:sz w:val="24"/>
              </w:rPr>
              <w:t>201</w:t>
            </w:r>
            <w:r>
              <w:rPr>
                <w:rFonts w:hint="eastAsia"/>
                <w:kern w:val="0"/>
                <w:sz w:val="24"/>
                <w:lang w:val="en-US" w:eastAsia="zh-CN"/>
              </w:rPr>
              <w:t>7</w:t>
            </w:r>
            <w:r>
              <w:rPr>
                <w:kern w:val="0"/>
                <w:sz w:val="24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东湾镇道路灯安装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322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580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奇台县东湾镇人民政府　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预算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执行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预算数：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14.46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 xml:space="preserve"> 执行数：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14.46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9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14.46</w:t>
            </w:r>
          </w:p>
        </w:tc>
        <w:tc>
          <w:tcPr>
            <w:tcW w:w="206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其中：财政拨款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hint="eastAsia" w:ascii="宋体" w:hAnsi="宋体" w:eastAsia="宋体" w:cs="宋体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14.46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3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50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其他资金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righ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目标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预期目标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实际完成目标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446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按期完工</w:t>
            </w:r>
          </w:p>
        </w:tc>
        <w:tc>
          <w:tcPr>
            <w:tcW w:w="3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eastAsia="zh-CN"/>
              </w:rPr>
              <w:t>按期完工，投入使用，方便群众夜晚出行。</w:t>
            </w:r>
            <w:bookmarkStart w:id="0" w:name="_GoBack"/>
            <w:bookmarkEnd w:id="0"/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72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年度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绩效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完成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情况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预期指标值（包含数字及文字描述）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实际完成指标值（包含数字及文字描述）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项目完成指标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符合《昌吉州土地开发整理项目规划设计规范》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项目工程验收合格率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受益群众户数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2638户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2638户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受益群众人数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15680人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15680人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项目效果指标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项目覆盖村落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both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4个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项目区受益群众满意度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符合《昌吉州土地开发整理项目规划设计规范》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　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指标</w:t>
            </w:r>
          </w:p>
        </w:tc>
        <w:tc>
          <w:tcPr>
            <w:tcW w:w="136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受益群众户数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2638户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2638户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受益群众人数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15680人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15680人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项目覆盖村落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个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2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14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……</w:t>
            </w:r>
          </w:p>
        </w:tc>
        <w:tc>
          <w:tcPr>
            <w:tcW w:w="19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项目区受益群众满意度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  <w:tc>
          <w:tcPr>
            <w:tcW w:w="17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</w:rPr>
              <w:t>100%</w:t>
            </w:r>
          </w:p>
        </w:tc>
      </w:tr>
    </w:tbl>
    <w:p>
      <w:pPr>
        <w:spacing w:line="540" w:lineRule="exact"/>
        <w:ind w:firstLine="567"/>
        <w:rPr>
          <w:rStyle w:val="18"/>
          <w:rFonts w:ascii="仿宋" w:hAnsi="仿宋" w:eastAsia="仿宋"/>
          <w:b w:val="0"/>
          <w:spacing w:val="-4"/>
          <w:sz w:val="32"/>
          <w:szCs w:val="32"/>
        </w:rPr>
      </w:pPr>
    </w:p>
    <w:sectPr>
      <w:footerReference r:id="rId3" w:type="default"/>
      <w:pgSz w:w="11906" w:h="16838"/>
      <w:pgMar w:top="1440" w:right="1558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422003363"/>
      <w:docPartObj>
        <w:docPartGallery w:val="autotext"/>
      </w:docPartObj>
    </w:sdtPr>
    <w:sdtContent>
      <w:p>
        <w:pPr>
          <w:pStyle w:val="1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6</w:t>
        </w:r>
        <w:r>
          <w:fldChar w:fldCharType="end"/>
        </w:r>
      </w:p>
    </w:sdtContent>
  </w:sdt>
  <w:p>
    <w:pPr>
      <w:pStyle w:val="1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457"/>
    <w:rsid w:val="00026AEF"/>
    <w:rsid w:val="00041571"/>
    <w:rsid w:val="00056465"/>
    <w:rsid w:val="000C772F"/>
    <w:rsid w:val="000E0254"/>
    <w:rsid w:val="00121AE4"/>
    <w:rsid w:val="00121EAB"/>
    <w:rsid w:val="00146AAD"/>
    <w:rsid w:val="001B3A40"/>
    <w:rsid w:val="00327901"/>
    <w:rsid w:val="003C18BC"/>
    <w:rsid w:val="003F5FDC"/>
    <w:rsid w:val="004366A8"/>
    <w:rsid w:val="00464900"/>
    <w:rsid w:val="00502BA7"/>
    <w:rsid w:val="005162F1"/>
    <w:rsid w:val="00535153"/>
    <w:rsid w:val="00554F82"/>
    <w:rsid w:val="0056390D"/>
    <w:rsid w:val="005719B0"/>
    <w:rsid w:val="005D10D6"/>
    <w:rsid w:val="00672F61"/>
    <w:rsid w:val="006A1313"/>
    <w:rsid w:val="006D6762"/>
    <w:rsid w:val="00710795"/>
    <w:rsid w:val="00747CDF"/>
    <w:rsid w:val="007806A5"/>
    <w:rsid w:val="0079073C"/>
    <w:rsid w:val="00855E3A"/>
    <w:rsid w:val="008A1CE5"/>
    <w:rsid w:val="008B1585"/>
    <w:rsid w:val="008F7911"/>
    <w:rsid w:val="00922CB9"/>
    <w:rsid w:val="00943C0B"/>
    <w:rsid w:val="00980335"/>
    <w:rsid w:val="009E5CD9"/>
    <w:rsid w:val="00A26421"/>
    <w:rsid w:val="00A4293B"/>
    <w:rsid w:val="00A67D50"/>
    <w:rsid w:val="00A8691A"/>
    <w:rsid w:val="00AC1946"/>
    <w:rsid w:val="00AE0A54"/>
    <w:rsid w:val="00B40063"/>
    <w:rsid w:val="00B41F61"/>
    <w:rsid w:val="00BA46E6"/>
    <w:rsid w:val="00BB16D1"/>
    <w:rsid w:val="00C56C72"/>
    <w:rsid w:val="00CA6457"/>
    <w:rsid w:val="00D17F2E"/>
    <w:rsid w:val="00D30354"/>
    <w:rsid w:val="00DA5931"/>
    <w:rsid w:val="00DF42A0"/>
    <w:rsid w:val="00E46C51"/>
    <w:rsid w:val="00E769FE"/>
    <w:rsid w:val="00EA2CBE"/>
    <w:rsid w:val="00EF2DE0"/>
    <w:rsid w:val="00F017B2"/>
    <w:rsid w:val="00F32FEE"/>
    <w:rsid w:val="00FB10BB"/>
    <w:rsid w:val="00FF6701"/>
    <w:rsid w:val="55C45881"/>
    <w:rsid w:val="56CA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22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link w:val="23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/>
      <w:b/>
      <w:bCs/>
      <w:kern w:val="0"/>
      <w:sz w:val="26"/>
      <w:szCs w:val="26"/>
    </w:rPr>
  </w:style>
  <w:style w:type="paragraph" w:styleId="5">
    <w:name w:val="heading 4"/>
    <w:basedOn w:val="1"/>
    <w:next w:val="1"/>
    <w:link w:val="24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/>
      <w:b/>
      <w:bCs/>
      <w:kern w:val="0"/>
      <w:sz w:val="28"/>
      <w:szCs w:val="28"/>
    </w:rPr>
  </w:style>
  <w:style w:type="paragraph" w:styleId="6">
    <w:name w:val="heading 5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/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link w:val="26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/>
      <w:b/>
      <w:bCs/>
      <w:kern w:val="0"/>
      <w:sz w:val="22"/>
      <w:szCs w:val="22"/>
    </w:rPr>
  </w:style>
  <w:style w:type="paragraph" w:styleId="8">
    <w:name w:val="heading 7"/>
    <w:basedOn w:val="1"/>
    <w:next w:val="1"/>
    <w:link w:val="27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/>
      <w:kern w:val="0"/>
      <w:sz w:val="24"/>
    </w:rPr>
  </w:style>
  <w:style w:type="paragraph" w:styleId="9">
    <w:name w:val="heading 8"/>
    <w:basedOn w:val="1"/>
    <w:next w:val="1"/>
    <w:link w:val="28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/>
      <w:i/>
      <w:iCs/>
      <w:kern w:val="0"/>
      <w:sz w:val="24"/>
    </w:rPr>
  </w:style>
  <w:style w:type="paragraph" w:styleId="10">
    <w:name w:val="heading 9"/>
    <w:basedOn w:val="1"/>
    <w:next w:val="1"/>
    <w:link w:val="29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/>
      <w:kern w:val="0"/>
      <w:sz w:val="22"/>
      <w:szCs w:val="22"/>
    </w:rPr>
  </w:style>
  <w:style w:type="character" w:default="1" w:styleId="17">
    <w:name w:val="Default Paragraph Font"/>
    <w:semiHidden/>
    <w:unhideWhenUsed/>
    <w:uiPriority w:val="1"/>
  </w:style>
  <w:style w:type="table" w:default="1" w:styleId="2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alloon Text"/>
    <w:basedOn w:val="1"/>
    <w:link w:val="46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4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13">
    <w:name w:val="header"/>
    <w:basedOn w:val="1"/>
    <w:link w:val="44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14">
    <w:name w:val="Subtitle"/>
    <w:basedOn w:val="1"/>
    <w:next w:val="1"/>
    <w:link w:val="31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</w:rPr>
  </w:style>
  <w:style w:type="paragraph" w:styleId="15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16">
    <w:name w:val="Title"/>
    <w:basedOn w:val="1"/>
    <w:next w:val="1"/>
    <w:link w:val="30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styleId="18">
    <w:name w:val="Strong"/>
    <w:basedOn w:val="17"/>
    <w:qFormat/>
    <w:uiPriority w:val="0"/>
    <w:rPr>
      <w:b/>
      <w:bCs/>
    </w:rPr>
  </w:style>
  <w:style w:type="character" w:styleId="19">
    <w:name w:val="Emphasis"/>
    <w:basedOn w:val="17"/>
    <w:qFormat/>
    <w:uiPriority w:val="20"/>
    <w:rPr>
      <w:rFonts w:asciiTheme="minorHAnsi" w:hAnsiTheme="minorHAnsi"/>
      <w:b/>
      <w:i/>
      <w:iCs/>
    </w:rPr>
  </w:style>
  <w:style w:type="character" w:customStyle="1" w:styleId="21">
    <w:name w:val="标题 1 Char"/>
    <w:basedOn w:val="17"/>
    <w:link w:val="2"/>
    <w:qFormat/>
    <w:uiPriority w:val="9"/>
    <w:rPr>
      <w:rFonts w:asciiTheme="majorHAnsi" w:hAnsiTheme="majorHAnsi" w:eastAsiaTheme="majorEastAsia"/>
      <w:b/>
      <w:bCs/>
      <w:kern w:val="32"/>
      <w:sz w:val="32"/>
      <w:szCs w:val="32"/>
    </w:rPr>
  </w:style>
  <w:style w:type="character" w:customStyle="1" w:styleId="22">
    <w:name w:val="标题 2 Char"/>
    <w:basedOn w:val="17"/>
    <w:link w:val="3"/>
    <w:semiHidden/>
    <w:uiPriority w:val="9"/>
    <w:rPr>
      <w:rFonts w:asciiTheme="majorHAnsi" w:hAnsiTheme="majorHAnsi" w:eastAsiaTheme="majorEastAsia"/>
      <w:b/>
      <w:bCs/>
      <w:i/>
      <w:iCs/>
      <w:sz w:val="28"/>
      <w:szCs w:val="28"/>
    </w:rPr>
  </w:style>
  <w:style w:type="character" w:customStyle="1" w:styleId="23">
    <w:name w:val="标题 3 Char"/>
    <w:basedOn w:val="17"/>
    <w:link w:val="4"/>
    <w:semiHidden/>
    <w:uiPriority w:val="9"/>
    <w:rPr>
      <w:rFonts w:asciiTheme="majorHAnsi" w:hAnsiTheme="majorHAnsi" w:eastAsiaTheme="majorEastAsia"/>
      <w:b/>
      <w:bCs/>
      <w:sz w:val="26"/>
      <w:szCs w:val="26"/>
    </w:rPr>
  </w:style>
  <w:style w:type="character" w:customStyle="1" w:styleId="24">
    <w:name w:val="标题 4 Char"/>
    <w:basedOn w:val="17"/>
    <w:link w:val="5"/>
    <w:semiHidden/>
    <w:uiPriority w:val="9"/>
    <w:rPr>
      <w:b/>
      <w:bCs/>
      <w:sz w:val="28"/>
      <w:szCs w:val="28"/>
    </w:rPr>
  </w:style>
  <w:style w:type="character" w:customStyle="1" w:styleId="25">
    <w:name w:val="标题 5 Char"/>
    <w:basedOn w:val="17"/>
    <w:link w:val="6"/>
    <w:semiHidden/>
    <w:uiPriority w:val="9"/>
    <w:rPr>
      <w:b/>
      <w:bCs/>
      <w:i/>
      <w:iCs/>
      <w:sz w:val="26"/>
      <w:szCs w:val="26"/>
    </w:rPr>
  </w:style>
  <w:style w:type="character" w:customStyle="1" w:styleId="26">
    <w:name w:val="标题 6 Char"/>
    <w:basedOn w:val="17"/>
    <w:link w:val="7"/>
    <w:semiHidden/>
    <w:uiPriority w:val="9"/>
    <w:rPr>
      <w:b/>
      <w:bCs/>
    </w:rPr>
  </w:style>
  <w:style w:type="character" w:customStyle="1" w:styleId="27">
    <w:name w:val="标题 7 Char"/>
    <w:basedOn w:val="17"/>
    <w:link w:val="8"/>
    <w:semiHidden/>
    <w:uiPriority w:val="9"/>
    <w:rPr>
      <w:sz w:val="24"/>
      <w:szCs w:val="24"/>
    </w:rPr>
  </w:style>
  <w:style w:type="character" w:customStyle="1" w:styleId="28">
    <w:name w:val="标题 8 Char"/>
    <w:basedOn w:val="17"/>
    <w:link w:val="9"/>
    <w:semiHidden/>
    <w:qFormat/>
    <w:uiPriority w:val="9"/>
    <w:rPr>
      <w:i/>
      <w:iCs/>
      <w:sz w:val="24"/>
      <w:szCs w:val="24"/>
    </w:rPr>
  </w:style>
  <w:style w:type="character" w:customStyle="1" w:styleId="29">
    <w:name w:val="标题 9 Char"/>
    <w:basedOn w:val="17"/>
    <w:link w:val="10"/>
    <w:semiHidden/>
    <w:uiPriority w:val="9"/>
    <w:rPr>
      <w:rFonts w:asciiTheme="majorHAnsi" w:hAnsiTheme="majorHAnsi" w:eastAsiaTheme="majorEastAsia"/>
    </w:rPr>
  </w:style>
  <w:style w:type="character" w:customStyle="1" w:styleId="30">
    <w:name w:val="标题 Char"/>
    <w:basedOn w:val="17"/>
    <w:link w:val="16"/>
    <w:uiPriority w:val="10"/>
    <w:rPr>
      <w:rFonts w:asciiTheme="majorHAnsi" w:hAnsiTheme="majorHAnsi" w:eastAsiaTheme="majorEastAsia"/>
      <w:b/>
      <w:bCs/>
      <w:kern w:val="28"/>
      <w:sz w:val="32"/>
      <w:szCs w:val="32"/>
    </w:rPr>
  </w:style>
  <w:style w:type="character" w:customStyle="1" w:styleId="31">
    <w:name w:val="副标题 Char"/>
    <w:basedOn w:val="17"/>
    <w:link w:val="14"/>
    <w:uiPriority w:val="11"/>
    <w:rPr>
      <w:rFonts w:asciiTheme="majorHAnsi" w:hAnsiTheme="majorHAnsi" w:eastAsiaTheme="majorEastAsia"/>
      <w:sz w:val="24"/>
      <w:szCs w:val="24"/>
    </w:rPr>
  </w:style>
  <w:style w:type="paragraph" w:styleId="32">
    <w:name w:val="No Spacing"/>
    <w:basedOn w:val="1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paragraph" w:styleId="33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4">
    <w:name w:val="Quote"/>
    <w:basedOn w:val="1"/>
    <w:next w:val="1"/>
    <w:link w:val="35"/>
    <w:qFormat/>
    <w:uiPriority w:val="29"/>
    <w:pPr>
      <w:widowControl/>
      <w:jc w:val="left"/>
    </w:pPr>
    <w:rPr>
      <w:rFonts w:asciiTheme="minorHAnsi" w:hAnsiTheme="minorHAnsi" w:eastAsiaTheme="minorEastAsia"/>
      <w:i/>
      <w:kern w:val="0"/>
      <w:sz w:val="24"/>
    </w:rPr>
  </w:style>
  <w:style w:type="character" w:customStyle="1" w:styleId="35">
    <w:name w:val="引用 Char"/>
    <w:basedOn w:val="17"/>
    <w:link w:val="34"/>
    <w:uiPriority w:val="29"/>
    <w:rPr>
      <w:i/>
      <w:sz w:val="24"/>
      <w:szCs w:val="24"/>
    </w:rPr>
  </w:style>
  <w:style w:type="paragraph" w:styleId="36">
    <w:name w:val="Intense Quote"/>
    <w:basedOn w:val="1"/>
    <w:next w:val="1"/>
    <w:link w:val="37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/>
      <w:b/>
      <w:i/>
      <w:kern w:val="0"/>
      <w:sz w:val="24"/>
      <w:szCs w:val="22"/>
    </w:rPr>
  </w:style>
  <w:style w:type="character" w:customStyle="1" w:styleId="37">
    <w:name w:val="明显引用 Char"/>
    <w:basedOn w:val="17"/>
    <w:link w:val="36"/>
    <w:uiPriority w:val="30"/>
    <w:rPr>
      <w:b/>
      <w:i/>
      <w:sz w:val="24"/>
    </w:rPr>
  </w:style>
  <w:style w:type="character" w:customStyle="1" w:styleId="38">
    <w:name w:val="Subtle Emphasis"/>
    <w:qFormat/>
    <w:uiPriority w:val="19"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9">
    <w:name w:val="Intense Emphasis"/>
    <w:basedOn w:val="17"/>
    <w:qFormat/>
    <w:uiPriority w:val="21"/>
    <w:rPr>
      <w:b/>
      <w:i/>
      <w:sz w:val="24"/>
      <w:szCs w:val="24"/>
      <w:u w:val="single"/>
    </w:rPr>
  </w:style>
  <w:style w:type="character" w:customStyle="1" w:styleId="40">
    <w:name w:val="Subtle Reference"/>
    <w:basedOn w:val="17"/>
    <w:qFormat/>
    <w:uiPriority w:val="31"/>
    <w:rPr>
      <w:sz w:val="24"/>
      <w:szCs w:val="24"/>
      <w:u w:val="single"/>
    </w:rPr>
  </w:style>
  <w:style w:type="character" w:customStyle="1" w:styleId="41">
    <w:name w:val="Intense Reference"/>
    <w:basedOn w:val="17"/>
    <w:qFormat/>
    <w:uiPriority w:val="32"/>
    <w:rPr>
      <w:b/>
      <w:sz w:val="24"/>
      <w:u w:val="single"/>
    </w:rPr>
  </w:style>
  <w:style w:type="character" w:customStyle="1" w:styleId="42">
    <w:name w:val="Book Title"/>
    <w:basedOn w:val="17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3">
    <w:name w:val="TOC Heading"/>
    <w:basedOn w:val="2"/>
    <w:next w:val="1"/>
    <w:semiHidden/>
    <w:unhideWhenUsed/>
    <w:qFormat/>
    <w:uiPriority w:val="39"/>
    <w:pPr>
      <w:outlineLvl w:val="9"/>
    </w:pPr>
    <w:rPr>
      <w:lang w:eastAsia="en-US" w:bidi="en-US"/>
    </w:rPr>
  </w:style>
  <w:style w:type="character" w:customStyle="1" w:styleId="44">
    <w:name w:val="页眉 Char"/>
    <w:basedOn w:val="17"/>
    <w:link w:val="13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5">
    <w:name w:val="页脚 Char"/>
    <w:basedOn w:val="17"/>
    <w:link w:val="12"/>
    <w:uiPriority w:val="99"/>
    <w:rPr>
      <w:rFonts w:ascii="Calibri" w:hAnsi="Calibri" w:eastAsia="宋体"/>
      <w:kern w:val="2"/>
      <w:sz w:val="18"/>
      <w:szCs w:val="18"/>
    </w:rPr>
  </w:style>
  <w:style w:type="character" w:customStyle="1" w:styleId="46">
    <w:name w:val="批注框文本 Char"/>
    <w:basedOn w:val="17"/>
    <w:link w:val="11"/>
    <w:semiHidden/>
    <w:uiPriority w:val="99"/>
    <w:rPr>
      <w:rFonts w:ascii="Times New Roman" w:hAnsi="Times New Roman" w:eastAsia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0968AA-6B9A-43ED-A774-7FB47763969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349</Words>
  <Characters>1990</Characters>
  <Lines>16</Lines>
  <Paragraphs>4</Paragraphs>
  <TotalTime>8</TotalTime>
  <ScaleCrop>false</ScaleCrop>
  <LinksUpToDate>false</LinksUpToDate>
  <CharactersWithSpaces>2335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2019-01-15T05:53:00Z</dcterms:created>
  <dc:creator>赵 恺（预算处）</dc:creator>
  <cp:lastModifiedBy>1</cp:lastModifiedBy>
  <cp:lastPrinted>2019-01-13T12:20:00Z</cp:lastPrinted>
  <dcterms:modified xsi:type="dcterms:W3CDTF">2018-09-05T07:39:20Z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