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bookmarkStart w:id="0" w:name="_GoBack"/>
      <w:bookmarkEnd w:id="0"/>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基层政权机构建设农牧民培训中心装修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东湾镇人民政府</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奇台县财政局</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郑君</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6"/>
          <w:rFonts w:ascii="黑体" w:hAnsi="黑体" w:eastAsia="黑体"/>
          <w:b w:val="0"/>
          <w:spacing w:val="-4"/>
          <w:sz w:val="32"/>
          <w:szCs w:val="32"/>
        </w:rPr>
      </w:pPr>
    </w:p>
    <w:p>
      <w:pPr>
        <w:spacing w:line="540" w:lineRule="exact"/>
        <w:ind w:firstLine="640"/>
        <w:rPr>
          <w:rStyle w:val="16"/>
          <w:rFonts w:ascii="黑体" w:hAnsi="黑体" w:eastAsia="黑体"/>
          <w:b w:val="0"/>
          <w:spacing w:val="-4"/>
          <w:sz w:val="32"/>
          <w:szCs w:val="32"/>
        </w:rPr>
      </w:pPr>
      <w:r>
        <w:rPr>
          <w:rStyle w:val="16"/>
          <w:rFonts w:hint="eastAsia" w:ascii="黑体" w:hAnsi="黑体" w:eastAsia="黑体"/>
          <w:b w:val="0"/>
          <w:spacing w:val="-4"/>
          <w:sz w:val="32"/>
          <w:szCs w:val="32"/>
        </w:rPr>
        <w:t>一、项目概况</w:t>
      </w:r>
    </w:p>
    <w:p>
      <w:pPr>
        <w:spacing w:line="540" w:lineRule="exact"/>
        <w:ind w:firstLine="567"/>
        <w:rPr>
          <w:rStyle w:val="16"/>
          <w:rFonts w:hint="eastAsia" w:ascii="楷体" w:hAnsi="楷体" w:eastAsia="楷体"/>
          <w:spacing w:val="-4"/>
          <w:sz w:val="32"/>
          <w:szCs w:val="32"/>
        </w:rPr>
      </w:pPr>
      <w:r>
        <w:rPr>
          <w:rStyle w:val="16"/>
          <w:rFonts w:hint="eastAsia" w:ascii="楷体" w:hAnsi="楷体" w:eastAsia="楷体"/>
          <w:spacing w:val="-4"/>
          <w:sz w:val="32"/>
          <w:szCs w:val="32"/>
        </w:rPr>
        <w:t>（一）项目单位基本情况</w:t>
      </w:r>
    </w:p>
    <w:p>
      <w:pPr>
        <w:spacing w:line="540" w:lineRule="exact"/>
        <w:ind w:firstLine="564" w:firstLineChars="181"/>
        <w:rPr>
          <w:rStyle w:val="16"/>
          <w:rFonts w:hint="eastAsia" w:ascii="仿宋" w:hAnsi="仿宋" w:eastAsia="仿宋"/>
          <w:b w:val="0"/>
          <w:spacing w:val="-4"/>
          <w:sz w:val="32"/>
          <w:szCs w:val="32"/>
        </w:rPr>
      </w:pPr>
      <w:r>
        <w:rPr>
          <w:rStyle w:val="16"/>
          <w:rFonts w:hint="eastAsia" w:ascii="仿宋" w:hAnsi="仿宋" w:eastAsia="仿宋"/>
          <w:b w:val="0"/>
          <w:spacing w:val="-4"/>
          <w:sz w:val="32"/>
          <w:szCs w:val="32"/>
        </w:rPr>
        <w:t>东湾镇位于城西南22km处，东临吉布库镇，西接吉木萨尔县，南依天山，北至大泉塔塔尔族乡。全镇总面积192平方公里，有4个行政村，52个村民小组,26个片组。总耕地面积15.28万亩（其中：水浇地14.5万亩，旱地0.78万亩。确权后合同地11.7万亩，人均耕地10亩）。▲境内有两个水库（白杨河和根葛尔水库）分别是根葛尔水库（小型），库容120万立方，年均引水量260万立方；白杨河水库（中型），库容990万方，年均引水量3400万方，占来水量的45%。</w:t>
      </w:r>
    </w:p>
    <w:p>
      <w:pPr>
        <w:spacing w:line="540" w:lineRule="exact"/>
        <w:ind w:firstLine="564" w:firstLineChars="181"/>
        <w:rPr>
          <w:rStyle w:val="16"/>
          <w:rFonts w:hint="eastAsia" w:ascii="仿宋" w:hAnsi="仿宋" w:eastAsia="仿宋"/>
          <w:b w:val="0"/>
          <w:spacing w:val="-4"/>
          <w:sz w:val="32"/>
          <w:szCs w:val="32"/>
        </w:rPr>
      </w:pPr>
      <w:r>
        <w:rPr>
          <w:rStyle w:val="16"/>
          <w:rFonts w:hint="eastAsia" w:ascii="仿宋" w:hAnsi="仿宋" w:eastAsia="仿宋"/>
          <w:b w:val="0"/>
          <w:spacing w:val="-4"/>
          <w:sz w:val="32"/>
          <w:szCs w:val="32"/>
        </w:rPr>
        <w:t>2017年全镇实现生产总值5.1亿元，增速6%以上，实现农村居民可支配收入17407元，较上年增加802元，增幅4.6%。</w:t>
      </w:r>
    </w:p>
    <w:p>
      <w:pPr>
        <w:spacing w:line="540" w:lineRule="exact"/>
        <w:ind w:firstLine="313" w:firstLineChars="100"/>
        <w:rPr>
          <w:rStyle w:val="16"/>
          <w:rFonts w:ascii="楷体" w:hAnsi="楷体" w:eastAsia="楷体"/>
          <w:spacing w:val="-4"/>
          <w:sz w:val="32"/>
          <w:szCs w:val="32"/>
        </w:rPr>
      </w:pPr>
      <w:r>
        <w:rPr>
          <w:rStyle w:val="16"/>
          <w:rFonts w:hint="eastAsia" w:ascii="楷体" w:hAnsi="楷体" w:eastAsia="楷体"/>
          <w:spacing w:val="-4"/>
          <w:sz w:val="32"/>
          <w:szCs w:val="32"/>
        </w:rPr>
        <w:t>（二）项目预算</w:t>
      </w:r>
      <w:r>
        <w:rPr>
          <w:rStyle w:val="16"/>
          <w:rFonts w:ascii="楷体" w:hAnsi="楷体" w:eastAsia="楷体"/>
          <w:spacing w:val="-4"/>
          <w:sz w:val="32"/>
          <w:szCs w:val="32"/>
        </w:rPr>
        <w:t>绩效目标</w:t>
      </w:r>
      <w:r>
        <w:rPr>
          <w:rStyle w:val="16"/>
          <w:rFonts w:hint="eastAsia" w:ascii="楷体" w:hAnsi="楷体" w:eastAsia="楷体"/>
          <w:spacing w:val="-4"/>
          <w:sz w:val="32"/>
          <w:szCs w:val="32"/>
        </w:rPr>
        <w:t>设定情况</w:t>
      </w:r>
    </w:p>
    <w:p>
      <w:pPr>
        <w:spacing w:line="540" w:lineRule="exact"/>
        <w:ind w:firstLine="564" w:firstLineChars="181"/>
        <w:rPr>
          <w:rStyle w:val="16"/>
          <w:rFonts w:ascii="仿宋" w:hAnsi="仿宋" w:eastAsia="仿宋"/>
          <w:b w:val="0"/>
          <w:spacing w:val="-4"/>
          <w:sz w:val="32"/>
          <w:szCs w:val="32"/>
          <w:lang w:val="en-US"/>
        </w:rPr>
      </w:pPr>
      <w:r>
        <w:rPr>
          <w:rStyle w:val="16"/>
          <w:rFonts w:hint="eastAsia" w:ascii="仿宋" w:hAnsi="仿宋" w:eastAsia="仿宋"/>
          <w:b w:val="0"/>
          <w:spacing w:val="-4"/>
          <w:sz w:val="32"/>
          <w:szCs w:val="32"/>
          <w:lang w:eastAsia="zh-CN"/>
        </w:rPr>
        <w:t>项目建成后，有效改善农牧民培训环境、提高培训效率，提升农牧民满意度</w:t>
      </w:r>
    </w:p>
    <w:p>
      <w:pPr>
        <w:spacing w:line="540" w:lineRule="exact"/>
        <w:ind w:firstLine="640"/>
        <w:rPr>
          <w:rStyle w:val="16"/>
          <w:rFonts w:ascii="黑体" w:hAnsi="黑体" w:eastAsia="黑体"/>
          <w:b w:val="0"/>
          <w:spacing w:val="-4"/>
          <w:sz w:val="32"/>
          <w:szCs w:val="32"/>
        </w:rPr>
      </w:pPr>
      <w:r>
        <w:rPr>
          <w:rStyle w:val="16"/>
          <w:rFonts w:hint="eastAsia" w:ascii="黑体" w:hAnsi="黑体" w:eastAsia="黑体"/>
          <w:b w:val="0"/>
          <w:spacing w:val="-4"/>
          <w:sz w:val="32"/>
          <w:szCs w:val="32"/>
        </w:rPr>
        <w:t>二、项目资金使用及管理情况</w:t>
      </w:r>
    </w:p>
    <w:p>
      <w:pPr>
        <w:spacing w:line="540" w:lineRule="exact"/>
        <w:ind w:firstLine="567" w:firstLineChars="181"/>
        <w:rPr>
          <w:rStyle w:val="16"/>
          <w:rFonts w:ascii="楷体" w:hAnsi="楷体" w:eastAsia="楷体"/>
          <w:spacing w:val="-4"/>
          <w:sz w:val="32"/>
          <w:szCs w:val="32"/>
        </w:rPr>
      </w:pPr>
      <w:r>
        <w:rPr>
          <w:rStyle w:val="16"/>
          <w:rFonts w:hint="eastAsia" w:ascii="楷体" w:hAnsi="楷体" w:eastAsia="楷体"/>
          <w:spacing w:val="-4"/>
          <w:sz w:val="32"/>
          <w:szCs w:val="32"/>
        </w:rPr>
        <w:t>（一）项目资金安排落实、总投入等情况分析</w:t>
      </w:r>
    </w:p>
    <w:p>
      <w:pPr>
        <w:spacing w:line="540" w:lineRule="exact"/>
        <w:ind w:firstLine="564" w:firstLineChars="181"/>
        <w:rPr>
          <w:rStyle w:val="16"/>
          <w:rFonts w:hint="eastAsia" w:ascii="仿宋" w:hAnsi="仿宋" w:eastAsia="仿宋"/>
          <w:b w:val="0"/>
          <w:spacing w:val="-4"/>
          <w:sz w:val="32"/>
          <w:szCs w:val="32"/>
          <w:lang w:val="en-US" w:eastAsia="zh-CN"/>
        </w:rPr>
      </w:pPr>
      <w:r>
        <w:rPr>
          <w:rStyle w:val="16"/>
          <w:rFonts w:hint="eastAsia" w:ascii="仿宋" w:hAnsi="仿宋" w:eastAsia="仿宋"/>
          <w:b w:val="0"/>
          <w:spacing w:val="-4"/>
          <w:sz w:val="32"/>
          <w:szCs w:val="32"/>
          <w:lang w:eastAsia="zh-CN"/>
        </w:rPr>
        <w:t>建设项目资金用于农牧民培训中心室内外装修及配套设施建设，总投资</w:t>
      </w:r>
      <w:r>
        <w:rPr>
          <w:rStyle w:val="16"/>
          <w:rFonts w:hint="eastAsia" w:ascii="仿宋" w:hAnsi="仿宋" w:eastAsia="仿宋"/>
          <w:b w:val="0"/>
          <w:spacing w:val="-4"/>
          <w:sz w:val="32"/>
          <w:szCs w:val="32"/>
          <w:lang w:val="en-US" w:eastAsia="zh-CN"/>
        </w:rPr>
        <w:t>103.07万。</w:t>
      </w:r>
    </w:p>
    <w:p>
      <w:pPr>
        <w:spacing w:line="540" w:lineRule="exact"/>
        <w:ind w:firstLine="567" w:firstLineChars="181"/>
        <w:rPr>
          <w:rStyle w:val="16"/>
          <w:rFonts w:ascii="楷体" w:hAnsi="楷体" w:eastAsia="楷体"/>
          <w:spacing w:val="-4"/>
          <w:sz w:val="32"/>
          <w:szCs w:val="32"/>
        </w:rPr>
      </w:pPr>
      <w:r>
        <w:rPr>
          <w:rStyle w:val="16"/>
          <w:rFonts w:hint="eastAsia" w:ascii="楷体" w:hAnsi="楷体" w:eastAsia="楷体"/>
          <w:spacing w:val="-4"/>
          <w:sz w:val="32"/>
          <w:szCs w:val="32"/>
        </w:rPr>
        <w:t>（二）项目资金实际使用情况分析</w:t>
      </w:r>
    </w:p>
    <w:p>
      <w:pPr>
        <w:spacing w:line="540" w:lineRule="exact"/>
        <w:ind w:firstLine="624" w:firstLineChars="200"/>
        <w:rPr>
          <w:rStyle w:val="16"/>
          <w:rFonts w:hint="eastAsia" w:ascii="仿宋" w:hAnsi="仿宋" w:eastAsia="仿宋"/>
          <w:b w:val="0"/>
          <w:spacing w:val="-4"/>
          <w:sz w:val="32"/>
          <w:szCs w:val="32"/>
          <w:lang w:eastAsia="zh-CN"/>
        </w:rPr>
      </w:pPr>
      <w:r>
        <w:rPr>
          <w:rStyle w:val="16"/>
          <w:rFonts w:hint="eastAsia" w:ascii="仿宋" w:hAnsi="仿宋" w:eastAsia="仿宋"/>
          <w:b w:val="0"/>
          <w:spacing w:val="-4"/>
          <w:sz w:val="32"/>
          <w:szCs w:val="32"/>
          <w:lang w:eastAsia="zh-CN"/>
        </w:rPr>
        <w:t>该项目资金</w:t>
      </w:r>
      <w:r>
        <w:rPr>
          <w:rStyle w:val="16"/>
          <w:rFonts w:hint="eastAsia" w:ascii="仿宋" w:hAnsi="仿宋" w:eastAsia="仿宋"/>
          <w:b w:val="0"/>
          <w:spacing w:val="-4"/>
          <w:sz w:val="32"/>
          <w:szCs w:val="32"/>
          <w:lang w:val="en-US" w:eastAsia="zh-CN"/>
        </w:rPr>
        <w:t>103.07万，其中装修材料70.07万，人工费用30万。</w:t>
      </w:r>
    </w:p>
    <w:p>
      <w:pPr>
        <w:spacing w:line="540" w:lineRule="exact"/>
        <w:ind w:firstLine="567" w:firstLineChars="181"/>
        <w:rPr>
          <w:rStyle w:val="16"/>
          <w:rFonts w:ascii="楷体" w:hAnsi="楷体" w:eastAsia="楷体"/>
          <w:spacing w:val="-4"/>
          <w:sz w:val="32"/>
          <w:szCs w:val="32"/>
        </w:rPr>
      </w:pPr>
      <w:r>
        <w:rPr>
          <w:rStyle w:val="16"/>
          <w:rFonts w:hint="eastAsia" w:ascii="楷体" w:hAnsi="楷体" w:eastAsia="楷体"/>
          <w:spacing w:val="-4"/>
          <w:sz w:val="32"/>
          <w:szCs w:val="32"/>
        </w:rPr>
        <w:t>（三）项目资金管理情况分析</w:t>
      </w:r>
    </w:p>
    <w:p>
      <w:pPr>
        <w:spacing w:line="540" w:lineRule="exact"/>
        <w:ind w:firstLine="640"/>
        <w:rPr>
          <w:rStyle w:val="16"/>
          <w:rFonts w:hint="eastAsia" w:ascii="仿宋" w:hAnsi="仿宋" w:eastAsia="仿宋"/>
          <w:b w:val="0"/>
          <w:spacing w:val="-4"/>
          <w:sz w:val="32"/>
          <w:szCs w:val="32"/>
          <w:lang w:eastAsia="zh-CN"/>
        </w:rPr>
      </w:pPr>
      <w:r>
        <w:rPr>
          <w:rStyle w:val="16"/>
          <w:rFonts w:hint="eastAsia" w:ascii="仿宋" w:hAnsi="仿宋" w:eastAsia="仿宋"/>
          <w:b w:val="0"/>
          <w:spacing w:val="-4"/>
          <w:sz w:val="32"/>
          <w:szCs w:val="32"/>
          <w:lang w:eastAsia="zh-CN"/>
        </w:rPr>
        <w:t>《基层政权建设资金管理办法》和东湾镇财务制度。</w:t>
      </w:r>
    </w:p>
    <w:p>
      <w:pPr>
        <w:spacing w:line="540" w:lineRule="exact"/>
        <w:ind w:firstLine="640"/>
        <w:rPr>
          <w:rStyle w:val="16"/>
          <w:rFonts w:ascii="黑体" w:hAnsi="黑体" w:eastAsia="黑体"/>
          <w:b w:val="0"/>
          <w:spacing w:val="-4"/>
          <w:sz w:val="32"/>
          <w:szCs w:val="32"/>
        </w:rPr>
      </w:pPr>
      <w:r>
        <w:rPr>
          <w:rStyle w:val="16"/>
          <w:rFonts w:hint="eastAsia" w:ascii="黑体" w:hAnsi="黑体" w:eastAsia="黑体"/>
          <w:b w:val="0"/>
          <w:spacing w:val="-4"/>
          <w:sz w:val="32"/>
          <w:szCs w:val="32"/>
        </w:rPr>
        <w:t>三、项目组织实施情况</w:t>
      </w:r>
    </w:p>
    <w:p>
      <w:pPr>
        <w:spacing w:line="540" w:lineRule="exact"/>
        <w:ind w:firstLine="567" w:firstLineChars="181"/>
        <w:rPr>
          <w:rStyle w:val="16"/>
          <w:rFonts w:ascii="楷体" w:hAnsi="楷体" w:eastAsia="楷体"/>
          <w:spacing w:val="-4"/>
          <w:sz w:val="32"/>
          <w:szCs w:val="32"/>
        </w:rPr>
      </w:pPr>
      <w:r>
        <w:rPr>
          <w:rStyle w:val="16"/>
          <w:rFonts w:hint="eastAsia" w:ascii="楷体" w:hAnsi="楷体" w:eastAsia="楷体"/>
          <w:spacing w:val="-4"/>
          <w:sz w:val="32"/>
          <w:szCs w:val="32"/>
        </w:rPr>
        <w:t>（一）项目组织情况分析</w:t>
      </w:r>
    </w:p>
    <w:p>
      <w:pPr>
        <w:spacing w:line="540" w:lineRule="exact"/>
        <w:ind w:firstLine="624" w:firstLineChars="200"/>
        <w:rPr>
          <w:rStyle w:val="16"/>
          <w:rFonts w:ascii="仿宋" w:hAnsi="仿宋" w:eastAsia="仿宋"/>
          <w:b w:val="0"/>
          <w:spacing w:val="-4"/>
          <w:sz w:val="32"/>
          <w:szCs w:val="32"/>
        </w:rPr>
      </w:pPr>
      <w:r>
        <w:rPr>
          <w:rStyle w:val="16"/>
          <w:rFonts w:hint="eastAsia" w:ascii="仿宋" w:hAnsi="仿宋" w:eastAsia="仿宋"/>
          <w:b w:val="0"/>
          <w:spacing w:val="-4"/>
          <w:sz w:val="32"/>
          <w:szCs w:val="32"/>
          <w:lang w:val="en-US" w:eastAsia="zh-CN"/>
        </w:rPr>
        <w:t>2017年基层政权机构建设农牧民培训中心装修项目按预定方案确定的时间、方法和程序完成了房屋的装修、院落草坪的平整、培训设备购置，达到了培训开展的基础性建设。</w:t>
      </w:r>
    </w:p>
    <w:p>
      <w:pPr>
        <w:spacing w:line="540" w:lineRule="exact"/>
        <w:ind w:firstLine="567" w:firstLineChars="181"/>
        <w:rPr>
          <w:rStyle w:val="16"/>
          <w:rFonts w:ascii="楷体" w:hAnsi="楷体" w:eastAsia="楷体"/>
          <w:spacing w:val="-4"/>
          <w:sz w:val="32"/>
          <w:szCs w:val="32"/>
        </w:rPr>
      </w:pPr>
      <w:r>
        <w:rPr>
          <w:rStyle w:val="16"/>
          <w:rFonts w:hint="eastAsia" w:ascii="楷体" w:hAnsi="楷体" w:eastAsia="楷体"/>
          <w:spacing w:val="-4"/>
          <w:sz w:val="32"/>
          <w:szCs w:val="32"/>
        </w:rPr>
        <w:t>（二）项目管理情况分析</w:t>
      </w:r>
    </w:p>
    <w:p>
      <w:pPr>
        <w:spacing w:line="540" w:lineRule="exact"/>
        <w:ind w:firstLine="624" w:firstLineChars="200"/>
        <w:rPr>
          <w:rStyle w:val="16"/>
          <w:rFonts w:ascii="仿宋" w:hAnsi="仿宋" w:eastAsia="仿宋"/>
          <w:b w:val="0"/>
          <w:spacing w:val="-4"/>
          <w:sz w:val="32"/>
          <w:szCs w:val="32"/>
          <w:highlight w:val="yellow"/>
          <w:lang w:val="en-US"/>
        </w:rPr>
      </w:pPr>
      <w:r>
        <w:rPr>
          <w:rStyle w:val="16"/>
          <w:rFonts w:hint="eastAsia" w:ascii="仿宋" w:hAnsi="仿宋" w:eastAsia="仿宋" w:cs="Times New Roman"/>
          <w:b w:val="0"/>
          <w:spacing w:val="-4"/>
          <w:sz w:val="32"/>
          <w:szCs w:val="32"/>
          <w:highlight w:val="none"/>
          <w:lang w:val="en-US" w:eastAsia="zh-CN"/>
        </w:rPr>
        <w:t>根据《基层政权建设资金管理办法》和东湾湾镇财务制度的相关要求进行监督管理，资金的拨付使用报账制，即有发票、合同、清单、验收报告等，并由廉政效能监督委员会人员签字后方可支付。</w:t>
      </w:r>
    </w:p>
    <w:p>
      <w:pPr>
        <w:spacing w:line="540" w:lineRule="exact"/>
        <w:ind w:firstLine="640"/>
        <w:rPr>
          <w:rStyle w:val="16"/>
          <w:rFonts w:ascii="黑体" w:hAnsi="黑体" w:eastAsia="黑体"/>
        </w:rPr>
      </w:pPr>
      <w:r>
        <w:rPr>
          <w:rStyle w:val="16"/>
          <w:rFonts w:hint="eastAsia" w:ascii="黑体" w:hAnsi="黑体" w:eastAsia="黑体"/>
          <w:b w:val="0"/>
          <w:spacing w:val="-4"/>
          <w:sz w:val="32"/>
          <w:szCs w:val="32"/>
        </w:rPr>
        <w:t>四、项目绩效情况</w:t>
      </w:r>
      <w:r>
        <w:rPr>
          <w:rStyle w:val="16"/>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6"/>
          <w:rFonts w:ascii="仿宋" w:hAnsi="仿宋" w:eastAsia="仿宋"/>
          <w:b w:val="0"/>
          <w:spacing w:val="-4"/>
          <w:sz w:val="32"/>
          <w:szCs w:val="32"/>
        </w:rPr>
      </w:pPr>
      <w:r>
        <w:rPr>
          <w:rStyle w:val="16"/>
          <w:rFonts w:hint="eastAsia" w:ascii="仿宋" w:hAnsi="仿宋" w:eastAsia="仿宋"/>
          <w:b w:val="0"/>
          <w:spacing w:val="-4"/>
          <w:sz w:val="32"/>
          <w:szCs w:val="32"/>
          <w:highlight w:val="none"/>
          <w:lang w:val="en-US" w:eastAsia="zh-CN"/>
        </w:rPr>
        <w:t>2017年基层政权机构建设补助资金及时足额到位，产出数量、质量符合标准规定。资金支出社会效益、经济效益、可持续效益显著提高和改善。</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Fonts w:hint="eastAsia" w:ascii="仿宋" w:hAnsi="仿宋" w:eastAsia="仿宋"/>
          <w:spacing w:val="-4"/>
          <w:sz w:val="32"/>
          <w:szCs w:val="32"/>
          <w:highlight w:val="none"/>
          <w:lang w:val="en-US" w:eastAsia="zh-CN"/>
        </w:rPr>
        <w:t>项目按时完工。</w:t>
      </w:r>
    </w:p>
    <w:p>
      <w:pPr>
        <w:spacing w:line="540" w:lineRule="exact"/>
        <w:ind w:firstLine="640"/>
        <w:rPr>
          <w:rStyle w:val="16"/>
          <w:rFonts w:ascii="黑体" w:hAnsi="黑体" w:eastAsia="黑体"/>
          <w:b w:val="0"/>
          <w:spacing w:val="-4"/>
          <w:sz w:val="32"/>
          <w:szCs w:val="32"/>
        </w:rPr>
      </w:pPr>
      <w:r>
        <w:rPr>
          <w:rStyle w:val="16"/>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firstLineChars="181"/>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主要经验：项目资金严格按照有关规定使用，并且由严格的财务审批程序，做到了资金专款专用。</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存在问题：资金量难以预算精确。受市场、人工等因素的影响，资金难以以预算精确，往往出现支大于收的现象。</w:t>
      </w:r>
    </w:p>
    <w:p>
      <w:pPr>
        <w:pStyle w:val="34"/>
        <w:widowControl/>
        <w:pBdr>
          <w:top w:val="none" w:color="auto" w:sz="0" w:space="0"/>
          <w:left w:val="none" w:color="auto" w:sz="0" w:space="0"/>
          <w:bottom w:val="none" w:color="auto" w:sz="0" w:space="0"/>
          <w:right w:val="none" w:color="auto" w:sz="0" w:space="0"/>
        </w:pBdr>
        <w:spacing w:before="0" w:beforeAutospacing="0" w:after="0" w:afterAutospacing="0" w:line="22" w:lineRule="atLeast"/>
        <w:ind w:left="0" w:right="0" w:firstLine="420"/>
        <w:jc w:val="both"/>
        <w:rPr>
          <w:rFonts w:hint="default" w:ascii="仿宋_GB2312" w:hAnsi="Times New Roman" w:eastAsia="仿宋_GB2312" w:cs="Times New Roman"/>
          <w:spacing w:val="-4"/>
          <w:sz w:val="32"/>
          <w:szCs w:val="32"/>
          <w:highlight w:val="none"/>
          <w:lang w:val="en-US" w:eastAsia="zh-CN"/>
        </w:rPr>
      </w:pPr>
      <w:r>
        <w:rPr>
          <w:rFonts w:hint="eastAsia" w:ascii="仿宋_GB2312" w:eastAsia="仿宋_GB2312"/>
          <w:spacing w:val="-4"/>
          <w:sz w:val="32"/>
          <w:szCs w:val="32"/>
          <w:highlight w:val="none"/>
          <w:lang w:val="en-US" w:eastAsia="zh-CN"/>
        </w:rPr>
        <w:t>建议：一、建议政府加大对基层政权建设的投入；</w:t>
      </w:r>
      <w:r>
        <w:rPr>
          <w:rFonts w:hint="eastAsia" w:ascii="仿宋_GB2312" w:hAnsi="Times New Roman" w:eastAsia="仿宋_GB2312" w:cs="Times New Roman"/>
          <w:spacing w:val="-4"/>
          <w:sz w:val="32"/>
          <w:szCs w:val="32"/>
          <w:highlight w:val="none"/>
          <w:lang w:val="en-US" w:eastAsia="zh-CN"/>
        </w:rPr>
        <w:t>二是</w:t>
      </w:r>
      <w:r>
        <w:rPr>
          <w:rFonts w:hint="default" w:ascii="仿宋_GB2312" w:hAnsi="Times New Roman" w:eastAsia="仿宋_GB2312" w:cs="Times New Roman"/>
          <w:spacing w:val="-4"/>
          <w:sz w:val="32"/>
          <w:szCs w:val="32"/>
          <w:highlight w:val="none"/>
          <w:lang w:val="en-US" w:eastAsia="zh-CN"/>
        </w:rPr>
        <w:t>确保专项经费及时足额到</w:t>
      </w:r>
      <w:r>
        <w:rPr>
          <w:rFonts w:hint="eastAsia" w:ascii="仿宋_GB2312" w:hAnsi="Times New Roman" w:eastAsia="仿宋_GB2312" w:cs="Times New Roman"/>
          <w:spacing w:val="-4"/>
          <w:sz w:val="32"/>
          <w:szCs w:val="32"/>
          <w:highlight w:val="none"/>
          <w:lang w:val="en-US" w:eastAsia="zh-CN"/>
        </w:rPr>
        <w:t>位；三是</w:t>
      </w:r>
      <w:r>
        <w:rPr>
          <w:rFonts w:hint="default" w:ascii="仿宋_GB2312" w:hAnsi="Times New Roman" w:eastAsia="仿宋_GB2312" w:cs="Times New Roman"/>
          <w:spacing w:val="-4"/>
          <w:sz w:val="32"/>
          <w:szCs w:val="32"/>
          <w:highlight w:val="none"/>
          <w:lang w:val="en-US" w:eastAsia="zh-CN"/>
        </w:rPr>
        <w:t>进一步规范资金管理</w:t>
      </w:r>
      <w:r>
        <w:rPr>
          <w:rFonts w:hint="eastAsia" w:ascii="仿宋_GB2312" w:hAnsi="Times New Roman" w:eastAsia="仿宋_GB2312" w:cs="Times New Roman"/>
          <w:spacing w:val="-4"/>
          <w:sz w:val="32"/>
          <w:szCs w:val="32"/>
          <w:highlight w:val="none"/>
          <w:lang w:val="en-US" w:eastAsia="zh-CN"/>
        </w:rPr>
        <w:t>；四是</w:t>
      </w:r>
      <w:r>
        <w:rPr>
          <w:rFonts w:hint="default" w:ascii="仿宋_GB2312" w:hAnsi="Times New Roman" w:eastAsia="仿宋_GB2312" w:cs="Times New Roman"/>
          <w:spacing w:val="-4"/>
          <w:sz w:val="32"/>
          <w:szCs w:val="32"/>
          <w:highlight w:val="none"/>
          <w:lang w:val="en-US" w:eastAsia="zh-CN"/>
        </w:rPr>
        <w:t>开展经常性督促检查，加强</w:t>
      </w:r>
      <w:r>
        <w:rPr>
          <w:rFonts w:hint="eastAsia" w:ascii="仿宋_GB2312" w:hAnsi="Times New Roman" w:eastAsia="仿宋_GB2312" w:cs="Times New Roman"/>
          <w:spacing w:val="-4"/>
          <w:sz w:val="32"/>
          <w:szCs w:val="32"/>
          <w:highlight w:val="none"/>
          <w:lang w:val="en-US" w:eastAsia="zh-CN"/>
        </w:rPr>
        <w:t>基层政权</w:t>
      </w:r>
      <w:r>
        <w:rPr>
          <w:rFonts w:hint="default" w:ascii="仿宋_GB2312" w:hAnsi="Times New Roman" w:eastAsia="仿宋_GB2312" w:cs="Times New Roman"/>
          <w:spacing w:val="-4"/>
          <w:sz w:val="32"/>
          <w:szCs w:val="32"/>
          <w:highlight w:val="none"/>
          <w:lang w:val="en-US" w:eastAsia="zh-CN"/>
        </w:rPr>
        <w:t>建设和管理</w:t>
      </w:r>
      <w:r>
        <w:rPr>
          <w:rFonts w:hint="eastAsia" w:ascii="仿宋_GB2312" w:hAnsi="Times New Roman" w:eastAsia="仿宋_GB2312" w:cs="Times New Roman"/>
          <w:spacing w:val="-4"/>
          <w:sz w:val="32"/>
          <w:szCs w:val="32"/>
          <w:highlight w:val="none"/>
          <w:lang w:val="en-US" w:eastAsia="zh-CN"/>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spacing w:line="540" w:lineRule="exact"/>
        <w:ind w:firstLine="640"/>
        <w:rPr>
          <w:rStyle w:val="16"/>
          <w:rFonts w:ascii="黑体" w:hAnsi="黑体" w:eastAsia="黑体"/>
          <w:b w:val="0"/>
          <w:spacing w:val="-4"/>
          <w:sz w:val="32"/>
          <w:szCs w:val="32"/>
        </w:rPr>
      </w:pPr>
      <w:r>
        <w:rPr>
          <w:rStyle w:val="16"/>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Fonts w:hint="eastAsia" w:ascii="仿宋_GB2312" w:eastAsia="仿宋_GB2312"/>
          <w:spacing w:val="-4"/>
          <w:sz w:val="32"/>
          <w:szCs w:val="32"/>
          <w:highlight w:val="none"/>
          <w:lang w:val="en-US" w:eastAsia="zh-CN"/>
        </w:rPr>
        <w:t>项目的进展及执行比较顺利，按计划完成；补助资金按时、足额到位，保障了项目的正常开展；资金的使用也严格按照有关规定使用，在资金使用过程中没有出现贪污、截留挪用等情况。</w:t>
      </w:r>
    </w:p>
    <w:p>
      <w:pPr>
        <w:spacing w:line="540" w:lineRule="exact"/>
        <w:ind w:firstLine="640"/>
        <w:rPr>
          <w:rStyle w:val="16"/>
          <w:rFonts w:ascii="黑体" w:hAnsi="黑体" w:eastAsia="黑体"/>
          <w:b w:val="0"/>
          <w:spacing w:val="-4"/>
          <w:sz w:val="32"/>
          <w:szCs w:val="32"/>
        </w:rPr>
      </w:pPr>
      <w:r>
        <w:rPr>
          <w:rStyle w:val="16"/>
          <w:rFonts w:hint="eastAsia" w:ascii="黑体" w:hAnsi="黑体" w:eastAsia="黑体"/>
          <w:b w:val="0"/>
          <w:spacing w:val="-4"/>
          <w:sz w:val="32"/>
          <w:szCs w:val="32"/>
        </w:rPr>
        <w:t>七、附表</w:t>
      </w:r>
    </w:p>
    <w:p>
      <w:pPr>
        <w:spacing w:line="540" w:lineRule="exact"/>
        <w:ind w:firstLine="567"/>
        <w:rPr>
          <w:rStyle w:val="16"/>
          <w:rFonts w:hint="eastAsia" w:ascii="仿宋" w:hAnsi="仿宋" w:eastAsia="仿宋"/>
          <w:b w:val="0"/>
          <w:spacing w:val="-4"/>
          <w:sz w:val="32"/>
          <w:szCs w:val="32"/>
        </w:rPr>
      </w:pPr>
      <w:r>
        <w:rPr>
          <w:rStyle w:val="16"/>
          <w:rFonts w:hint="eastAsia" w:ascii="仿宋" w:hAnsi="仿宋" w:eastAsia="仿宋"/>
          <w:b w:val="0"/>
          <w:spacing w:val="-4"/>
          <w:sz w:val="32"/>
          <w:szCs w:val="32"/>
        </w:rPr>
        <w:t>《自治州财政项目支出绩效自评表》</w:t>
      </w:r>
    </w:p>
    <w:p>
      <w:pPr>
        <w:spacing w:line="540" w:lineRule="exact"/>
        <w:ind w:firstLine="567"/>
        <w:rPr>
          <w:rStyle w:val="16"/>
          <w:rFonts w:hint="eastAsia" w:ascii="仿宋" w:hAnsi="仿宋" w:eastAsia="仿宋"/>
          <w:b w:val="0"/>
          <w:spacing w:val="-4"/>
          <w:sz w:val="32"/>
          <w:szCs w:val="32"/>
        </w:rPr>
      </w:pPr>
    </w:p>
    <w:p>
      <w:pPr>
        <w:spacing w:line="540" w:lineRule="exact"/>
        <w:ind w:firstLine="567"/>
        <w:rPr>
          <w:rStyle w:val="16"/>
          <w:rFonts w:hint="eastAsia" w:ascii="仿宋" w:hAnsi="仿宋" w:eastAsia="仿宋"/>
          <w:b w:val="0"/>
          <w:spacing w:val="-4"/>
          <w:sz w:val="32"/>
          <w:szCs w:val="32"/>
        </w:rPr>
      </w:pPr>
    </w:p>
    <w:p>
      <w:pPr>
        <w:spacing w:line="540" w:lineRule="exact"/>
        <w:ind w:firstLine="567"/>
        <w:rPr>
          <w:rStyle w:val="16"/>
          <w:rFonts w:hint="eastAsia" w:ascii="仿宋" w:hAnsi="仿宋" w:eastAsia="仿宋"/>
          <w:b w:val="0"/>
          <w:spacing w:val="-4"/>
          <w:sz w:val="32"/>
          <w:szCs w:val="32"/>
        </w:rPr>
      </w:pPr>
    </w:p>
    <w:p>
      <w:pPr>
        <w:spacing w:line="540" w:lineRule="exact"/>
        <w:ind w:firstLine="567"/>
        <w:rPr>
          <w:rStyle w:val="16"/>
          <w:rFonts w:hint="eastAsia" w:ascii="仿宋" w:hAnsi="仿宋" w:eastAsia="仿宋"/>
          <w:b w:val="0"/>
          <w:spacing w:val="-4"/>
          <w:sz w:val="32"/>
          <w:szCs w:val="32"/>
        </w:rPr>
      </w:pPr>
    </w:p>
    <w:p>
      <w:pPr>
        <w:spacing w:line="540" w:lineRule="exact"/>
        <w:ind w:firstLine="567"/>
        <w:rPr>
          <w:rStyle w:val="16"/>
          <w:rFonts w:hint="eastAsia" w:ascii="仿宋" w:hAnsi="仿宋" w:eastAsia="仿宋"/>
          <w:b w:val="0"/>
          <w:spacing w:val="-4"/>
          <w:sz w:val="32"/>
          <w:szCs w:val="32"/>
        </w:rPr>
      </w:pPr>
    </w:p>
    <w:p>
      <w:pPr>
        <w:spacing w:line="540" w:lineRule="exact"/>
        <w:ind w:firstLine="567"/>
        <w:rPr>
          <w:rStyle w:val="16"/>
          <w:rFonts w:hint="eastAsia" w:ascii="仿宋" w:hAnsi="仿宋" w:eastAsia="仿宋"/>
          <w:b w:val="0"/>
          <w:spacing w:val="-4"/>
          <w:sz w:val="32"/>
          <w:szCs w:val="32"/>
        </w:rPr>
      </w:pPr>
    </w:p>
    <w:p>
      <w:pPr>
        <w:spacing w:line="540" w:lineRule="exact"/>
        <w:ind w:firstLine="567"/>
        <w:rPr>
          <w:rStyle w:val="16"/>
          <w:rFonts w:hint="eastAsia" w:ascii="仿宋" w:hAnsi="仿宋" w:eastAsia="仿宋"/>
          <w:b w:val="0"/>
          <w:spacing w:val="-4"/>
          <w:sz w:val="32"/>
          <w:szCs w:val="32"/>
        </w:rPr>
      </w:pPr>
    </w:p>
    <w:p>
      <w:pPr>
        <w:spacing w:line="540" w:lineRule="exact"/>
        <w:ind w:firstLine="567"/>
        <w:rPr>
          <w:rStyle w:val="16"/>
          <w:rFonts w:hint="eastAsia" w:ascii="仿宋" w:hAnsi="仿宋" w:eastAsia="仿宋"/>
          <w:b w:val="0"/>
          <w:spacing w:val="-4"/>
          <w:sz w:val="32"/>
          <w:szCs w:val="32"/>
        </w:rPr>
      </w:pPr>
    </w:p>
    <w:p>
      <w:pPr>
        <w:spacing w:line="540" w:lineRule="exact"/>
        <w:ind w:firstLine="567"/>
        <w:rPr>
          <w:rStyle w:val="16"/>
          <w:rFonts w:hint="eastAsia" w:ascii="仿宋" w:hAnsi="仿宋" w:eastAsia="仿宋"/>
          <w:b w:val="0"/>
          <w:spacing w:val="-4"/>
          <w:sz w:val="32"/>
          <w:szCs w:val="32"/>
        </w:rPr>
      </w:pPr>
    </w:p>
    <w:p>
      <w:pPr>
        <w:spacing w:line="540" w:lineRule="exact"/>
        <w:ind w:firstLine="567"/>
        <w:rPr>
          <w:rStyle w:val="16"/>
          <w:rFonts w:hint="eastAsia" w:ascii="仿宋" w:hAnsi="仿宋" w:eastAsia="仿宋"/>
          <w:b w:val="0"/>
          <w:spacing w:val="-4"/>
          <w:sz w:val="32"/>
          <w:szCs w:val="32"/>
        </w:rPr>
      </w:pPr>
    </w:p>
    <w:p>
      <w:pPr>
        <w:spacing w:line="540" w:lineRule="exact"/>
        <w:ind w:firstLine="567"/>
        <w:rPr>
          <w:rStyle w:val="16"/>
          <w:rFonts w:hint="eastAsia" w:ascii="仿宋" w:hAnsi="仿宋" w:eastAsia="仿宋"/>
          <w:b w:val="0"/>
          <w:spacing w:val="-4"/>
          <w:sz w:val="32"/>
          <w:szCs w:val="32"/>
        </w:rPr>
      </w:pPr>
    </w:p>
    <w:p>
      <w:pPr>
        <w:spacing w:line="540" w:lineRule="exact"/>
        <w:ind w:firstLine="567"/>
        <w:rPr>
          <w:rStyle w:val="16"/>
          <w:rFonts w:hint="eastAsia" w:ascii="仿宋" w:hAnsi="仿宋" w:eastAsia="仿宋"/>
          <w:b w:val="0"/>
          <w:spacing w:val="-4"/>
          <w:sz w:val="32"/>
          <w:szCs w:val="32"/>
        </w:rPr>
      </w:pPr>
    </w:p>
    <w:tbl>
      <w:tblPr>
        <w:tblStyle w:val="18"/>
        <w:tblW w:w="90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自治州财政项目支出绩效自评表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rFonts w:hint="eastAsia" w:ascii="宋体" w:hAnsi="宋体" w:cs="宋体"/>
                <w:kern w:val="0"/>
                <w:sz w:val="24"/>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vAlign w:val="center"/>
          </w:tcPr>
          <w:p>
            <w:pPr>
              <w:widowControl/>
              <w:jc w:val="center"/>
              <w:rPr>
                <w:rFonts w:ascii="宋体" w:hAnsi="宋体" w:cs="宋体"/>
                <w:kern w:val="0"/>
                <w:sz w:val="24"/>
              </w:rPr>
            </w:pPr>
          </w:p>
        </w:tc>
        <w:tc>
          <w:tcPr>
            <w:tcW w:w="1140" w:type="dxa"/>
            <w:tcBorders>
              <w:top w:val="nil"/>
              <w:left w:val="nil"/>
              <w:bottom w:val="nil"/>
              <w:right w:val="nil"/>
            </w:tcBorders>
            <w:vAlign w:val="center"/>
          </w:tcPr>
          <w:p>
            <w:pPr>
              <w:widowControl/>
              <w:jc w:val="center"/>
              <w:rPr>
                <w:rFonts w:ascii="宋体" w:hAnsi="宋体" w:cs="宋体"/>
                <w:kern w:val="0"/>
                <w:sz w:val="24"/>
              </w:rPr>
            </w:pPr>
          </w:p>
        </w:tc>
        <w:tc>
          <w:tcPr>
            <w:tcW w:w="1360" w:type="dxa"/>
            <w:tcBorders>
              <w:top w:val="nil"/>
              <w:left w:val="nil"/>
              <w:bottom w:val="nil"/>
              <w:right w:val="nil"/>
            </w:tcBorders>
            <w:vAlign w:val="center"/>
          </w:tcPr>
          <w:p>
            <w:pPr>
              <w:widowControl/>
              <w:jc w:val="center"/>
              <w:rPr>
                <w:rFonts w:ascii="宋体" w:hAnsi="宋体" w:cs="宋体"/>
                <w:kern w:val="0"/>
                <w:sz w:val="24"/>
              </w:rPr>
            </w:pPr>
          </w:p>
        </w:tc>
        <w:tc>
          <w:tcPr>
            <w:tcW w:w="1080" w:type="dxa"/>
            <w:tcBorders>
              <w:top w:val="nil"/>
              <w:left w:val="nil"/>
              <w:bottom w:val="nil"/>
              <w:right w:val="nil"/>
            </w:tcBorders>
            <w:vAlign w:val="center"/>
          </w:tcPr>
          <w:p>
            <w:pPr>
              <w:widowControl/>
              <w:jc w:val="center"/>
              <w:rPr>
                <w:rFonts w:ascii="宋体" w:hAnsi="宋体" w:cs="宋体"/>
                <w:kern w:val="0"/>
                <w:sz w:val="24"/>
              </w:rPr>
            </w:pPr>
          </w:p>
        </w:tc>
        <w:tc>
          <w:tcPr>
            <w:tcW w:w="880" w:type="dxa"/>
            <w:tcBorders>
              <w:top w:val="nil"/>
              <w:left w:val="nil"/>
              <w:bottom w:val="nil"/>
              <w:right w:val="nil"/>
            </w:tcBorders>
            <w:vAlign w:val="center"/>
          </w:tcPr>
          <w:p>
            <w:pPr>
              <w:widowControl/>
              <w:jc w:val="center"/>
              <w:rPr>
                <w:rFonts w:ascii="宋体" w:hAnsi="宋体" w:cs="宋体"/>
                <w:kern w:val="0"/>
                <w:sz w:val="24"/>
              </w:rPr>
            </w:pPr>
          </w:p>
        </w:tc>
        <w:tc>
          <w:tcPr>
            <w:tcW w:w="2060" w:type="dxa"/>
            <w:tcBorders>
              <w:top w:val="nil"/>
              <w:left w:val="nil"/>
              <w:bottom w:val="nil"/>
              <w:right w:val="nil"/>
            </w:tcBorders>
            <w:vAlign w:val="center"/>
          </w:tcPr>
          <w:p>
            <w:pPr>
              <w:widowControl/>
              <w:jc w:val="center"/>
              <w:rPr>
                <w:rFonts w:ascii="宋体" w:hAnsi="宋体" w:cs="宋体"/>
                <w:kern w:val="0"/>
                <w:sz w:val="24"/>
              </w:rPr>
            </w:pPr>
          </w:p>
        </w:tc>
        <w:tc>
          <w:tcPr>
            <w:tcW w:w="1780" w:type="dxa"/>
            <w:tcBorders>
              <w:top w:val="nil"/>
              <w:left w:val="nil"/>
              <w:bottom w:val="nil"/>
              <w:right w:val="nil"/>
            </w:tcBorders>
            <w:vAlign w:val="center"/>
          </w:tcPr>
          <w:p>
            <w:pPr>
              <w:widowControl/>
              <w:jc w:val="center"/>
              <w:rPr>
                <w:rFonts w:ascii="宋体" w:hAnsi="宋体" w:cs="宋体"/>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基层政权机构建设农牧民培训中心装修</w:t>
            </w:r>
            <w:r>
              <w:rPr>
                <w:rFonts w:hint="eastAsia" w:ascii="宋体" w:hAnsi="宋体" w:cs="宋体"/>
                <w:kern w:val="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奇台县东湾镇人民政府</w:t>
            </w:r>
            <w:r>
              <w:rPr>
                <w:rFonts w:hint="eastAsia" w:ascii="宋体" w:hAnsi="宋体" w:cs="宋体"/>
                <w:kern w:val="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1030702.72元</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1030702.72元</w:t>
            </w:r>
            <w:r>
              <w:rPr>
                <w:rFonts w:hint="eastAsia" w:ascii="宋体" w:hAnsi="宋体" w:cs="宋体"/>
                <w:kern w:val="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1030702.72元</w:t>
            </w:r>
            <w:r>
              <w:rPr>
                <w:rFonts w:hint="eastAsia" w:ascii="宋体" w:hAnsi="宋体" w:cs="宋体"/>
                <w:kern w:val="0"/>
                <w:sz w:val="20"/>
                <w:szCs w:val="20"/>
              </w:rPr>
              <w:t>　</w:t>
            </w:r>
          </w:p>
        </w:tc>
        <w:tc>
          <w:tcPr>
            <w:tcW w:w="2060" w:type="dxa"/>
            <w:tcBorders>
              <w:top w:val="nil"/>
              <w:left w:val="nil"/>
              <w:bottom w:val="nil"/>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1030702.72元</w:t>
            </w:r>
            <w:r>
              <w:rPr>
                <w:rFonts w:hint="eastAsia" w:ascii="宋体" w:hAnsi="宋体" w:cs="宋体"/>
                <w:kern w:val="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vAlign w:val="top"/>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完成农牧民培训基础设施建设，通过农牧民技能培训，培养高素质新型农民。</w:t>
            </w:r>
          </w:p>
        </w:tc>
        <w:tc>
          <w:tcPr>
            <w:tcW w:w="3840" w:type="dxa"/>
            <w:gridSpan w:val="2"/>
            <w:tcBorders>
              <w:top w:val="single" w:color="auto" w:sz="4" w:space="0"/>
              <w:left w:val="nil"/>
              <w:bottom w:val="single" w:color="auto" w:sz="4" w:space="0"/>
              <w:right w:val="single" w:color="000000" w:sz="4" w:space="0"/>
            </w:tcBorders>
            <w:vAlign w:val="top"/>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已全部达到预期目标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装修工程量</w:t>
            </w:r>
          </w:p>
        </w:tc>
        <w:tc>
          <w:tcPr>
            <w:tcW w:w="2060"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合格</w:t>
            </w:r>
          </w:p>
        </w:tc>
        <w:tc>
          <w:tcPr>
            <w:tcW w:w="1780"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工程验收合格率</w:t>
            </w:r>
          </w:p>
        </w:tc>
        <w:tc>
          <w:tcPr>
            <w:tcW w:w="2060"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达标</w:t>
            </w:r>
          </w:p>
        </w:tc>
        <w:tc>
          <w:tcPr>
            <w:tcW w:w="1780"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达标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工程量完成率</w:t>
            </w:r>
          </w:p>
        </w:tc>
        <w:tc>
          <w:tcPr>
            <w:tcW w:w="2060"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配套设施完成率</w:t>
            </w:r>
          </w:p>
        </w:tc>
        <w:tc>
          <w:tcPr>
            <w:tcW w:w="2060"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工程按期完成率</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cs="宋体"/>
                <w:kern w:val="0"/>
                <w:sz w:val="20"/>
                <w:szCs w:val="20"/>
                <w:lang w:eastAsia="zh-CN"/>
              </w:rPr>
            </w:pPr>
            <w:r>
              <w:rPr>
                <w:rFonts w:hint="eastAsia" w:ascii="宋体" w:hAnsi="宋体" w:cs="宋体"/>
                <w:kern w:val="0"/>
                <w:sz w:val="20"/>
                <w:szCs w:val="20"/>
                <w:lang w:eastAsia="zh-CN"/>
              </w:rPr>
              <w:t>工程完成率</w:t>
            </w:r>
          </w:p>
        </w:tc>
        <w:tc>
          <w:tcPr>
            <w:tcW w:w="2060" w:type="dxa"/>
            <w:tcBorders>
              <w:top w:val="nil"/>
              <w:left w:val="nil"/>
              <w:bottom w:val="single" w:color="auto" w:sz="4" w:space="0"/>
              <w:right w:val="single" w:color="auto" w:sz="4" w:space="0"/>
            </w:tcBorders>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cs="宋体"/>
                <w:kern w:val="0"/>
                <w:sz w:val="20"/>
                <w:szCs w:val="20"/>
                <w:lang w:eastAsia="zh-CN"/>
              </w:rPr>
            </w:pPr>
            <w:r>
              <w:rPr>
                <w:rFonts w:hint="eastAsia" w:ascii="宋体" w:hAnsi="宋体" w:cs="宋体"/>
                <w:kern w:val="0"/>
                <w:sz w:val="20"/>
                <w:szCs w:val="20"/>
                <w:lang w:eastAsia="zh-CN"/>
              </w:rPr>
              <w:t>日常巡查维修及时率</w:t>
            </w:r>
          </w:p>
        </w:tc>
        <w:tc>
          <w:tcPr>
            <w:tcW w:w="2060" w:type="dxa"/>
            <w:tcBorders>
              <w:top w:val="nil"/>
              <w:left w:val="nil"/>
              <w:bottom w:val="single" w:color="auto" w:sz="4" w:space="0"/>
              <w:right w:val="single" w:color="auto" w:sz="4" w:space="0"/>
            </w:tcBorders>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工程单位建设成本</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设计功能实现率</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基础设施完好率</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业务保障能力</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隐患消除情况</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收益群众满意度</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bl>
    <w:p>
      <w:pPr>
        <w:spacing w:line="540" w:lineRule="exact"/>
        <w:ind w:firstLine="567"/>
        <w:rPr>
          <w:rStyle w:val="16"/>
          <w:rFonts w:ascii="仿宋" w:hAnsi="仿宋" w:eastAsia="仿宋"/>
          <w:b w:val="0"/>
          <w:spacing w:val="-4"/>
          <w:sz w:val="32"/>
          <w:szCs w:val="32"/>
        </w:rPr>
      </w:pPr>
    </w:p>
    <w:sectPr>
      <w:footerReference r:id="rId3" w:type="default"/>
      <w:pgSz w:w="11906" w:h="16838"/>
      <w:pgMar w:top="1440" w:right="1558"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PAGE   \* MERGEFORMAT</w:instrText>
    </w:r>
    <w:r>
      <w:fldChar w:fldCharType="separate"/>
    </w:r>
    <w:r>
      <w:rPr>
        <w:lang w:val="zh-CN"/>
      </w:rPr>
      <w:t>4</w:t>
    </w:r>
    <w:r>
      <w:fldChar w:fldCharType="end"/>
    </w:r>
  </w:p>
  <w:p>
    <w:pPr>
      <w:pStyle w:val="1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95815"/>
    <w:rsid w:val="1D8A43AF"/>
    <w:rsid w:val="375C268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unhideWhenUsed="0" w:uiPriority="0" w:semiHidden="0" w:name="heading 4"/>
    <w:lsdException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uiPriority w:val="0"/>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0"/>
    <w:uiPriority w:val="0"/>
    <w:pPr>
      <w:keepNext/>
      <w:widowControl/>
      <w:spacing w:before="240" w:after="60"/>
      <w:jc w:val="left"/>
      <w:outlineLvl w:val="1"/>
    </w:pPr>
    <w:rPr>
      <w:rFonts w:ascii="Cambria" w:hAnsi="Cambria" w:eastAsia="宋体"/>
      <w:b/>
      <w:bCs/>
      <w:i/>
      <w:iCs/>
      <w:sz w:val="28"/>
      <w:szCs w:val="28"/>
    </w:rPr>
  </w:style>
  <w:style w:type="paragraph" w:styleId="4">
    <w:name w:val="heading 3"/>
    <w:basedOn w:val="1"/>
    <w:next w:val="1"/>
    <w:link w:val="21"/>
    <w:qFormat/>
    <w:uiPriority w:val="0"/>
    <w:pPr>
      <w:keepNext/>
      <w:widowControl/>
      <w:spacing w:before="240" w:after="60"/>
      <w:jc w:val="left"/>
      <w:outlineLvl w:val="2"/>
    </w:pPr>
    <w:rPr>
      <w:rFonts w:ascii="Cambria" w:hAnsi="Cambria" w:eastAsia="宋体"/>
      <w:b/>
      <w:bCs/>
      <w:sz w:val="26"/>
      <w:szCs w:val="26"/>
    </w:rPr>
  </w:style>
  <w:style w:type="paragraph" w:styleId="5">
    <w:name w:val="heading 4"/>
    <w:basedOn w:val="1"/>
    <w:next w:val="1"/>
    <w:link w:val="22"/>
    <w:uiPriority w:val="0"/>
    <w:pPr>
      <w:keepNext/>
      <w:widowControl/>
      <w:spacing w:before="240" w:after="60"/>
      <w:jc w:val="left"/>
      <w:outlineLvl w:val="3"/>
    </w:pPr>
    <w:rPr>
      <w:b/>
      <w:bCs/>
      <w:sz w:val="28"/>
      <w:szCs w:val="28"/>
    </w:rPr>
  </w:style>
  <w:style w:type="paragraph" w:styleId="6">
    <w:name w:val="heading 5"/>
    <w:basedOn w:val="1"/>
    <w:next w:val="1"/>
    <w:link w:val="23"/>
    <w:uiPriority w:val="0"/>
    <w:pPr>
      <w:widowControl/>
      <w:spacing w:before="240" w:after="60"/>
      <w:jc w:val="left"/>
      <w:outlineLvl w:val="4"/>
    </w:pPr>
    <w:rPr>
      <w:b/>
      <w:bCs/>
      <w:i/>
      <w:iCs/>
      <w:sz w:val="26"/>
      <w:szCs w:val="26"/>
    </w:rPr>
  </w:style>
  <w:style w:type="paragraph" w:styleId="7">
    <w:name w:val="heading 6"/>
    <w:basedOn w:val="1"/>
    <w:next w:val="1"/>
    <w:link w:val="24"/>
    <w:qFormat/>
    <w:uiPriority w:val="0"/>
    <w:pPr>
      <w:widowControl/>
      <w:spacing w:before="240" w:after="60"/>
      <w:jc w:val="left"/>
      <w:outlineLvl w:val="5"/>
    </w:pPr>
    <w:rPr>
      <w:b/>
      <w:bCs/>
    </w:rPr>
  </w:style>
  <w:style w:type="paragraph" w:styleId="8">
    <w:name w:val="heading 7"/>
    <w:basedOn w:val="1"/>
    <w:next w:val="1"/>
    <w:link w:val="25"/>
    <w:qFormat/>
    <w:uiPriority w:val="0"/>
    <w:pPr>
      <w:widowControl/>
      <w:spacing w:before="240" w:after="60"/>
      <w:jc w:val="left"/>
      <w:outlineLvl w:val="6"/>
    </w:pPr>
    <w:rPr>
      <w:sz w:val="24"/>
      <w:szCs w:val="24"/>
    </w:rPr>
  </w:style>
  <w:style w:type="paragraph" w:styleId="9">
    <w:name w:val="heading 8"/>
    <w:basedOn w:val="1"/>
    <w:next w:val="1"/>
    <w:link w:val="26"/>
    <w:qFormat/>
    <w:uiPriority w:val="0"/>
    <w:pPr>
      <w:widowControl/>
      <w:spacing w:before="240" w:after="60"/>
      <w:jc w:val="left"/>
      <w:outlineLvl w:val="7"/>
    </w:pPr>
    <w:rPr>
      <w:i/>
      <w:iCs/>
      <w:sz w:val="24"/>
      <w:szCs w:val="24"/>
    </w:rPr>
  </w:style>
  <w:style w:type="paragraph" w:styleId="10">
    <w:name w:val="heading 9"/>
    <w:basedOn w:val="1"/>
    <w:next w:val="1"/>
    <w:link w:val="27"/>
    <w:qFormat/>
    <w:uiPriority w:val="0"/>
    <w:pPr>
      <w:widowControl/>
      <w:spacing w:before="240" w:after="60"/>
      <w:jc w:val="left"/>
      <w:outlineLvl w:val="8"/>
    </w:pPr>
    <w:rPr>
      <w:rFonts w:ascii="Cambria" w:hAnsi="Cambria" w:eastAsia="宋体"/>
    </w:rPr>
  </w:style>
  <w:style w:type="character" w:default="1" w:styleId="15">
    <w:name w:val="Default Paragraph Font"/>
    <w:qFormat/>
    <w:uiPriority w:val="0"/>
  </w:style>
  <w:style w:type="table" w:default="1" w:styleId="18">
    <w:name w:val="Normal Table"/>
    <w:semiHidden/>
    <w:qFormat/>
    <w:uiPriority w:val="0"/>
    <w:tblPr>
      <w:tblLayout w:type="fixed"/>
      <w:tblCellMar>
        <w:top w:w="0" w:type="dxa"/>
        <w:left w:w="108" w:type="dxa"/>
        <w:bottom w:w="0" w:type="dxa"/>
        <w:right w:w="108" w:type="dxa"/>
      </w:tblCellMar>
    </w:tblPr>
  </w:style>
  <w:style w:type="paragraph" w:styleId="11">
    <w:name w:val="footer"/>
    <w:basedOn w:val="1"/>
    <w:link w:val="30"/>
    <w:qFormat/>
    <w:uiPriority w:val="0"/>
    <w:pPr>
      <w:tabs>
        <w:tab w:val="center" w:pos="4153"/>
        <w:tab w:val="right" w:pos="8306"/>
      </w:tabs>
      <w:snapToGrid w:val="0"/>
      <w:jc w:val="left"/>
    </w:pPr>
    <w:rPr>
      <w:rFonts w:ascii="Calibri" w:hAnsi="Calibri" w:eastAsia="宋体"/>
      <w:kern w:val="2"/>
      <w:sz w:val="18"/>
      <w:szCs w:val="18"/>
    </w:rPr>
  </w:style>
  <w:style w:type="paragraph" w:styleId="12">
    <w:name w:val="header"/>
    <w:basedOn w:val="1"/>
    <w:link w:val="31"/>
    <w:qFormat/>
    <w:uiPriority w:val="0"/>
    <w:pPr>
      <w:pBdr>
        <w:bottom w:val="single" w:color="auto" w:sz="6" w:space="1"/>
      </w:pBdr>
      <w:tabs>
        <w:tab w:val="center" w:pos="4153"/>
        <w:tab w:val="right" w:pos="8306"/>
      </w:tabs>
      <w:snapToGrid w:val="0"/>
      <w:jc w:val="center"/>
    </w:pPr>
    <w:rPr>
      <w:rFonts w:ascii="Calibri" w:hAnsi="Calibri" w:eastAsia="宋体"/>
      <w:kern w:val="2"/>
      <w:sz w:val="18"/>
      <w:szCs w:val="18"/>
    </w:rPr>
  </w:style>
  <w:style w:type="paragraph" w:styleId="13">
    <w:name w:val="Subtitle"/>
    <w:basedOn w:val="1"/>
    <w:next w:val="1"/>
    <w:link w:val="32"/>
    <w:qFormat/>
    <w:uiPriority w:val="0"/>
    <w:pPr>
      <w:widowControl/>
      <w:spacing w:after="60"/>
      <w:jc w:val="center"/>
      <w:outlineLvl w:val="1"/>
    </w:pPr>
    <w:rPr>
      <w:rFonts w:ascii="Cambria" w:hAnsi="Cambria" w:eastAsia="宋体"/>
      <w:sz w:val="24"/>
      <w:szCs w:val="24"/>
    </w:rPr>
  </w:style>
  <w:style w:type="paragraph" w:styleId="14">
    <w:name w:val="Title"/>
    <w:basedOn w:val="1"/>
    <w:next w:val="1"/>
    <w:link w:val="33"/>
    <w:qFormat/>
    <w:uiPriority w:val="0"/>
    <w:pPr>
      <w:widowControl/>
      <w:spacing w:before="240" w:after="60"/>
      <w:jc w:val="center"/>
      <w:outlineLvl w:val="0"/>
    </w:pPr>
    <w:rPr>
      <w:rFonts w:ascii="Cambria" w:hAnsi="Cambria" w:eastAsia="宋体"/>
      <w:b/>
      <w:bCs/>
      <w:kern w:val="28"/>
      <w:sz w:val="32"/>
      <w:szCs w:val="32"/>
    </w:rPr>
  </w:style>
  <w:style w:type="character" w:styleId="16">
    <w:name w:val="Strong"/>
    <w:basedOn w:val="15"/>
    <w:qFormat/>
    <w:uiPriority w:val="0"/>
    <w:rPr>
      <w:b/>
      <w:bCs/>
    </w:rPr>
  </w:style>
  <w:style w:type="character" w:styleId="17">
    <w:name w:val="Emphasis"/>
    <w:basedOn w:val="15"/>
    <w:qFormat/>
    <w:uiPriority w:val="0"/>
    <w:rPr>
      <w:rFonts w:ascii="Calibri" w:hAnsi="Calibri"/>
      <w:b/>
      <w:i/>
      <w:iCs/>
    </w:rPr>
  </w:style>
  <w:style w:type="character" w:customStyle="1" w:styleId="19">
    <w:name w:val="标题 1 Char"/>
    <w:basedOn w:val="15"/>
    <w:link w:val="2"/>
    <w:semiHidden/>
    <w:qFormat/>
    <w:uiPriority w:val="0"/>
    <w:rPr>
      <w:rFonts w:ascii="Cambria" w:hAnsi="Cambria" w:eastAsia="宋体"/>
      <w:b/>
      <w:bCs/>
      <w:kern w:val="32"/>
      <w:sz w:val="32"/>
      <w:szCs w:val="32"/>
    </w:rPr>
  </w:style>
  <w:style w:type="character" w:customStyle="1" w:styleId="20">
    <w:name w:val="标题 2 Char"/>
    <w:basedOn w:val="15"/>
    <w:link w:val="3"/>
    <w:semiHidden/>
    <w:qFormat/>
    <w:uiPriority w:val="0"/>
    <w:rPr>
      <w:rFonts w:ascii="Cambria" w:hAnsi="Cambria" w:eastAsia="宋体"/>
      <w:b/>
      <w:bCs/>
      <w:i/>
      <w:iCs/>
      <w:sz w:val="28"/>
      <w:szCs w:val="28"/>
    </w:rPr>
  </w:style>
  <w:style w:type="character" w:customStyle="1" w:styleId="21">
    <w:name w:val="标题 3 Char"/>
    <w:basedOn w:val="15"/>
    <w:link w:val="4"/>
    <w:semiHidden/>
    <w:qFormat/>
    <w:uiPriority w:val="0"/>
    <w:rPr>
      <w:rFonts w:ascii="Cambria" w:hAnsi="Cambria" w:eastAsia="宋体"/>
      <w:b/>
      <w:bCs/>
      <w:sz w:val="26"/>
      <w:szCs w:val="26"/>
    </w:rPr>
  </w:style>
  <w:style w:type="character" w:customStyle="1" w:styleId="22">
    <w:name w:val="标题 4 Char"/>
    <w:basedOn w:val="15"/>
    <w:link w:val="5"/>
    <w:semiHidden/>
    <w:qFormat/>
    <w:uiPriority w:val="0"/>
    <w:rPr>
      <w:b/>
      <w:bCs/>
      <w:sz w:val="28"/>
      <w:szCs w:val="28"/>
    </w:rPr>
  </w:style>
  <w:style w:type="character" w:customStyle="1" w:styleId="23">
    <w:name w:val="标题 5 Char"/>
    <w:basedOn w:val="15"/>
    <w:link w:val="6"/>
    <w:semiHidden/>
    <w:qFormat/>
    <w:uiPriority w:val="0"/>
    <w:rPr>
      <w:b/>
      <w:bCs/>
      <w:i/>
      <w:iCs/>
      <w:sz w:val="26"/>
      <w:szCs w:val="26"/>
    </w:rPr>
  </w:style>
  <w:style w:type="character" w:customStyle="1" w:styleId="24">
    <w:name w:val="标题 6 Char"/>
    <w:basedOn w:val="15"/>
    <w:link w:val="7"/>
    <w:semiHidden/>
    <w:qFormat/>
    <w:uiPriority w:val="0"/>
    <w:rPr>
      <w:b/>
      <w:bCs/>
    </w:rPr>
  </w:style>
  <w:style w:type="character" w:customStyle="1" w:styleId="25">
    <w:name w:val="标题 7 Char"/>
    <w:basedOn w:val="15"/>
    <w:link w:val="8"/>
    <w:semiHidden/>
    <w:qFormat/>
    <w:uiPriority w:val="0"/>
    <w:rPr>
      <w:sz w:val="24"/>
      <w:szCs w:val="24"/>
    </w:rPr>
  </w:style>
  <w:style w:type="character" w:customStyle="1" w:styleId="26">
    <w:name w:val="标题 8 Char"/>
    <w:basedOn w:val="15"/>
    <w:link w:val="9"/>
    <w:semiHidden/>
    <w:qFormat/>
    <w:uiPriority w:val="0"/>
    <w:rPr>
      <w:i/>
      <w:iCs/>
      <w:sz w:val="24"/>
      <w:szCs w:val="24"/>
    </w:rPr>
  </w:style>
  <w:style w:type="character" w:customStyle="1" w:styleId="27">
    <w:name w:val="标题 9 Char"/>
    <w:basedOn w:val="15"/>
    <w:link w:val="10"/>
    <w:semiHidden/>
    <w:qFormat/>
    <w:uiPriority w:val="0"/>
    <w:rPr>
      <w:rFonts w:ascii="Cambria" w:hAnsi="Cambria" w:eastAsia="宋体"/>
    </w:rPr>
  </w:style>
  <w:style w:type="paragraph" w:customStyle="1" w:styleId="28">
    <w:name w:val="批注框文本1"/>
    <w:basedOn w:val="1"/>
    <w:link w:val="29"/>
    <w:qFormat/>
    <w:uiPriority w:val="0"/>
    <w:rPr>
      <w:rFonts w:ascii="Times New Roman" w:hAnsi="Times New Roman" w:eastAsia="宋体"/>
      <w:kern w:val="2"/>
      <w:sz w:val="18"/>
      <w:szCs w:val="18"/>
    </w:rPr>
  </w:style>
  <w:style w:type="character" w:customStyle="1" w:styleId="29">
    <w:name w:val="批注框文本 Char"/>
    <w:basedOn w:val="15"/>
    <w:link w:val="28"/>
    <w:semiHidden/>
    <w:qFormat/>
    <w:uiPriority w:val="0"/>
    <w:rPr>
      <w:rFonts w:ascii="Times New Roman" w:hAnsi="Times New Roman" w:eastAsia="宋体"/>
      <w:kern w:val="2"/>
      <w:sz w:val="18"/>
      <w:szCs w:val="18"/>
    </w:rPr>
  </w:style>
  <w:style w:type="character" w:customStyle="1" w:styleId="30">
    <w:name w:val="页脚 Char"/>
    <w:basedOn w:val="15"/>
    <w:link w:val="11"/>
    <w:semiHidden/>
    <w:qFormat/>
    <w:uiPriority w:val="0"/>
    <w:rPr>
      <w:rFonts w:ascii="Calibri" w:hAnsi="Calibri" w:eastAsia="宋体"/>
      <w:kern w:val="2"/>
      <w:sz w:val="18"/>
      <w:szCs w:val="18"/>
    </w:rPr>
  </w:style>
  <w:style w:type="character" w:customStyle="1" w:styleId="31">
    <w:name w:val="页眉 Char"/>
    <w:basedOn w:val="15"/>
    <w:link w:val="12"/>
    <w:semiHidden/>
    <w:qFormat/>
    <w:uiPriority w:val="0"/>
    <w:rPr>
      <w:rFonts w:ascii="Calibri" w:hAnsi="Calibri" w:eastAsia="宋体"/>
      <w:kern w:val="2"/>
      <w:sz w:val="18"/>
      <w:szCs w:val="18"/>
    </w:rPr>
  </w:style>
  <w:style w:type="character" w:customStyle="1" w:styleId="32">
    <w:name w:val="副标题 Char"/>
    <w:basedOn w:val="15"/>
    <w:link w:val="13"/>
    <w:semiHidden/>
    <w:qFormat/>
    <w:uiPriority w:val="0"/>
    <w:rPr>
      <w:rFonts w:ascii="Cambria" w:hAnsi="Cambria" w:eastAsia="宋体"/>
      <w:sz w:val="24"/>
      <w:szCs w:val="24"/>
    </w:rPr>
  </w:style>
  <w:style w:type="character" w:customStyle="1" w:styleId="33">
    <w:name w:val="标题 Char"/>
    <w:basedOn w:val="15"/>
    <w:link w:val="14"/>
    <w:semiHidden/>
    <w:qFormat/>
    <w:uiPriority w:val="0"/>
    <w:rPr>
      <w:rFonts w:ascii="Cambria" w:hAnsi="Cambria" w:eastAsia="宋体"/>
      <w:b/>
      <w:bCs/>
      <w:kern w:val="28"/>
      <w:sz w:val="32"/>
      <w:szCs w:val="32"/>
    </w:rPr>
  </w:style>
  <w:style w:type="paragraph" w:customStyle="1" w:styleId="34">
    <w:name w:val="Normal (Web)"/>
    <w:basedOn w:val="1"/>
    <w:uiPriority w:val="0"/>
    <w:pPr>
      <w:spacing w:before="0" w:beforeAutospacing="1" w:after="0" w:afterAutospacing="1"/>
      <w:ind w:left="0" w:right="0"/>
      <w:jc w:val="left"/>
    </w:pPr>
    <w:rPr>
      <w:kern w:val="0"/>
      <w:sz w:val="24"/>
      <w:lang w:val="en-US" w:eastAsia="zh-CN"/>
    </w:rPr>
  </w:style>
  <w:style w:type="paragraph" w:customStyle="1" w:styleId="35">
    <w:name w:val="No Spacing"/>
    <w:basedOn w:val="1"/>
    <w:uiPriority w:val="0"/>
    <w:pPr>
      <w:widowControl/>
      <w:jc w:val="left"/>
    </w:pPr>
    <w:rPr>
      <w:rFonts w:ascii="Calibri" w:hAnsi="Calibri" w:eastAsia="宋体" w:cs="Times New Roman"/>
      <w:kern w:val="0"/>
      <w:sz w:val="24"/>
      <w:szCs w:val="32"/>
      <w:lang w:eastAsia="en-US" w:bidi="en-US"/>
    </w:rPr>
  </w:style>
  <w:style w:type="paragraph" w:customStyle="1" w:styleId="36">
    <w:name w:val="List Paragraph"/>
    <w:basedOn w:val="1"/>
    <w:qFormat/>
    <w:uiPriority w:val="0"/>
    <w:pPr>
      <w:widowControl/>
      <w:ind w:left="720"/>
      <w:contextualSpacing/>
      <w:jc w:val="left"/>
    </w:pPr>
    <w:rPr>
      <w:rFonts w:ascii="Calibri" w:hAnsi="Calibri" w:eastAsia="宋体"/>
      <w:kern w:val="0"/>
      <w:sz w:val="24"/>
      <w:lang w:eastAsia="en-US" w:bidi="en-US"/>
    </w:rPr>
  </w:style>
  <w:style w:type="paragraph" w:customStyle="1" w:styleId="37">
    <w:name w:val="Quote"/>
    <w:basedOn w:val="1"/>
    <w:next w:val="1"/>
    <w:link w:val="40"/>
    <w:qFormat/>
    <w:uiPriority w:val="0"/>
    <w:pPr>
      <w:widowControl/>
      <w:jc w:val="left"/>
    </w:pPr>
    <w:rPr>
      <w:i/>
      <w:sz w:val="24"/>
      <w:szCs w:val="24"/>
    </w:rPr>
  </w:style>
  <w:style w:type="paragraph" w:customStyle="1" w:styleId="38">
    <w:name w:val="Intense Quote"/>
    <w:basedOn w:val="1"/>
    <w:next w:val="1"/>
    <w:link w:val="41"/>
    <w:uiPriority w:val="0"/>
    <w:pPr>
      <w:widowControl/>
      <w:ind w:left="720" w:right="720"/>
      <w:jc w:val="left"/>
    </w:pPr>
    <w:rPr>
      <w:b/>
      <w:i/>
      <w:sz w:val="24"/>
    </w:rPr>
  </w:style>
  <w:style w:type="paragraph" w:customStyle="1" w:styleId="39">
    <w:name w:val="TOC Heading"/>
    <w:basedOn w:val="2"/>
    <w:next w:val="1"/>
    <w:uiPriority w:val="0"/>
    <w:pPr>
      <w:outlineLvl w:val="9"/>
    </w:pPr>
    <w:rPr>
      <w:lang w:eastAsia="en-US" w:bidi="en-US"/>
    </w:rPr>
  </w:style>
  <w:style w:type="character" w:customStyle="1" w:styleId="40">
    <w:name w:val="引用 Char"/>
    <w:basedOn w:val="15"/>
    <w:link w:val="37"/>
    <w:semiHidden/>
    <w:uiPriority w:val="0"/>
    <w:rPr>
      <w:i/>
      <w:sz w:val="24"/>
      <w:szCs w:val="24"/>
    </w:rPr>
  </w:style>
  <w:style w:type="character" w:customStyle="1" w:styleId="41">
    <w:name w:val="明显引用 Char"/>
    <w:basedOn w:val="15"/>
    <w:link w:val="38"/>
    <w:semiHidden/>
    <w:qFormat/>
    <w:uiPriority w:val="0"/>
    <w:rPr>
      <w:b/>
      <w:i/>
      <w:sz w:val="24"/>
    </w:rPr>
  </w:style>
  <w:style w:type="character" w:customStyle="1" w:styleId="42">
    <w:name w:val="Subtle Emphasis"/>
    <w:qFormat/>
    <w:uiPriority w:val="0"/>
    <w:rPr>
      <w:i/>
      <w:color w:val="565656"/>
    </w:rPr>
  </w:style>
  <w:style w:type="character" w:customStyle="1" w:styleId="43">
    <w:name w:val="Intense Emphasis"/>
    <w:basedOn w:val="15"/>
    <w:qFormat/>
    <w:uiPriority w:val="0"/>
    <w:rPr>
      <w:b/>
      <w:i/>
      <w:sz w:val="24"/>
      <w:szCs w:val="24"/>
      <w:u w:val="single"/>
    </w:rPr>
  </w:style>
  <w:style w:type="character" w:customStyle="1" w:styleId="44">
    <w:name w:val="Subtle Reference"/>
    <w:basedOn w:val="15"/>
    <w:qFormat/>
    <w:uiPriority w:val="0"/>
    <w:rPr>
      <w:sz w:val="24"/>
      <w:szCs w:val="24"/>
      <w:u w:val="single"/>
    </w:rPr>
  </w:style>
  <w:style w:type="character" w:customStyle="1" w:styleId="45">
    <w:name w:val="Intense Reference"/>
    <w:basedOn w:val="15"/>
    <w:qFormat/>
    <w:uiPriority w:val="0"/>
    <w:rPr>
      <w:b/>
      <w:sz w:val="24"/>
      <w:u w:val="single"/>
    </w:rPr>
  </w:style>
  <w:style w:type="character" w:customStyle="1" w:styleId="46">
    <w:name w:val="Book Title"/>
    <w:basedOn w:val="15"/>
    <w:qFormat/>
    <w:uiPriority w:val="0"/>
    <w:rPr>
      <w:rFonts w:ascii="Cambria" w:hAnsi="Cambria" w:eastAsia="宋体"/>
      <w:b/>
      <w:i/>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恺（预算处）</dc:creator>
  <cp:lastModifiedBy>1</cp:lastModifiedBy>
  <cp:lastPrinted>2019-01-13T20:20:00Z</cp:lastPrinted>
  <dcterms:modified xsi:type="dcterms:W3CDTF">2018-09-05T05:21:26Z</dcterms:modified>
  <dc:title>001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