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lang w:eastAsia="zh-CN"/>
        </w:rPr>
        <w:t>奇台县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  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2017</w:t>
      </w:r>
      <w:r>
        <w:rPr>
          <w:rFonts w:hint="eastAsia" w:hAnsi="宋体" w:eastAsia="仿宋_GB2312" w:cs="宋体"/>
          <w:kern w:val="0"/>
          <w:sz w:val="36"/>
          <w:szCs w:val="36"/>
        </w:rPr>
        <w:t>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基层政权机构建设公共租赁房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奇台县东湾镇人民政府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奇台县财政局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  <w:r>
        <w:rPr>
          <w:rFonts w:hint="eastAsia" w:hAnsi="宋体" w:eastAsia="仿宋_GB2312" w:cs="宋体"/>
          <w:kern w:val="0"/>
          <w:sz w:val="36"/>
          <w:szCs w:val="36"/>
          <w:lang w:eastAsia="zh-CN"/>
        </w:rPr>
        <w:t>郑君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2018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年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8</w:t>
      </w:r>
      <w:r>
        <w:rPr>
          <w:rFonts w:hint="eastAsia" w:hAnsi="宋体" w:eastAsia="仿宋_GB2312" w:cs="宋体"/>
          <w:kern w:val="0"/>
          <w:sz w:val="36"/>
          <w:szCs w:val="36"/>
        </w:rPr>
        <w:t>月</w:t>
      </w:r>
      <w:r>
        <w:rPr>
          <w:rFonts w:hint="eastAsia" w:hAnsi="宋体" w:eastAsia="仿宋_GB2312" w:cs="宋体"/>
          <w:kern w:val="0"/>
          <w:sz w:val="36"/>
          <w:szCs w:val="36"/>
          <w:lang w:val="en-US" w:eastAsia="zh-CN"/>
        </w:rPr>
        <w:t>25</w:t>
      </w:r>
      <w:r>
        <w:rPr>
          <w:rFonts w:hint="eastAsia" w:hAnsi="宋体" w:eastAsia="仿宋_GB2312" w:cs="宋体"/>
          <w:kern w:val="0"/>
          <w:sz w:val="36"/>
          <w:szCs w:val="36"/>
        </w:rPr>
        <w:t>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6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6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6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6"/>
          <w:rFonts w:ascii="楷体" w:hAnsi="楷体" w:eastAsia="楷体"/>
          <w:spacing w:val="-4"/>
          <w:sz w:val="32"/>
          <w:szCs w:val="32"/>
        </w:rPr>
      </w:pPr>
      <w:r>
        <w:rPr>
          <w:rStyle w:val="16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7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东湾镇位于城西南22km处，东临吉布库镇，西接吉木萨尔县，南依天山，北至大泉塔塔尔族乡。全镇总面积192平方公里，有4个行政村，52个村民小组,26个片组。总耕地面积15.28万亩（其中：水浇地14.5万亩，旱地0.78万亩。确权后合同地11.7万亩，人均耕地10亩）。境内有两个水库（白杨河和根葛尔水库）分别是根葛尔水库（小型），库容120万立方，年均引水量260万立方；白杨河水库（中型），库容990万方，年均引水量3400万方，占来水量的45%。</w:t>
      </w:r>
    </w:p>
    <w:p>
      <w:pPr>
        <w:spacing w:line="540" w:lineRule="exact"/>
        <w:ind w:firstLine="567"/>
        <w:rPr>
          <w:rStyle w:val="16"/>
          <w:rFonts w:ascii="楷体" w:hAnsi="楷体" w:eastAsia="楷体"/>
          <w:spacing w:val="-4"/>
          <w:sz w:val="32"/>
          <w:szCs w:val="32"/>
        </w:rPr>
      </w:pPr>
      <w:r>
        <w:rPr>
          <w:rFonts w:hint="eastAsia"/>
          <w:sz w:val="30"/>
          <w:szCs w:val="30"/>
        </w:rPr>
        <w:t>2017年全镇实现生产总值5.1亿元，增速6%以上，实现农村居民可支配收入17407元，较上年增加802元，增幅4.6%。</w:t>
      </w:r>
    </w:p>
    <w:p>
      <w:pPr>
        <w:spacing w:line="540" w:lineRule="exact"/>
        <w:ind w:firstLine="567" w:firstLineChars="181"/>
        <w:rPr>
          <w:rStyle w:val="16"/>
          <w:rFonts w:ascii="楷体" w:hAnsi="楷体" w:eastAsia="楷体"/>
          <w:spacing w:val="-4"/>
          <w:sz w:val="32"/>
          <w:szCs w:val="32"/>
        </w:rPr>
      </w:pPr>
      <w:r>
        <w:rPr>
          <w:rStyle w:val="16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6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6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spacing w:line="540" w:lineRule="exact"/>
        <w:ind w:firstLine="564" w:firstLineChars="181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6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该建设项目建设面积为</w:t>
      </w:r>
      <w:r>
        <w:rPr>
          <w:rStyle w:val="16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980平方米，</w:t>
      </w:r>
      <w:r>
        <w:rPr>
          <w:rStyle w:val="16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是基层政权建设项目，解决我镇全体机关干部“走读”、值班备勤时住宿所用。</w:t>
      </w:r>
    </w:p>
    <w:p>
      <w:pPr>
        <w:spacing w:line="540" w:lineRule="exact"/>
        <w:ind w:firstLine="640"/>
        <w:rPr>
          <w:rStyle w:val="1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6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6"/>
          <w:rFonts w:ascii="楷体" w:hAnsi="楷体" w:eastAsia="楷体"/>
          <w:spacing w:val="-4"/>
          <w:sz w:val="32"/>
          <w:szCs w:val="32"/>
        </w:rPr>
      </w:pPr>
      <w:r>
        <w:rPr>
          <w:rStyle w:val="16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564" w:firstLineChars="181"/>
        <w:rPr>
          <w:rStyle w:val="16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6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该建设项目总投资</w:t>
      </w:r>
      <w:r>
        <w:rPr>
          <w:rStyle w:val="16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144200元，均为上级拨款。</w:t>
      </w:r>
    </w:p>
    <w:p>
      <w:pPr>
        <w:spacing w:line="540" w:lineRule="exact"/>
        <w:ind w:firstLine="567" w:firstLineChars="181"/>
        <w:rPr>
          <w:rStyle w:val="16"/>
          <w:rFonts w:ascii="楷体" w:hAnsi="楷体" w:eastAsia="楷体"/>
          <w:spacing w:val="-4"/>
          <w:sz w:val="32"/>
          <w:szCs w:val="32"/>
        </w:rPr>
      </w:pPr>
      <w:r>
        <w:rPr>
          <w:rStyle w:val="16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564" w:firstLineChars="181"/>
        <w:rPr>
          <w:rStyle w:val="16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</w:pPr>
      <w:r>
        <w:rPr>
          <w:rStyle w:val="16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该建设项目总投资</w:t>
      </w:r>
      <w:r>
        <w:rPr>
          <w:rStyle w:val="16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144200元，用于土建工程建设及水电暖、装修等配套设施建设。</w:t>
      </w:r>
    </w:p>
    <w:p>
      <w:pPr>
        <w:spacing w:line="540" w:lineRule="exact"/>
        <w:ind w:firstLine="567" w:firstLineChars="181"/>
        <w:rPr>
          <w:rStyle w:val="16"/>
          <w:rFonts w:ascii="楷体" w:hAnsi="楷体" w:eastAsia="楷体"/>
          <w:spacing w:val="-4"/>
          <w:sz w:val="32"/>
          <w:szCs w:val="32"/>
        </w:rPr>
      </w:pPr>
      <w:r>
        <w:rPr>
          <w:rStyle w:val="16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6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遵守上级拨款程序进行项目拨款，</w:t>
      </w:r>
      <w:r>
        <w:rPr>
          <w:rStyle w:val="16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严格按照</w:t>
      </w:r>
      <w:r>
        <w:rPr>
          <w:rStyle w:val="16"/>
          <w:rFonts w:hint="eastAsia" w:ascii="仿宋" w:hAnsi="仿宋" w:eastAsia="仿宋" w:cs="Times New Roman"/>
          <w:b w:val="0"/>
          <w:spacing w:val="-4"/>
          <w:sz w:val="32"/>
          <w:szCs w:val="32"/>
          <w:highlight w:val="none"/>
          <w:lang w:val="en-US" w:eastAsia="zh-CN"/>
        </w:rPr>
        <w:t>《基层政权建设资金管理办法》和支付项目建设款审批制度拨付项目款。</w:t>
      </w:r>
    </w:p>
    <w:p>
      <w:pPr>
        <w:spacing w:line="540" w:lineRule="exact"/>
        <w:ind w:firstLine="640"/>
        <w:rPr>
          <w:rStyle w:val="1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6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spacing w:line="540" w:lineRule="exact"/>
        <w:ind w:firstLine="567" w:firstLineChars="181"/>
        <w:rPr>
          <w:rStyle w:val="16"/>
          <w:rFonts w:ascii="楷体" w:hAnsi="楷体" w:eastAsia="楷体"/>
          <w:spacing w:val="-4"/>
          <w:sz w:val="32"/>
          <w:szCs w:val="32"/>
        </w:rPr>
      </w:pPr>
      <w:r>
        <w:rPr>
          <w:rStyle w:val="16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6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该建设项目严格按照招投标程序完成招投标，并在项目验槽、竣工后组织五方验收，监理单位严格按照施工日程和用料等情况进行质量监管，严把工程建设质量关。</w:t>
      </w:r>
    </w:p>
    <w:p>
      <w:pPr>
        <w:spacing w:line="540" w:lineRule="exact"/>
        <w:ind w:firstLine="567" w:firstLineChars="181"/>
        <w:rPr>
          <w:rStyle w:val="16"/>
          <w:rFonts w:ascii="楷体" w:hAnsi="楷体" w:eastAsia="楷体"/>
          <w:spacing w:val="-4"/>
          <w:sz w:val="32"/>
          <w:szCs w:val="32"/>
        </w:rPr>
      </w:pPr>
      <w:r>
        <w:rPr>
          <w:rStyle w:val="16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6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该建设项目由工程监理单位实时监督，严格按照监理制度填写监理日志等相关资料，对不符和设计及工程材料的情况及时反馈，确保建设项目高标准建成。</w:t>
      </w:r>
    </w:p>
    <w:p>
      <w:pPr>
        <w:spacing w:line="540" w:lineRule="exact"/>
        <w:ind w:firstLine="640"/>
        <w:rPr>
          <w:rStyle w:val="16"/>
          <w:rFonts w:ascii="黑体" w:hAnsi="黑体" w:eastAsia="黑体"/>
        </w:rPr>
      </w:pPr>
      <w:r>
        <w:rPr>
          <w:rStyle w:val="16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6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6"/>
          <w:rFonts w:hint="eastAsia" w:ascii="仿宋" w:hAnsi="仿宋" w:eastAsia="仿宋"/>
          <w:b w:val="0"/>
          <w:spacing w:val="-4"/>
          <w:sz w:val="32"/>
          <w:szCs w:val="32"/>
          <w:highlight w:val="none"/>
          <w:lang w:val="en-US" w:eastAsia="zh-CN"/>
        </w:rPr>
        <w:t>基层政权建设补助资金及时足额到位，产出数量、质量符合标准规定。资金支出社会效益、经济效益、可持续效益显著提高和改善。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该建设项目按期竣工并投入使用。</w:t>
      </w:r>
    </w:p>
    <w:p>
      <w:pPr>
        <w:spacing w:line="540" w:lineRule="exact"/>
        <w:ind w:firstLine="640"/>
        <w:rPr>
          <w:rStyle w:val="1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6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640"/>
        <w:rPr>
          <w:rFonts w:hint="eastAsia" w:ascii="仿宋" w:hAnsi="仿宋" w:eastAsia="仿宋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spacing w:val="-4"/>
          <w:sz w:val="32"/>
          <w:szCs w:val="32"/>
          <w:lang w:eastAsia="zh-CN"/>
        </w:rPr>
        <w:t>爱护设施及购置的设备，对损坏的设施及时维修，设备及时维护，做好日常卫生管理。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主要经验及做法：严格按照资金拨付审批制度，基层政权建设项目专款专用，确保项目建设款及时拨付到位，避免引起拖欠农民工工资问题。</w:t>
      </w:r>
    </w:p>
    <w:p>
      <w:pPr>
        <w:spacing w:line="540" w:lineRule="exact"/>
        <w:ind w:firstLine="564" w:firstLineChars="181"/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存在问题：</w:t>
      </w: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资金量难以预算精确。受市场、人工、物流等因素的影响，资金难以以预算精确。</w:t>
      </w:r>
    </w:p>
    <w:p>
      <w:pPr>
        <w:pStyle w:val="38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2" w:lineRule="atLeast"/>
        <w:ind w:left="0" w:right="0" w:firstLine="420"/>
        <w:jc w:val="both"/>
        <w:rPr>
          <w:rFonts w:hint="eastAsia" w:ascii="仿宋_GB2312" w:eastAsia="仿宋_GB2312"/>
          <w:spacing w:val="-4"/>
          <w:sz w:val="32"/>
          <w:szCs w:val="32"/>
          <w:lang w:eastAsia="zh-CN"/>
        </w:rPr>
      </w:pP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建议：一、建议政府加大对基层政权建设资金的投入；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二是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确保专项经费及时足额到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位；三是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进一步规范资金管理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；四是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开展经常性督促检查，加强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基层政权</w:t>
      </w:r>
      <w:r>
        <w:rPr>
          <w:rFonts w:hint="default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建设和管理</w:t>
      </w:r>
      <w:r>
        <w:rPr>
          <w:rFonts w:hint="eastAsia" w:ascii="仿宋_GB2312" w:hAnsi="Times New Roman" w:eastAsia="仿宋_GB2312" w:cs="Times New Roman"/>
          <w:spacing w:val="-4"/>
          <w:sz w:val="32"/>
          <w:szCs w:val="32"/>
          <w:highlight w:val="none"/>
          <w:lang w:val="en-US" w:eastAsia="zh-CN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6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rPr>
          <w:rFonts w:ascii="仿宋_GB2312" w:eastAsia="仿宋_GB2312"/>
          <w:spacing w:val="-4"/>
          <w:sz w:val="32"/>
          <w:szCs w:val="32"/>
          <w:highlight w:val="none"/>
        </w:rPr>
      </w:pPr>
      <w:r>
        <w:rPr>
          <w:rFonts w:hint="eastAsia" w:ascii="仿宋_GB2312" w:eastAsia="仿宋_GB2312"/>
          <w:spacing w:val="-4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eastAsia="仿宋_GB2312"/>
          <w:spacing w:val="-4"/>
          <w:sz w:val="32"/>
          <w:szCs w:val="32"/>
          <w:lang w:eastAsia="zh-CN"/>
        </w:rPr>
        <w:t>该建设</w:t>
      </w:r>
      <w:r>
        <w:rPr>
          <w:rFonts w:hint="eastAsia" w:ascii="仿宋_GB2312" w:eastAsia="仿宋_GB2312"/>
          <w:spacing w:val="-4"/>
          <w:sz w:val="32"/>
          <w:szCs w:val="32"/>
          <w:highlight w:val="none"/>
          <w:lang w:val="en-US" w:eastAsia="zh-CN"/>
        </w:rPr>
        <w:t>项目经测绘确定勘界范围，勘界地块符合规划，验槽时地基开挖情况符合土地勘查报告数据，前期手续办理及招投标程序进展快速、顺利，按期进场施工，监理单位严把质量关，竣工五方验收均无发现不符合设计等大问题；补助资金按时、足额到位，保障了项目的正常开展；资金的使用也严格按照有关规定使用，在资金使用过程中没有出现贪污、截留、挪用等情况，为引发拖欠农民工工作及群体性上访事件。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6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6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6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18"/>
        <w:tblW w:w="902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1928"/>
        <w:gridCol w:w="132"/>
        <w:gridCol w:w="17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自治州财政项目支出绩效自评表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2017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基层政权机构建设公共租赁房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奇台县东湾镇人民政府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144200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144200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14200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14200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spacing w:line="540" w:lineRule="exact"/>
              <w:ind w:firstLine="362" w:firstLineChars="181"/>
              <w:rPr>
                <w:rStyle w:val="16"/>
                <w:rFonts w:ascii="仿宋" w:hAnsi="仿宋" w:eastAsia="仿宋"/>
                <w:b w:val="0"/>
                <w:spacing w:val="-4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Style w:val="16"/>
                <w:rFonts w:hint="eastAsia" w:ascii="仿宋" w:hAnsi="仿宋" w:eastAsia="仿宋"/>
                <w:b w:val="0"/>
                <w:spacing w:val="-4"/>
                <w:sz w:val="20"/>
                <w:szCs w:val="20"/>
                <w:lang w:eastAsia="zh-CN"/>
              </w:rPr>
              <w:t>该建设项目建设面积为</w:t>
            </w:r>
            <w:r>
              <w:rPr>
                <w:rStyle w:val="16"/>
                <w:rFonts w:hint="eastAsia" w:ascii="仿宋" w:hAnsi="仿宋" w:eastAsia="仿宋"/>
                <w:b w:val="0"/>
                <w:spacing w:val="-4"/>
                <w:sz w:val="20"/>
                <w:szCs w:val="20"/>
                <w:lang w:val="en-US" w:eastAsia="zh-CN"/>
              </w:rPr>
              <w:t>980平方米，</w:t>
            </w:r>
            <w:r>
              <w:rPr>
                <w:rStyle w:val="16"/>
                <w:rFonts w:hint="eastAsia" w:ascii="仿宋" w:hAnsi="仿宋" w:eastAsia="仿宋"/>
                <w:b w:val="0"/>
                <w:spacing w:val="-4"/>
                <w:sz w:val="20"/>
                <w:szCs w:val="20"/>
                <w:lang w:eastAsia="zh-CN"/>
              </w:rPr>
              <w:t>是基层政权建设项目，解决我镇全体机关干部“走读”、值班备勤时住宿所用。</w:t>
            </w:r>
          </w:p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384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按期竣工并投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入使用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土地平整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0.098公顷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0.098公顷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符合《建筑工程施工质量验收规范》等标准率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项目工程验收合格率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开工时间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按期开工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按期开工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竣工时间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按期竣工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按期竣工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交付使用时间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验收后一个月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验收后一个月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土地平整</w:t>
            </w:r>
          </w:p>
        </w:tc>
        <w:tc>
          <w:tcPr>
            <w:tcW w:w="19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≤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1.12万元/公顷</w:t>
            </w:r>
          </w:p>
        </w:tc>
        <w:tc>
          <w:tcPr>
            <w:tcW w:w="191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≤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1.12万元/公顷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……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受益人数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26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可持续影响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指标1：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指标2：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项目区群众满意度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机关干部满意度</w:t>
            </w:r>
          </w:p>
        </w:tc>
        <w:tc>
          <w:tcPr>
            <w:tcW w:w="20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100%</w:t>
            </w:r>
          </w:p>
        </w:tc>
      </w:tr>
    </w:tbl>
    <w:p>
      <w:pPr>
        <w:spacing w:line="540" w:lineRule="exact"/>
        <w:ind w:firstLine="567"/>
        <w:rPr>
          <w:rStyle w:val="16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4</w:t>
    </w:r>
    <w:r>
      <w:fldChar w:fldCharType="end"/>
    </w:r>
  </w:p>
  <w:p>
    <w:pPr>
      <w:pStyle w:val="11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7E653D"/>
    <w:rsid w:val="44861D0F"/>
    <w:rsid w:val="4D932B66"/>
    <w:rsid w:val="54A72A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0"/>
    <w:pPr>
      <w:keepNext/>
      <w:widowControl/>
      <w:spacing w:before="240" w:after="60"/>
      <w:jc w:val="left"/>
      <w:outlineLvl w:val="0"/>
    </w:pPr>
    <w:rPr>
      <w:rFonts w:ascii="Cambria" w:hAnsi="Cambria" w:eastAsia="宋体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0"/>
    <w:qFormat/>
    <w:uiPriority w:val="0"/>
    <w:pPr>
      <w:keepNext/>
      <w:widowControl/>
      <w:spacing w:before="240" w:after="60"/>
      <w:jc w:val="left"/>
      <w:outlineLvl w:val="1"/>
    </w:pPr>
    <w:rPr>
      <w:rFonts w:ascii="Cambria" w:hAnsi="Cambria" w:eastAsia="宋体"/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1"/>
    <w:qFormat/>
    <w:uiPriority w:val="0"/>
    <w:pPr>
      <w:keepNext/>
      <w:widowControl/>
      <w:spacing w:before="240" w:after="60"/>
      <w:jc w:val="left"/>
      <w:outlineLvl w:val="2"/>
    </w:pPr>
    <w:rPr>
      <w:rFonts w:ascii="Cambria" w:hAnsi="Cambria" w:eastAsia="宋体"/>
      <w:b/>
      <w:bCs/>
      <w:sz w:val="26"/>
      <w:szCs w:val="26"/>
    </w:rPr>
  </w:style>
  <w:style w:type="paragraph" w:styleId="5">
    <w:name w:val="heading 4"/>
    <w:basedOn w:val="1"/>
    <w:next w:val="1"/>
    <w:link w:val="22"/>
    <w:qFormat/>
    <w:uiPriority w:val="0"/>
    <w:pPr>
      <w:keepNext/>
      <w:widowControl/>
      <w:spacing w:before="240" w:after="60"/>
      <w:jc w:val="left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link w:val="23"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sz w:val="26"/>
      <w:szCs w:val="26"/>
    </w:rPr>
  </w:style>
  <w:style w:type="paragraph" w:styleId="7">
    <w:name w:val="heading 6"/>
    <w:basedOn w:val="1"/>
    <w:next w:val="1"/>
    <w:link w:val="24"/>
    <w:qFormat/>
    <w:uiPriority w:val="0"/>
    <w:pPr>
      <w:widowControl/>
      <w:spacing w:before="240" w:after="60"/>
      <w:jc w:val="left"/>
      <w:outlineLvl w:val="5"/>
    </w:pPr>
    <w:rPr>
      <w:b/>
      <w:bCs/>
    </w:rPr>
  </w:style>
  <w:style w:type="paragraph" w:styleId="8">
    <w:name w:val="heading 7"/>
    <w:basedOn w:val="1"/>
    <w:next w:val="1"/>
    <w:link w:val="25"/>
    <w:qFormat/>
    <w:uiPriority w:val="0"/>
    <w:pPr>
      <w:widowControl/>
      <w:spacing w:before="240" w:after="60"/>
      <w:jc w:val="left"/>
      <w:outlineLvl w:val="6"/>
    </w:pPr>
    <w:rPr>
      <w:sz w:val="24"/>
      <w:szCs w:val="24"/>
    </w:rPr>
  </w:style>
  <w:style w:type="paragraph" w:styleId="9">
    <w:name w:val="heading 8"/>
    <w:basedOn w:val="1"/>
    <w:next w:val="1"/>
    <w:link w:val="26"/>
    <w:qFormat/>
    <w:uiPriority w:val="0"/>
    <w:pPr>
      <w:widowControl/>
      <w:spacing w:before="240" w:after="60"/>
      <w:jc w:val="left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link w:val="27"/>
    <w:qFormat/>
    <w:uiPriority w:val="0"/>
    <w:pPr>
      <w:widowControl/>
      <w:spacing w:before="240" w:after="60"/>
      <w:jc w:val="left"/>
      <w:outlineLvl w:val="8"/>
    </w:pPr>
    <w:rPr>
      <w:rFonts w:ascii="Cambria" w:hAnsi="Cambria" w:eastAsia="宋体"/>
    </w:rPr>
  </w:style>
  <w:style w:type="character" w:default="1" w:styleId="15">
    <w:name w:val="Default Paragraph Font"/>
    <w:qFormat/>
    <w:uiPriority w:val="0"/>
  </w:style>
  <w:style w:type="table" w:default="1" w:styleId="1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28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kern w:val="2"/>
      <w:sz w:val="18"/>
      <w:szCs w:val="18"/>
    </w:rPr>
  </w:style>
  <w:style w:type="paragraph" w:styleId="12">
    <w:name w:val="header"/>
    <w:basedOn w:val="1"/>
    <w:link w:val="2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/>
      <w:kern w:val="2"/>
      <w:sz w:val="18"/>
      <w:szCs w:val="18"/>
    </w:rPr>
  </w:style>
  <w:style w:type="paragraph" w:styleId="13">
    <w:name w:val="Subtitle"/>
    <w:basedOn w:val="1"/>
    <w:next w:val="1"/>
    <w:link w:val="30"/>
    <w:qFormat/>
    <w:uiPriority w:val="0"/>
    <w:pPr>
      <w:widowControl/>
      <w:spacing w:after="60"/>
      <w:jc w:val="center"/>
      <w:outlineLvl w:val="1"/>
    </w:pPr>
    <w:rPr>
      <w:rFonts w:ascii="Cambria" w:hAnsi="Cambria" w:eastAsia="宋体"/>
      <w:sz w:val="24"/>
      <w:szCs w:val="24"/>
    </w:rPr>
  </w:style>
  <w:style w:type="paragraph" w:styleId="14">
    <w:name w:val="Title"/>
    <w:basedOn w:val="1"/>
    <w:next w:val="1"/>
    <w:link w:val="31"/>
    <w:qFormat/>
    <w:uiPriority w:val="0"/>
    <w:pPr>
      <w:widowControl/>
      <w:spacing w:before="240" w:after="60"/>
      <w:jc w:val="center"/>
      <w:outlineLvl w:val="0"/>
    </w:pPr>
    <w:rPr>
      <w:rFonts w:ascii="Cambria" w:hAnsi="Cambria" w:eastAsia="宋体"/>
      <w:b/>
      <w:bCs/>
      <w:kern w:val="28"/>
      <w:sz w:val="32"/>
      <w:szCs w:val="32"/>
    </w:rPr>
  </w:style>
  <w:style w:type="character" w:styleId="16">
    <w:name w:val="Strong"/>
    <w:basedOn w:val="15"/>
    <w:qFormat/>
    <w:uiPriority w:val="0"/>
    <w:rPr>
      <w:b/>
      <w:bCs/>
    </w:rPr>
  </w:style>
  <w:style w:type="character" w:styleId="17">
    <w:name w:val="Emphasis"/>
    <w:basedOn w:val="15"/>
    <w:qFormat/>
    <w:uiPriority w:val="0"/>
    <w:rPr>
      <w:rFonts w:ascii="Calibri" w:hAnsi="Calibri"/>
      <w:b/>
      <w:i/>
      <w:iCs/>
    </w:rPr>
  </w:style>
  <w:style w:type="character" w:customStyle="1" w:styleId="19">
    <w:name w:val="标题 1 Char"/>
    <w:basedOn w:val="15"/>
    <w:link w:val="2"/>
    <w:semiHidden/>
    <w:qFormat/>
    <w:uiPriority w:val="0"/>
    <w:rPr>
      <w:rFonts w:ascii="Cambria" w:hAnsi="Cambria" w:eastAsia="宋体"/>
      <w:b/>
      <w:bCs/>
      <w:kern w:val="32"/>
      <w:sz w:val="32"/>
      <w:szCs w:val="32"/>
    </w:rPr>
  </w:style>
  <w:style w:type="character" w:customStyle="1" w:styleId="20">
    <w:name w:val="标题 2 Char"/>
    <w:basedOn w:val="15"/>
    <w:link w:val="3"/>
    <w:semiHidden/>
    <w:qFormat/>
    <w:uiPriority w:val="0"/>
    <w:rPr>
      <w:rFonts w:ascii="Cambria" w:hAnsi="Cambria" w:eastAsia="宋体"/>
      <w:b/>
      <w:bCs/>
      <w:i/>
      <w:iCs/>
      <w:sz w:val="28"/>
      <w:szCs w:val="28"/>
    </w:rPr>
  </w:style>
  <w:style w:type="character" w:customStyle="1" w:styleId="21">
    <w:name w:val="标题 3 Char"/>
    <w:basedOn w:val="15"/>
    <w:link w:val="4"/>
    <w:semiHidden/>
    <w:qFormat/>
    <w:uiPriority w:val="0"/>
    <w:rPr>
      <w:rFonts w:ascii="Cambria" w:hAnsi="Cambria" w:eastAsia="宋体"/>
      <w:b/>
      <w:bCs/>
      <w:sz w:val="26"/>
      <w:szCs w:val="26"/>
    </w:rPr>
  </w:style>
  <w:style w:type="character" w:customStyle="1" w:styleId="22">
    <w:name w:val="标题 4 Char"/>
    <w:basedOn w:val="15"/>
    <w:link w:val="5"/>
    <w:semiHidden/>
    <w:qFormat/>
    <w:uiPriority w:val="0"/>
    <w:rPr>
      <w:b/>
      <w:bCs/>
      <w:sz w:val="28"/>
      <w:szCs w:val="28"/>
    </w:rPr>
  </w:style>
  <w:style w:type="character" w:customStyle="1" w:styleId="23">
    <w:name w:val="标题 5 Char"/>
    <w:basedOn w:val="15"/>
    <w:link w:val="6"/>
    <w:semiHidden/>
    <w:qFormat/>
    <w:uiPriority w:val="0"/>
    <w:rPr>
      <w:b/>
      <w:bCs/>
      <w:i/>
      <w:iCs/>
      <w:sz w:val="26"/>
      <w:szCs w:val="26"/>
    </w:rPr>
  </w:style>
  <w:style w:type="character" w:customStyle="1" w:styleId="24">
    <w:name w:val="标题 6 Char"/>
    <w:basedOn w:val="15"/>
    <w:link w:val="7"/>
    <w:semiHidden/>
    <w:qFormat/>
    <w:uiPriority w:val="0"/>
    <w:rPr>
      <w:b/>
      <w:bCs/>
    </w:rPr>
  </w:style>
  <w:style w:type="character" w:customStyle="1" w:styleId="25">
    <w:name w:val="标题 7 Char"/>
    <w:basedOn w:val="15"/>
    <w:link w:val="8"/>
    <w:semiHidden/>
    <w:qFormat/>
    <w:uiPriority w:val="0"/>
    <w:rPr>
      <w:sz w:val="24"/>
      <w:szCs w:val="24"/>
    </w:rPr>
  </w:style>
  <w:style w:type="character" w:customStyle="1" w:styleId="26">
    <w:name w:val="标题 8 Char"/>
    <w:basedOn w:val="15"/>
    <w:link w:val="9"/>
    <w:semiHidden/>
    <w:qFormat/>
    <w:uiPriority w:val="0"/>
    <w:rPr>
      <w:i/>
      <w:iCs/>
      <w:sz w:val="24"/>
      <w:szCs w:val="24"/>
    </w:rPr>
  </w:style>
  <w:style w:type="character" w:customStyle="1" w:styleId="27">
    <w:name w:val="标题 9 Char"/>
    <w:basedOn w:val="15"/>
    <w:link w:val="10"/>
    <w:semiHidden/>
    <w:uiPriority w:val="0"/>
    <w:rPr>
      <w:rFonts w:ascii="Cambria" w:hAnsi="Cambria" w:eastAsia="宋体"/>
    </w:rPr>
  </w:style>
  <w:style w:type="character" w:customStyle="1" w:styleId="28">
    <w:name w:val="页脚 Char"/>
    <w:basedOn w:val="15"/>
    <w:link w:val="11"/>
    <w:semiHidden/>
    <w:qFormat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29">
    <w:name w:val="页眉 Char"/>
    <w:basedOn w:val="15"/>
    <w:link w:val="12"/>
    <w:semiHidden/>
    <w:qFormat/>
    <w:uiPriority w:val="0"/>
    <w:rPr>
      <w:rFonts w:ascii="Calibri" w:hAnsi="Calibri" w:eastAsia="宋体"/>
      <w:kern w:val="2"/>
      <w:sz w:val="18"/>
      <w:szCs w:val="18"/>
    </w:rPr>
  </w:style>
  <w:style w:type="character" w:customStyle="1" w:styleId="30">
    <w:name w:val="副标题 Char"/>
    <w:basedOn w:val="15"/>
    <w:link w:val="13"/>
    <w:semiHidden/>
    <w:qFormat/>
    <w:uiPriority w:val="0"/>
    <w:rPr>
      <w:rFonts w:ascii="Cambria" w:hAnsi="Cambria" w:eastAsia="宋体"/>
      <w:sz w:val="24"/>
      <w:szCs w:val="24"/>
    </w:rPr>
  </w:style>
  <w:style w:type="character" w:customStyle="1" w:styleId="31">
    <w:name w:val="标题 Char"/>
    <w:basedOn w:val="15"/>
    <w:link w:val="14"/>
    <w:semiHidden/>
    <w:qFormat/>
    <w:uiPriority w:val="0"/>
    <w:rPr>
      <w:rFonts w:ascii="Cambria" w:hAnsi="Cambria" w:eastAsia="宋体"/>
      <w:b/>
      <w:bCs/>
      <w:kern w:val="28"/>
      <w:sz w:val="32"/>
      <w:szCs w:val="32"/>
    </w:rPr>
  </w:style>
  <w:style w:type="paragraph" w:customStyle="1" w:styleId="32">
    <w:name w:val="Block Text"/>
    <w:basedOn w:val="1"/>
    <w:next w:val="1"/>
    <w:link w:val="40"/>
    <w:qFormat/>
    <w:uiPriority w:val="0"/>
    <w:pPr>
      <w:widowControl/>
      <w:jc w:val="left"/>
    </w:pPr>
    <w:rPr>
      <w:i/>
      <w:sz w:val="24"/>
      <w:szCs w:val="24"/>
    </w:rPr>
  </w:style>
  <w:style w:type="paragraph" w:customStyle="1" w:styleId="33">
    <w:name w:val="批注框文本 Char Char"/>
    <w:basedOn w:val="1"/>
    <w:link w:val="39"/>
    <w:qFormat/>
    <w:uiPriority w:val="0"/>
    <w:rPr>
      <w:rFonts w:ascii="Times New Roman" w:hAnsi="Times New Roman" w:eastAsia="宋体"/>
      <w:kern w:val="2"/>
      <w:sz w:val="18"/>
      <w:szCs w:val="18"/>
    </w:rPr>
  </w:style>
  <w:style w:type="paragraph" w:customStyle="1" w:styleId="34">
    <w:name w:val="No Spacing"/>
    <w:basedOn w:val="1"/>
    <w:qFormat/>
    <w:uiPriority w:val="0"/>
    <w:pPr>
      <w:widowControl/>
      <w:jc w:val="left"/>
    </w:pPr>
    <w:rPr>
      <w:rFonts w:ascii="Calibri" w:hAnsi="Calibri" w:eastAsia="宋体" w:cs="Times New Roman"/>
      <w:kern w:val="0"/>
      <w:sz w:val="24"/>
      <w:szCs w:val="32"/>
      <w:lang w:val="en-US" w:eastAsia="en-US" w:bidi="en-US"/>
    </w:rPr>
  </w:style>
  <w:style w:type="paragraph" w:customStyle="1" w:styleId="35">
    <w:name w:val="List Paragraph"/>
    <w:basedOn w:val="1"/>
    <w:qFormat/>
    <w:uiPriority w:val="0"/>
    <w:pPr>
      <w:widowControl/>
      <w:ind w:left="720"/>
      <w:contextualSpacing/>
      <w:jc w:val="left"/>
    </w:pPr>
    <w:rPr>
      <w:rFonts w:ascii="Calibri" w:hAnsi="Calibri" w:eastAsia="宋体"/>
      <w:kern w:val="0"/>
      <w:sz w:val="24"/>
      <w:lang w:eastAsia="en-US" w:bidi="en-US"/>
    </w:rPr>
  </w:style>
  <w:style w:type="paragraph" w:customStyle="1" w:styleId="36">
    <w:name w:val="Intense Quote"/>
    <w:basedOn w:val="1"/>
    <w:next w:val="1"/>
    <w:link w:val="41"/>
    <w:qFormat/>
    <w:uiPriority w:val="0"/>
    <w:pPr>
      <w:widowControl/>
      <w:ind w:left="720" w:right="720"/>
      <w:jc w:val="left"/>
    </w:pPr>
    <w:rPr>
      <w:b/>
      <w:i/>
      <w:sz w:val="24"/>
    </w:rPr>
  </w:style>
  <w:style w:type="paragraph" w:customStyle="1" w:styleId="37">
    <w:name w:val="TOC Heading"/>
    <w:basedOn w:val="2"/>
    <w:next w:val="1"/>
    <w:qFormat/>
    <w:uiPriority w:val="0"/>
    <w:pPr>
      <w:outlineLvl w:val="9"/>
    </w:pPr>
    <w:rPr>
      <w:lang w:eastAsia="en-US" w:bidi="en-US"/>
    </w:rPr>
  </w:style>
  <w:style w:type="paragraph" w:customStyle="1" w:styleId="3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character" w:customStyle="1" w:styleId="39">
    <w:name w:val="批注框文本 Char Char Char"/>
    <w:basedOn w:val="15"/>
    <w:link w:val="33"/>
    <w:semiHidden/>
    <w:qFormat/>
    <w:uiPriority w:val="0"/>
    <w:rPr>
      <w:rFonts w:ascii="Times New Roman" w:hAnsi="Times New Roman" w:eastAsia="宋体"/>
      <w:kern w:val="2"/>
      <w:sz w:val="18"/>
      <w:szCs w:val="18"/>
    </w:rPr>
  </w:style>
  <w:style w:type="character" w:customStyle="1" w:styleId="40">
    <w:name w:val="引用 Char"/>
    <w:basedOn w:val="15"/>
    <w:link w:val="32"/>
    <w:semiHidden/>
    <w:qFormat/>
    <w:uiPriority w:val="0"/>
    <w:rPr>
      <w:i/>
      <w:sz w:val="24"/>
      <w:szCs w:val="24"/>
    </w:rPr>
  </w:style>
  <w:style w:type="character" w:customStyle="1" w:styleId="41">
    <w:name w:val="明显引用 Char"/>
    <w:basedOn w:val="15"/>
    <w:link w:val="36"/>
    <w:semiHidden/>
    <w:qFormat/>
    <w:uiPriority w:val="0"/>
    <w:rPr>
      <w:b/>
      <w:i/>
      <w:sz w:val="24"/>
    </w:rPr>
  </w:style>
  <w:style w:type="character" w:customStyle="1" w:styleId="42">
    <w:name w:val="Subtle Emphasis"/>
    <w:qFormat/>
    <w:uiPriority w:val="0"/>
    <w:rPr>
      <w:i/>
      <w:color w:val="595959"/>
    </w:rPr>
  </w:style>
  <w:style w:type="character" w:customStyle="1" w:styleId="43">
    <w:name w:val="Intense Emphasis"/>
    <w:basedOn w:val="15"/>
    <w:qFormat/>
    <w:uiPriority w:val="0"/>
    <w:rPr>
      <w:b/>
      <w:i/>
      <w:sz w:val="24"/>
      <w:szCs w:val="24"/>
      <w:u w:val="single"/>
    </w:rPr>
  </w:style>
  <w:style w:type="character" w:customStyle="1" w:styleId="44">
    <w:name w:val="Subtle Reference"/>
    <w:basedOn w:val="15"/>
    <w:qFormat/>
    <w:uiPriority w:val="0"/>
    <w:rPr>
      <w:sz w:val="24"/>
      <w:szCs w:val="24"/>
      <w:u w:val="single"/>
    </w:rPr>
  </w:style>
  <w:style w:type="character" w:customStyle="1" w:styleId="45">
    <w:name w:val="Intense Reference"/>
    <w:basedOn w:val="15"/>
    <w:qFormat/>
    <w:uiPriority w:val="0"/>
    <w:rPr>
      <w:b/>
      <w:sz w:val="24"/>
      <w:u w:val="single"/>
    </w:rPr>
  </w:style>
  <w:style w:type="character" w:customStyle="1" w:styleId="46">
    <w:name w:val="Book Title"/>
    <w:basedOn w:val="15"/>
    <w:qFormat/>
    <w:uiPriority w:val="0"/>
    <w:rPr>
      <w:rFonts w:ascii="Cambria" w:hAnsi="Cambria" w:eastAsia="宋体"/>
      <w:b/>
      <w:i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204</Words>
  <Characters>1164</Characters>
  <Lines>9</Lines>
  <Paragraphs>2</Paragraphs>
  <TotalTime>0</TotalTime>
  <ScaleCrop>false</ScaleCrop>
  <LinksUpToDate>false</LinksUpToDate>
  <CharactersWithSpaces>0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2018-08-15T18:06:00Z</dcterms:created>
  <dc:creator>赵 恺（预算处）</dc:creator>
  <cp:lastModifiedBy>xcj</cp:lastModifiedBy>
  <cp:lastPrinted>2019-01-14T04:20:00Z</cp:lastPrinted>
  <dcterms:modified xsi:type="dcterms:W3CDTF">2019-01-15T13:03:18Z</dcterms:modified>
  <dc:title>闫超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