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奇台县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2017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东湾镇文化活动广场主席台及广场改造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奇台县东湾镇人民政府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奇台县财政局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郑君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567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东湾镇位于城西南22km处，东临吉布库镇，西接吉木萨尔县，南依天山，北至大泉塔塔尔族乡。全镇总面积192平方公里，有4个行政村，52个村民小组,26个片组。总耕地面积15.28万亩（其中：水浇地14.5万亩，旱地0.78万亩。确权后合同地11.7万亩，人均耕地10亩）。境内有两个水库（白杨河和根葛尔水库）分别是根葛尔水库（小型），库容120万立方，年均引水量260万立方；白杨河水库（中型），库容990万方，年均引水量3400万方，占来水量的45%。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Fonts w:hint="eastAsia"/>
          <w:sz w:val="30"/>
          <w:szCs w:val="30"/>
        </w:rPr>
        <w:t>2017年全镇实现生产总值5.1亿元，增速6%以上，实现农村居民可支配收入17407元，较上年增加802元，增幅4.6%。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spacing w:line="540" w:lineRule="exact"/>
        <w:ind w:firstLine="564" w:firstLineChars="181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该建设项目加强农村文化建设，丰富群众生活，搭建了政府与群众之间互动共创的渠道。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564" w:firstLineChars="181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该建设项目总投资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230000元，均为上级拨款。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64" w:firstLineChars="181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该建设项目总投资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230000元，用于主席台改造及广场土地平整、树木种植、篮球场地建设、外围围栏建设等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highlight w:val="none"/>
          <w:lang w:val="en-US" w:eastAsia="zh-CN"/>
        </w:rPr>
        <w:t>遵守上级拨款程序进行项目拨款，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严格按照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highlight w:val="none"/>
          <w:lang w:val="en-US" w:eastAsia="zh-CN"/>
        </w:rPr>
        <w:t>《基层政权建设资金管理办法》和支付项目建设款审批制度拨付项目款。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该建设项目严格按照招投标程序完成招投标，并在项目验槽、竣工后组织五方验收，监理单位严格按照施工日程和用料等情况进行质量监管，严把工程建设质量关。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该建设项目由工程监理单位实时监督，严格按照监理制度填写监理日志等相关资料，对不符和设计的情况及时反馈，确保建设项目高标准建成。</w:t>
      </w: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7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基层政权建设补助资金及时足额到位，产出数量、质量符合标准规定。资金支出社会效益、经济效益、可持续效益显著提高和改善。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640"/>
        <w:rPr>
          <w:rFonts w:hint="eastAsia" w:ascii="仿宋" w:hAnsi="仿宋" w:eastAsia="仿宋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该建设项目按期竣工并投入使用。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640"/>
        <w:rPr>
          <w:rFonts w:hint="eastAsia" w:ascii="仿宋" w:hAnsi="仿宋" w:eastAsia="仿宋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爱护设施及购置的设备，对损坏的设施及时维修，设备及时维护，做好日常卫生管理。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564" w:firstLineChars="181"/>
        <w:rPr>
          <w:rFonts w:hint="eastAsia" w:ascii="仿宋_GB2312" w:eastAsia="仿宋_GB2312"/>
          <w:spacing w:val="-4"/>
          <w:sz w:val="32"/>
          <w:szCs w:val="32"/>
          <w:lang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lang w:eastAsia="zh-CN"/>
        </w:rPr>
        <w:t>主要经验及做法：严格按照资金拨付审批制度，基层政权建设项目专款专用，确保项目建设款及时拨付到位，避免引起拖欠农民工工资问题。</w:t>
      </w:r>
    </w:p>
    <w:p>
      <w:pPr>
        <w:spacing w:line="540" w:lineRule="exact"/>
        <w:ind w:firstLine="564" w:firstLineChars="181"/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lang w:eastAsia="zh-CN"/>
        </w:rPr>
        <w:t>存在问题：</w:t>
      </w:r>
      <w:r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  <w:t>资金量难以预算精确。受市场、人工、物流等因素的影响，资金难以以预算精确。</w:t>
      </w:r>
    </w:p>
    <w:p>
      <w:pPr>
        <w:pStyle w:val="46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2" w:lineRule="atLeast"/>
        <w:ind w:left="0" w:right="0" w:firstLine="420"/>
        <w:jc w:val="both"/>
        <w:rPr>
          <w:rFonts w:hint="eastAsia" w:ascii="仿宋_GB2312" w:eastAsia="仿宋_GB2312"/>
          <w:spacing w:val="-4"/>
          <w:sz w:val="32"/>
          <w:szCs w:val="32"/>
          <w:lang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  <w:t>建议：一、建议政府加大对基层政权建设资金的投入；</w:t>
      </w:r>
      <w:r>
        <w:rPr>
          <w:rFonts w:hint="eastAsia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二是</w:t>
      </w:r>
      <w:r>
        <w:rPr>
          <w:rFonts w:hint="default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确保专项经费及时足额到</w:t>
      </w:r>
      <w:r>
        <w:rPr>
          <w:rFonts w:hint="eastAsia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位；三是</w:t>
      </w:r>
      <w:r>
        <w:rPr>
          <w:rFonts w:hint="default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进一步规范资金管理</w:t>
      </w:r>
      <w:r>
        <w:rPr>
          <w:rFonts w:hint="eastAsia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；四是</w:t>
      </w:r>
      <w:r>
        <w:rPr>
          <w:rFonts w:hint="default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开展经常性督促检查，加强</w:t>
      </w:r>
      <w:r>
        <w:rPr>
          <w:rFonts w:hint="eastAsia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基层政权</w:t>
      </w:r>
      <w:r>
        <w:rPr>
          <w:rFonts w:hint="default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建设和管理</w:t>
      </w:r>
      <w:r>
        <w:rPr>
          <w:rFonts w:hint="eastAsia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rPr>
          <w:rFonts w:ascii="仿宋_GB2312" w:eastAsia="仿宋_GB2312"/>
          <w:spacing w:val="-4"/>
          <w:sz w:val="32"/>
          <w:szCs w:val="32"/>
          <w:highlight w:val="none"/>
        </w:rPr>
      </w:pPr>
      <w:r>
        <w:rPr>
          <w:rFonts w:hint="eastAsia" w:ascii="仿宋_GB2312" w:eastAsia="仿宋_GB2312"/>
          <w:spacing w:val="-4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eastAsia="仿宋_GB2312"/>
          <w:spacing w:val="-4"/>
          <w:sz w:val="32"/>
          <w:szCs w:val="32"/>
          <w:lang w:eastAsia="zh-CN"/>
        </w:rPr>
        <w:t>该建设</w:t>
      </w:r>
      <w:r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  <w:t>项目进展快速、顺利，按期进场施工，补助资金按时、足额到位，保障了项目的正常开展；资金的使用也严格按照有关规定使用，在资金使用过程中没有出现贪污、截留、挪用等情况，为引发拖欠农民工工作及群体性上访事件。</w:t>
      </w:r>
    </w:p>
    <w:p>
      <w:pPr>
        <w:ind w:firstLine="624" w:firstLineChars="200"/>
        <w:rPr>
          <w:rFonts w:ascii="仿宋_GB2312" w:eastAsia="仿宋_GB2312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《自治州财政项目支出绩效自评表》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9"/>
        <w:tblW w:w="90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自治州财政项目支出绩效自评表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2017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东湾镇文化活动广场主席台及广场改造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奇台县东湾镇人民政府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230000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230000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230000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230000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40" w:lineRule="exact"/>
              <w:ind w:firstLine="362" w:firstLineChars="181"/>
              <w:rPr>
                <w:rStyle w:val="17"/>
                <w:rFonts w:ascii="仿宋" w:hAnsi="仿宋" w:eastAsia="仿宋"/>
                <w:b w:val="0"/>
                <w:spacing w:val="-4"/>
                <w:sz w:val="20"/>
                <w:szCs w:val="20"/>
              </w:rPr>
            </w:pPr>
            <w:bookmarkStart w:id="0" w:name="_GoBack"/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Style w:val="17"/>
                <w:rFonts w:hint="eastAsia" w:ascii="仿宋" w:hAnsi="仿宋" w:eastAsia="仿宋"/>
                <w:b w:val="0"/>
                <w:spacing w:val="-4"/>
                <w:sz w:val="20"/>
                <w:szCs w:val="20"/>
                <w:lang w:eastAsia="zh-CN"/>
              </w:rPr>
              <w:t>该建设项目加强农村文化建设，丰富群众生活，搭建了政府与群众之间互动共创的渠道。</w:t>
            </w:r>
          </w:p>
          <w:bookmarkEnd w:id="0"/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按期竣工并投入使用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土地平整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符合《建筑工程施工质量验收规范》等标准率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项目工程验收合格率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开工时间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按期开工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按期开工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竣工时间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按期竣工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按期竣工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交付使用时间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验收后一个月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验收后一个月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受益人数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项目区群众满意度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机关干部满意度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</w:tbl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903A9D"/>
    <w:rsid w:val="18E90888"/>
    <w:rsid w:val="41CE3F6F"/>
    <w:rsid w:val="6CE17A22"/>
    <w:rsid w:val="71B96E4B"/>
    <w:rsid w:val="779146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uiPriority w:val="0"/>
    <w:pPr>
      <w:keepNext/>
      <w:widowControl/>
      <w:spacing w:before="240" w:after="60"/>
      <w:jc w:val="left"/>
      <w:outlineLvl w:val="0"/>
    </w:pPr>
    <w:rPr>
      <w:rFonts w:ascii="Cambria" w:hAnsi="Cambria" w:eastAsia="宋体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uiPriority w:val="0"/>
    <w:pPr>
      <w:keepNext/>
      <w:widowControl/>
      <w:spacing w:before="240" w:after="60"/>
      <w:jc w:val="left"/>
      <w:outlineLvl w:val="1"/>
    </w:pPr>
    <w:rPr>
      <w:rFonts w:ascii="Cambria" w:hAnsi="Cambria" w:eastAsia="宋体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2"/>
    <w:qFormat/>
    <w:uiPriority w:val="0"/>
    <w:pPr>
      <w:keepNext/>
      <w:widowControl/>
      <w:spacing w:before="240" w:after="60"/>
      <w:jc w:val="left"/>
      <w:outlineLvl w:val="2"/>
    </w:pPr>
    <w:rPr>
      <w:rFonts w:ascii="Cambria" w:hAnsi="Cambria" w:eastAsia="宋体"/>
      <w:b/>
      <w:bCs/>
      <w:sz w:val="26"/>
      <w:szCs w:val="26"/>
    </w:rPr>
  </w:style>
  <w:style w:type="paragraph" w:styleId="5">
    <w:name w:val="heading 4"/>
    <w:basedOn w:val="1"/>
    <w:next w:val="1"/>
    <w:link w:val="23"/>
    <w:qFormat/>
    <w:uiPriority w:val="0"/>
    <w:pPr>
      <w:keepNext/>
      <w:widowControl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link w:val="24"/>
    <w:qFormat/>
    <w:uiPriority w:val="0"/>
    <w:pPr>
      <w:widowControl/>
      <w:spacing w:before="240" w:after="60"/>
      <w:jc w:val="left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link w:val="25"/>
    <w:uiPriority w:val="0"/>
    <w:pPr>
      <w:widowControl/>
      <w:spacing w:before="240" w:after="60"/>
      <w:jc w:val="left"/>
      <w:outlineLvl w:val="5"/>
    </w:pPr>
    <w:rPr>
      <w:b/>
      <w:bCs/>
    </w:rPr>
  </w:style>
  <w:style w:type="paragraph" w:styleId="8">
    <w:name w:val="heading 7"/>
    <w:basedOn w:val="1"/>
    <w:next w:val="1"/>
    <w:link w:val="26"/>
    <w:uiPriority w:val="0"/>
    <w:pPr>
      <w:widowControl/>
      <w:spacing w:before="240" w:after="60"/>
      <w:jc w:val="left"/>
      <w:outlineLvl w:val="6"/>
    </w:pPr>
    <w:rPr>
      <w:sz w:val="24"/>
      <w:szCs w:val="24"/>
    </w:rPr>
  </w:style>
  <w:style w:type="paragraph" w:styleId="9">
    <w:name w:val="heading 8"/>
    <w:basedOn w:val="1"/>
    <w:next w:val="1"/>
    <w:link w:val="27"/>
    <w:uiPriority w:val="0"/>
    <w:pPr>
      <w:widowControl/>
      <w:spacing w:before="240" w:after="60"/>
      <w:jc w:val="left"/>
      <w:outlineLvl w:val="7"/>
    </w:pPr>
    <w:rPr>
      <w:i/>
      <w:iCs/>
      <w:sz w:val="24"/>
      <w:szCs w:val="24"/>
    </w:rPr>
  </w:style>
  <w:style w:type="paragraph" w:styleId="10">
    <w:name w:val="heading 9"/>
    <w:basedOn w:val="1"/>
    <w:next w:val="1"/>
    <w:link w:val="28"/>
    <w:qFormat/>
    <w:uiPriority w:val="0"/>
    <w:pPr>
      <w:widowControl/>
      <w:spacing w:before="240" w:after="60"/>
      <w:jc w:val="left"/>
      <w:outlineLvl w:val="8"/>
    </w:pPr>
    <w:rPr>
      <w:rFonts w:ascii="Cambria" w:hAnsi="Cambria" w:eastAsia="宋体"/>
    </w:rPr>
  </w:style>
  <w:style w:type="character" w:default="1" w:styleId="16">
    <w:name w:val="Default Paragraph Font"/>
    <w:uiPriority w:val="0"/>
  </w:style>
  <w:style w:type="table" w:default="1" w:styleId="1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lock Text"/>
    <w:basedOn w:val="1"/>
    <w:next w:val="1"/>
    <w:link w:val="39"/>
    <w:qFormat/>
    <w:uiPriority w:val="0"/>
    <w:pPr>
      <w:widowControl/>
      <w:jc w:val="left"/>
    </w:pPr>
    <w:rPr>
      <w:i/>
      <w:sz w:val="24"/>
      <w:szCs w:val="24"/>
    </w:rPr>
  </w:style>
  <w:style w:type="paragraph" w:styleId="12">
    <w:name w:val="footer"/>
    <w:basedOn w:val="1"/>
    <w:link w:val="31"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kern w:val="2"/>
      <w:sz w:val="18"/>
      <w:szCs w:val="18"/>
    </w:rPr>
  </w:style>
  <w:style w:type="paragraph" w:styleId="13">
    <w:name w:val="header"/>
    <w:basedOn w:val="1"/>
    <w:link w:val="3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/>
      <w:kern w:val="2"/>
      <w:sz w:val="18"/>
      <w:szCs w:val="18"/>
    </w:rPr>
  </w:style>
  <w:style w:type="paragraph" w:styleId="14">
    <w:name w:val="Subtitle"/>
    <w:basedOn w:val="1"/>
    <w:next w:val="1"/>
    <w:link w:val="33"/>
    <w:qFormat/>
    <w:uiPriority w:val="0"/>
    <w:pPr>
      <w:widowControl/>
      <w:spacing w:after="60"/>
      <w:jc w:val="center"/>
      <w:outlineLvl w:val="1"/>
    </w:pPr>
    <w:rPr>
      <w:rFonts w:ascii="Cambria" w:hAnsi="Cambria" w:eastAsia="宋体"/>
      <w:sz w:val="24"/>
      <w:szCs w:val="24"/>
    </w:rPr>
  </w:style>
  <w:style w:type="paragraph" w:styleId="15">
    <w:name w:val="Title"/>
    <w:basedOn w:val="1"/>
    <w:next w:val="1"/>
    <w:link w:val="34"/>
    <w:qFormat/>
    <w:uiPriority w:val="0"/>
    <w:pPr>
      <w:widowControl/>
      <w:spacing w:before="240" w:after="60"/>
      <w:jc w:val="center"/>
      <w:outlineLvl w:val="0"/>
    </w:pPr>
    <w:rPr>
      <w:rFonts w:ascii="Cambria" w:hAnsi="Cambria" w:eastAsia="宋体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uiPriority w:val="0"/>
    <w:rPr>
      <w:rFonts w:ascii="Calibri" w:hAnsi="Calibri"/>
      <w:b/>
      <w:i/>
      <w:iCs/>
    </w:rPr>
  </w:style>
  <w:style w:type="character" w:customStyle="1" w:styleId="20">
    <w:name w:val="标题 1 Char"/>
    <w:basedOn w:val="16"/>
    <w:link w:val="2"/>
    <w:semiHidden/>
    <w:qFormat/>
    <w:uiPriority w:val="0"/>
    <w:rPr>
      <w:rFonts w:ascii="Cambria" w:hAnsi="Cambria" w:eastAsia="宋体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3"/>
    <w:semiHidden/>
    <w:qFormat/>
    <w:uiPriority w:val="0"/>
    <w:rPr>
      <w:rFonts w:ascii="Cambria" w:hAnsi="Cambria" w:eastAsia="宋体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4"/>
    <w:semiHidden/>
    <w:qFormat/>
    <w:uiPriority w:val="0"/>
    <w:rPr>
      <w:rFonts w:ascii="Cambria" w:hAnsi="Cambria" w:eastAsia="宋体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qFormat/>
    <w:uiPriority w:val="0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0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qFormat/>
    <w:uiPriority w:val="0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0"/>
    <w:rPr>
      <w:sz w:val="24"/>
      <w:szCs w:val="24"/>
    </w:rPr>
  </w:style>
  <w:style w:type="character" w:customStyle="1" w:styleId="27">
    <w:name w:val="标题 8 Char"/>
    <w:basedOn w:val="16"/>
    <w:link w:val="9"/>
    <w:semiHidden/>
    <w:qFormat/>
    <w:uiPriority w:val="0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0"/>
    <w:rPr>
      <w:rFonts w:ascii="Cambria" w:hAnsi="Cambria" w:eastAsia="宋体"/>
    </w:rPr>
  </w:style>
  <w:style w:type="paragraph" w:customStyle="1" w:styleId="29">
    <w:name w:val="批注框文本1"/>
    <w:basedOn w:val="1"/>
    <w:link w:val="30"/>
    <w:qFormat/>
    <w:uiPriority w:val="0"/>
    <w:rPr>
      <w:rFonts w:ascii="Times New Roman" w:hAnsi="Times New Roman" w:eastAsia="宋体"/>
      <w:kern w:val="2"/>
      <w:sz w:val="18"/>
      <w:szCs w:val="18"/>
    </w:rPr>
  </w:style>
  <w:style w:type="character" w:customStyle="1" w:styleId="30">
    <w:name w:val="批注框文本 Char"/>
    <w:basedOn w:val="16"/>
    <w:link w:val="29"/>
    <w:semiHidden/>
    <w:qFormat/>
    <w:uiPriority w:val="0"/>
    <w:rPr>
      <w:rFonts w:ascii="Times New Roman" w:hAnsi="Times New Roman" w:eastAsia="宋体"/>
      <w:kern w:val="2"/>
      <w:sz w:val="18"/>
      <w:szCs w:val="18"/>
    </w:rPr>
  </w:style>
  <w:style w:type="character" w:customStyle="1" w:styleId="31">
    <w:name w:val="页脚 Char"/>
    <w:basedOn w:val="16"/>
    <w:link w:val="12"/>
    <w:semiHidden/>
    <w:qFormat/>
    <w:uiPriority w:val="0"/>
    <w:rPr>
      <w:rFonts w:ascii="Calibri" w:hAnsi="Calibri" w:eastAsia="宋体"/>
      <w:kern w:val="2"/>
      <w:sz w:val="18"/>
      <w:szCs w:val="18"/>
    </w:rPr>
  </w:style>
  <w:style w:type="character" w:customStyle="1" w:styleId="32">
    <w:name w:val="页眉 Char"/>
    <w:basedOn w:val="16"/>
    <w:link w:val="13"/>
    <w:semiHidden/>
    <w:uiPriority w:val="0"/>
    <w:rPr>
      <w:rFonts w:ascii="Calibri" w:hAnsi="Calibri" w:eastAsia="宋体"/>
      <w:kern w:val="2"/>
      <w:sz w:val="18"/>
      <w:szCs w:val="18"/>
    </w:rPr>
  </w:style>
  <w:style w:type="character" w:customStyle="1" w:styleId="33">
    <w:name w:val="副标题 Char"/>
    <w:basedOn w:val="16"/>
    <w:link w:val="14"/>
    <w:semiHidden/>
    <w:qFormat/>
    <w:uiPriority w:val="0"/>
    <w:rPr>
      <w:rFonts w:ascii="Cambria" w:hAnsi="Cambria" w:eastAsia="宋体"/>
      <w:sz w:val="24"/>
      <w:szCs w:val="24"/>
    </w:rPr>
  </w:style>
  <w:style w:type="character" w:customStyle="1" w:styleId="34">
    <w:name w:val="标题 Char"/>
    <w:basedOn w:val="16"/>
    <w:link w:val="15"/>
    <w:semiHidden/>
    <w:qFormat/>
    <w:uiPriority w:val="0"/>
    <w:rPr>
      <w:rFonts w:ascii="Cambria" w:hAnsi="Cambria" w:eastAsia="宋体"/>
      <w:b/>
      <w:bCs/>
      <w:kern w:val="28"/>
      <w:sz w:val="32"/>
      <w:szCs w:val="32"/>
    </w:rPr>
  </w:style>
  <w:style w:type="paragraph" w:customStyle="1" w:styleId="35">
    <w:name w:val="No Spacing"/>
    <w:basedOn w:val="1"/>
    <w:qFormat/>
    <w:uiPriority w:val="0"/>
    <w:pPr>
      <w:widowControl/>
      <w:jc w:val="left"/>
    </w:pPr>
    <w:rPr>
      <w:rFonts w:ascii="Calibri" w:hAnsi="Calibri" w:eastAsia="宋体" w:cs="Times New Roman"/>
      <w:kern w:val="0"/>
      <w:sz w:val="24"/>
      <w:szCs w:val="32"/>
      <w:lang w:val="en-US" w:eastAsia="en-US" w:bidi="en-US"/>
    </w:rPr>
  </w:style>
  <w:style w:type="paragraph" w:customStyle="1" w:styleId="36">
    <w:name w:val="List Paragraph"/>
    <w:basedOn w:val="1"/>
    <w:uiPriority w:val="0"/>
    <w:pPr>
      <w:widowControl/>
      <w:ind w:left="720"/>
      <w:contextualSpacing/>
      <w:jc w:val="left"/>
    </w:pPr>
    <w:rPr>
      <w:rFonts w:ascii="Calibri" w:hAnsi="Calibri" w:eastAsia="宋体"/>
      <w:kern w:val="0"/>
      <w:sz w:val="24"/>
      <w:lang w:eastAsia="en-US" w:bidi="en-US"/>
    </w:rPr>
  </w:style>
  <w:style w:type="paragraph" w:customStyle="1" w:styleId="37">
    <w:name w:val="Intense Quote"/>
    <w:basedOn w:val="1"/>
    <w:next w:val="1"/>
    <w:link w:val="40"/>
    <w:qFormat/>
    <w:uiPriority w:val="0"/>
    <w:pPr>
      <w:widowControl/>
      <w:ind w:left="720" w:right="720"/>
      <w:jc w:val="left"/>
    </w:pPr>
    <w:rPr>
      <w:b/>
      <w:i/>
      <w:sz w:val="24"/>
    </w:rPr>
  </w:style>
  <w:style w:type="paragraph" w:customStyle="1" w:styleId="38">
    <w:name w:val="TOC Heading"/>
    <w:basedOn w:val="2"/>
    <w:next w:val="1"/>
    <w:qFormat/>
    <w:uiPriority w:val="0"/>
    <w:pPr>
      <w:outlineLvl w:val="9"/>
    </w:pPr>
    <w:rPr>
      <w:lang w:eastAsia="en-US" w:bidi="en-US"/>
    </w:rPr>
  </w:style>
  <w:style w:type="character" w:customStyle="1" w:styleId="39">
    <w:name w:val="引用 Char"/>
    <w:basedOn w:val="16"/>
    <w:link w:val="11"/>
    <w:semiHidden/>
    <w:uiPriority w:val="0"/>
    <w:rPr>
      <w:i/>
      <w:sz w:val="24"/>
      <w:szCs w:val="24"/>
    </w:rPr>
  </w:style>
  <w:style w:type="character" w:customStyle="1" w:styleId="40">
    <w:name w:val="明显引用 Char"/>
    <w:basedOn w:val="16"/>
    <w:link w:val="37"/>
    <w:semiHidden/>
    <w:qFormat/>
    <w:uiPriority w:val="0"/>
    <w:rPr>
      <w:b/>
      <w:i/>
      <w:sz w:val="24"/>
    </w:rPr>
  </w:style>
  <w:style w:type="character" w:customStyle="1" w:styleId="41">
    <w:name w:val="Subtle Emphasis"/>
    <w:uiPriority w:val="0"/>
    <w:rPr>
      <w:i/>
      <w:color w:val="595959"/>
    </w:rPr>
  </w:style>
  <w:style w:type="character" w:customStyle="1" w:styleId="42">
    <w:name w:val="Intense Emphasis"/>
    <w:basedOn w:val="16"/>
    <w:qFormat/>
    <w:uiPriority w:val="0"/>
    <w:rPr>
      <w:b/>
      <w:i/>
      <w:sz w:val="24"/>
      <w:szCs w:val="24"/>
      <w:u w:val="single"/>
    </w:rPr>
  </w:style>
  <w:style w:type="character" w:customStyle="1" w:styleId="43">
    <w:name w:val="Subtle Reference"/>
    <w:basedOn w:val="16"/>
    <w:qFormat/>
    <w:uiPriority w:val="0"/>
    <w:rPr>
      <w:sz w:val="24"/>
      <w:szCs w:val="24"/>
      <w:u w:val="single"/>
    </w:rPr>
  </w:style>
  <w:style w:type="character" w:customStyle="1" w:styleId="44">
    <w:name w:val="Intense Reference"/>
    <w:basedOn w:val="16"/>
    <w:qFormat/>
    <w:uiPriority w:val="0"/>
    <w:rPr>
      <w:b/>
      <w:sz w:val="24"/>
      <w:u w:val="single"/>
    </w:rPr>
  </w:style>
  <w:style w:type="character" w:customStyle="1" w:styleId="45">
    <w:name w:val="Book Title"/>
    <w:basedOn w:val="16"/>
    <w:qFormat/>
    <w:uiPriority w:val="0"/>
    <w:rPr>
      <w:rFonts w:ascii="Cambria" w:hAnsi="Cambria" w:eastAsia="宋体"/>
      <w:b/>
      <w:i/>
      <w:sz w:val="24"/>
      <w:szCs w:val="24"/>
    </w:rPr>
  </w:style>
  <w:style w:type="paragraph" w:customStyle="1" w:styleId="4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204</Words>
  <Characters>1164</Characters>
  <Lines>9</Lines>
  <Paragraphs>2</Paragraphs>
  <TotalTime>0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2018-08-15T10:06:00Z</dcterms:created>
  <dc:creator>赵 恺（预算处）</dc:creator>
  <cp:lastModifiedBy>xcj</cp:lastModifiedBy>
  <cp:lastPrinted>2019-01-13T20:20:00Z</cp:lastPrinted>
  <dcterms:modified xsi:type="dcterms:W3CDTF">2019-01-15T13:01:18Z</dcterms:modified>
  <dc:title>闫超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