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自治州财政项目支出绩效自评报告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ascii="楷体_GB2312" w:hAnsi="楷体_GB2312" w:eastAsia="楷体_GB2312" w:cs="楷体_GB2312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</w:t>
      </w:r>
      <w:r>
        <w:rPr>
          <w:rFonts w:hint="eastAsia" w:ascii="楷体_GB2312" w:hAnsi="楷体_GB2312" w:eastAsia="楷体_GB2312" w:cs="楷体_GB2312"/>
          <w:kern w:val="0"/>
          <w:sz w:val="36"/>
          <w:szCs w:val="36"/>
        </w:rPr>
        <w:t xml:space="preserve">  项目名称：</w:t>
      </w:r>
      <w:r>
        <w:rPr>
          <w:rFonts w:hint="eastAsia" w:ascii="楷体_GB2312" w:hAnsi="楷体_GB2312" w:eastAsia="楷体_GB2312" w:cs="楷体_GB2312"/>
          <w:kern w:val="0"/>
          <w:sz w:val="36"/>
          <w:szCs w:val="36"/>
          <w:lang w:eastAsia="zh-CN"/>
        </w:rPr>
        <w:t>东湾镇办公大楼外墙真石漆喷涂</w:t>
      </w:r>
    </w:p>
    <w:p>
      <w:pPr>
        <w:spacing w:line="700" w:lineRule="exact"/>
        <w:jc w:val="left"/>
        <w:rPr>
          <w:rFonts w:hint="eastAsia" w:ascii="楷体_GB2312" w:hAnsi="楷体_GB2312" w:eastAsia="楷体_GB2312" w:cs="楷体_GB2312"/>
          <w:kern w:val="0"/>
          <w:sz w:val="36"/>
          <w:szCs w:val="36"/>
          <w:lang w:eastAsia="zh-CN"/>
        </w:rPr>
      </w:pPr>
      <w:r>
        <w:rPr>
          <w:rFonts w:hint="eastAsia" w:ascii="楷体_GB2312" w:hAnsi="楷体_GB2312" w:eastAsia="楷体_GB2312" w:cs="楷体_GB2312"/>
          <w:kern w:val="0"/>
          <w:sz w:val="36"/>
          <w:szCs w:val="36"/>
        </w:rPr>
        <w:t xml:space="preserve">     实施单位（公章）：</w:t>
      </w:r>
      <w:r>
        <w:rPr>
          <w:rFonts w:hint="eastAsia" w:ascii="楷体_GB2312" w:hAnsi="楷体_GB2312" w:eastAsia="楷体_GB2312" w:cs="楷体_GB2312"/>
          <w:kern w:val="0"/>
          <w:sz w:val="36"/>
          <w:szCs w:val="36"/>
          <w:lang w:eastAsia="zh-CN"/>
        </w:rPr>
        <w:t>东湾镇人民政府</w:t>
      </w:r>
    </w:p>
    <w:p>
      <w:pPr>
        <w:spacing w:line="700" w:lineRule="exact"/>
        <w:ind w:firstLine="849" w:firstLineChars="236"/>
        <w:jc w:val="left"/>
        <w:rPr>
          <w:rFonts w:hint="eastAsia" w:ascii="楷体_GB2312" w:hAnsi="楷体_GB2312" w:eastAsia="楷体_GB2312" w:cs="楷体_GB2312"/>
          <w:kern w:val="0"/>
          <w:sz w:val="36"/>
          <w:szCs w:val="36"/>
          <w:lang w:eastAsia="zh-CN"/>
        </w:rPr>
      </w:pPr>
      <w:r>
        <w:rPr>
          <w:rFonts w:hint="eastAsia" w:ascii="楷体_GB2312" w:hAnsi="楷体_GB2312" w:eastAsia="楷体_GB2312" w:cs="楷体_GB2312"/>
          <w:kern w:val="0"/>
          <w:sz w:val="36"/>
          <w:szCs w:val="36"/>
        </w:rPr>
        <w:t>主管部门（公章）：</w:t>
      </w:r>
      <w:r>
        <w:rPr>
          <w:rFonts w:hint="eastAsia" w:ascii="楷体_GB2312" w:hAnsi="楷体_GB2312" w:eastAsia="楷体_GB2312" w:cs="楷体_GB2312"/>
          <w:kern w:val="0"/>
          <w:sz w:val="36"/>
          <w:szCs w:val="36"/>
          <w:lang w:eastAsia="zh-CN"/>
        </w:rPr>
        <w:t>奇台县财政局</w:t>
      </w:r>
    </w:p>
    <w:p>
      <w:pPr>
        <w:spacing w:line="700" w:lineRule="exact"/>
        <w:ind w:firstLine="849" w:firstLineChars="236"/>
        <w:jc w:val="left"/>
        <w:rPr>
          <w:rFonts w:hint="eastAsia" w:ascii="楷体_GB2312" w:hAnsi="楷体_GB2312" w:eastAsia="楷体_GB2312" w:cs="楷体_GB2312"/>
          <w:kern w:val="0"/>
          <w:sz w:val="36"/>
          <w:szCs w:val="36"/>
          <w:lang w:eastAsia="zh-CN"/>
        </w:rPr>
      </w:pPr>
      <w:r>
        <w:rPr>
          <w:rFonts w:hint="eastAsia" w:ascii="楷体_GB2312" w:hAnsi="楷体_GB2312" w:eastAsia="楷体_GB2312" w:cs="楷体_GB2312"/>
          <w:kern w:val="0"/>
          <w:sz w:val="36"/>
          <w:szCs w:val="36"/>
        </w:rPr>
        <w:t>项目负责人（签章）：</w:t>
      </w:r>
      <w:r>
        <w:rPr>
          <w:rFonts w:hint="eastAsia" w:ascii="楷体_GB2312" w:hAnsi="楷体_GB2312" w:eastAsia="楷体_GB2312" w:cs="楷体_GB2312"/>
          <w:kern w:val="0"/>
          <w:sz w:val="36"/>
          <w:szCs w:val="36"/>
          <w:lang w:eastAsia="zh-CN"/>
        </w:rPr>
        <w:t>郑君</w:t>
      </w:r>
    </w:p>
    <w:p>
      <w:pPr>
        <w:spacing w:line="700" w:lineRule="exact"/>
        <w:ind w:firstLine="849" w:firstLineChars="236"/>
        <w:jc w:val="left"/>
        <w:rPr>
          <w:rFonts w:hint="eastAsia" w:ascii="楷体_GB2312" w:hAnsi="楷体_GB2312" w:eastAsia="楷体_GB2312" w:cs="楷体_GB2312"/>
          <w:kern w:val="0"/>
          <w:sz w:val="36"/>
          <w:szCs w:val="36"/>
        </w:rPr>
      </w:pPr>
      <w:r>
        <w:rPr>
          <w:rFonts w:hint="eastAsia" w:ascii="楷体_GB2312" w:hAnsi="楷体_GB2312" w:eastAsia="楷体_GB2312" w:cs="楷体_GB2312"/>
          <w:kern w:val="0"/>
          <w:sz w:val="36"/>
          <w:szCs w:val="36"/>
        </w:rPr>
        <w:t>填报时间：</w:t>
      </w:r>
      <w:r>
        <w:rPr>
          <w:rFonts w:hint="eastAsia" w:ascii="楷体_GB2312" w:hAnsi="楷体_GB2312" w:eastAsia="楷体_GB2312" w:cs="楷体_GB2312"/>
          <w:kern w:val="0"/>
          <w:sz w:val="36"/>
          <w:szCs w:val="36"/>
          <w:lang w:val="en-US" w:eastAsia="zh-CN"/>
        </w:rPr>
        <w:t>2018</w:t>
      </w:r>
      <w:r>
        <w:rPr>
          <w:rFonts w:hint="eastAsia" w:ascii="楷体_GB2312" w:hAnsi="楷体_GB2312" w:eastAsia="楷体_GB2312" w:cs="楷体_GB2312"/>
          <w:kern w:val="0"/>
          <w:sz w:val="36"/>
          <w:szCs w:val="36"/>
        </w:rPr>
        <w:t xml:space="preserve"> 年</w:t>
      </w:r>
      <w:r>
        <w:rPr>
          <w:rFonts w:hint="eastAsia" w:ascii="楷体_GB2312" w:hAnsi="楷体_GB2312" w:eastAsia="楷体_GB2312" w:cs="楷体_GB2312"/>
          <w:kern w:val="0"/>
          <w:sz w:val="36"/>
          <w:szCs w:val="36"/>
          <w:lang w:val="en-US" w:eastAsia="zh-CN"/>
        </w:rPr>
        <w:t>8</w:t>
      </w:r>
      <w:r>
        <w:rPr>
          <w:rFonts w:hint="eastAsia" w:ascii="楷体_GB2312" w:hAnsi="楷体_GB2312" w:eastAsia="楷体_GB2312" w:cs="楷体_GB2312"/>
          <w:kern w:val="0"/>
          <w:sz w:val="36"/>
          <w:szCs w:val="36"/>
        </w:rPr>
        <w:t>月</w:t>
      </w:r>
      <w:r>
        <w:rPr>
          <w:rFonts w:hint="eastAsia" w:ascii="楷体_GB2312" w:hAnsi="楷体_GB2312" w:eastAsia="楷体_GB2312" w:cs="楷体_GB2312"/>
          <w:kern w:val="0"/>
          <w:sz w:val="36"/>
          <w:szCs w:val="36"/>
          <w:lang w:val="en-US" w:eastAsia="zh-CN"/>
        </w:rPr>
        <w:t>25</w:t>
      </w:r>
      <w:r>
        <w:rPr>
          <w:rFonts w:hint="eastAsia" w:ascii="楷体_GB2312" w:hAnsi="楷体_GB2312" w:eastAsia="楷体_GB2312" w:cs="楷体_GB2312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东湾镇位于城西南22km处，东临吉布库镇，西接吉木萨尔县，南依天山，北至大泉塔塔尔族乡。全镇总面积192平方公里，有4个行政村，52个村民小组,26个片组。总耕地面积15.28万亩（其中：水浇地14.5万亩，旱地0.78万亩。确权后合同地11.7万亩，人均耕地10亩）。▲境内有两个水库（白杨河和根葛尔水库）分别是根葛尔水库（小型），库容120万立方，年均引水量260万立方；白杨河水库（中型），库容990万方，年均引水量3400万方，占来水量的45%。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2017年全镇实现生产总值5.1亿元，增速6%以上，实现农村居民可支配收入17407元，较上年增加802元，增幅4.6%。</w:t>
      </w:r>
    </w:p>
    <w:p>
      <w:pPr>
        <w:spacing w:line="54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基层政权建设补助资金主要用于2017年西北湾镇基层政权建设项目，基层政权是党和国家执政的根基。十八大以来习近平总书记发表了一系列重要讲话，精辟论述了治国理政的思想，其中一项就是加强基层政权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乡镇政府作为最基层的政权组织，是政府职能下沉到农村网络体系的中枢，既承担行政职能，又承担经济和社会管理职能，连接着政府和乡村、农民，对上承接县政府在农村的各项工作，中间负责与各职能部门的协调，对下承担村委会、社区的公共服务和区域社会秩序的维护，在城市建设及管理中发挥着重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eastAsia="zh-CN"/>
        </w:rPr>
      </w:pPr>
      <w:r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加强基层政权建设，不仅是维护社会和谐稳定的需要，也是有效解决“渗透性危机”的基本途径。通过加强基层政权建设，提升了政府的执政能力，是政府简政放权、放管结合、亲民便民、启动双引擎的一个抓手，不仅能节约行政成本，通过街改，还能释放全社会的创新活力。</w:t>
      </w:r>
    </w:p>
    <w:p>
      <w:pPr>
        <w:spacing w:line="540" w:lineRule="exact"/>
        <w:ind w:firstLine="640"/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624" w:firstLineChars="200"/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eastAsia="zh-CN"/>
        </w:rPr>
      </w:pPr>
      <w:r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基层政权建设补助资金用于基层政权建设，总投资93万元，其中本级财政拨款安排93万元。</w:t>
      </w:r>
    </w:p>
    <w:p>
      <w:pPr>
        <w:spacing w:line="540" w:lineRule="exact"/>
        <w:ind w:firstLine="567" w:firstLineChars="181"/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eastAsia="zh-CN"/>
        </w:rPr>
      </w:pPr>
      <w:r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该项目资金93万元，其中维修基金20万元；设备购置8.8万元。</w:t>
      </w:r>
    </w:p>
    <w:p>
      <w:pPr>
        <w:spacing w:line="540" w:lineRule="exact"/>
        <w:ind w:firstLine="567" w:firstLineChars="181"/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yellow"/>
        </w:rPr>
      </w:pPr>
      <w:r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《基层政权建设资金管理办法》和东湾镇财务制度</w:t>
      </w:r>
    </w:p>
    <w:p>
      <w:pPr>
        <w:spacing w:line="540" w:lineRule="exact"/>
        <w:ind w:firstLine="640"/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楷体_GB2312" w:hAnsi="楷体_GB2312" w:eastAsia="楷体_GB2312" w:cs="楷体_GB2312"/>
          <w:b w:val="0"/>
          <w:bCs/>
          <w:color w:val="auto"/>
          <w:spacing w:val="-4"/>
          <w:sz w:val="32"/>
          <w:szCs w:val="32"/>
          <w:highlight w:val="none"/>
          <w:lang w:val="en-US" w:eastAsia="zh-CN"/>
        </w:rPr>
        <w:t>2017</w:t>
      </w:r>
      <w:r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年基层政权建设项目按预定方案确定的时间、方法和程序完成了办公大楼外墙真石漆喷涂，达到了改善办公条件、提高了办公效率和群众满意度的目标。</w:t>
      </w:r>
    </w:p>
    <w:p>
      <w:pPr>
        <w:spacing w:line="540" w:lineRule="exact"/>
        <w:ind w:firstLine="567" w:firstLineChars="181"/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yellow"/>
          <w:lang w:val="en-US"/>
        </w:rPr>
      </w:pPr>
      <w:r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根据《基层政权建设资金管理办法》和东湾镇财务制度的相关要求进行监督管理，资金的拨付使用报账制，即有发票、合同、清单、验收报告等，并由廉政效能监督委员会人员签字后方可支付。</w:t>
      </w:r>
    </w:p>
    <w:p>
      <w:pPr>
        <w:spacing w:line="540" w:lineRule="exact"/>
        <w:ind w:firstLine="640"/>
        <w:rPr>
          <w:rStyle w:val="19"/>
          <w:rFonts w:hint="eastAsia" w:ascii="楷体_GB2312" w:hAnsi="楷体_GB2312" w:eastAsia="楷体_GB2312" w:cs="楷体_GB2312"/>
          <w:b/>
          <w:bCs w:val="0"/>
          <w:sz w:val="32"/>
          <w:szCs w:val="32"/>
        </w:rPr>
      </w:pPr>
      <w:r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四、项目绩效情况</w:t>
      </w:r>
      <w:r>
        <w:rPr>
          <w:rStyle w:val="19"/>
          <w:rFonts w:hint="eastAsia" w:ascii="楷体_GB2312" w:hAnsi="楷体_GB2312" w:eastAsia="楷体_GB2312" w:cs="楷体_GB2312"/>
          <w:b/>
          <w:bCs w:val="0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楷体_GB2312" w:hAnsi="楷体_GB2312" w:eastAsia="楷体_GB2312" w:cs="楷体_GB2312"/>
          <w:b w:val="0"/>
          <w:bCs/>
          <w:color w:val="auto"/>
          <w:spacing w:val="-4"/>
          <w:sz w:val="32"/>
          <w:szCs w:val="32"/>
          <w:highlight w:val="none"/>
          <w:lang w:val="en-US" w:eastAsia="zh-CN"/>
        </w:rPr>
        <w:t>2017</w:t>
      </w:r>
      <w:r>
        <w:rPr>
          <w:rStyle w:val="19"/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年基层政权建设补助资金及时足额到位，产出数量、质量符合标准规定。资金支出社会效益、经济效益、可持续效益显著提高和改善。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hint="eastAsia" w:ascii="楷体_GB2312" w:hAnsi="楷体_GB2312" w:eastAsia="楷体_GB2312" w:cs="楷体_GB2312"/>
          <w:b w:val="0"/>
          <w:bCs/>
          <w:i w:val="0"/>
          <w:iCs w:val="0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i w:val="0"/>
          <w:iCs w:val="0"/>
          <w:spacing w:val="-4"/>
          <w:sz w:val="32"/>
          <w:szCs w:val="32"/>
          <w:highlight w:val="none"/>
          <w:lang w:val="en-US" w:eastAsia="zh-CN"/>
        </w:rPr>
        <w:t>项目按时完工。</w:t>
      </w:r>
    </w:p>
    <w:p>
      <w:pPr>
        <w:spacing w:line="540" w:lineRule="exact"/>
        <w:ind w:firstLine="640"/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lang w:val="en-US" w:eastAsia="zh-CN"/>
        </w:rPr>
        <w:t>无。</w:t>
      </w:r>
    </w:p>
    <w:p>
      <w:pPr>
        <w:spacing w:line="540" w:lineRule="exact"/>
        <w:ind w:firstLine="313" w:firstLineChars="100"/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主要经验：项目资金严格按照有关规定使用，并且由严格的财务审批程序，做到了资金专款专用。</w:t>
      </w:r>
    </w:p>
    <w:p>
      <w:pPr>
        <w:spacing w:line="540" w:lineRule="exact"/>
        <w:ind w:firstLine="564" w:firstLineChars="181"/>
        <w:rPr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存在问题：资金量难以预算精确。受市场、人工等因素的影响，资金难以以预算精确，往往出现支大于收的现象。</w:t>
      </w:r>
    </w:p>
    <w:p>
      <w:pPr>
        <w:pStyle w:val="1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2" w:lineRule="atLeast"/>
        <w:ind w:left="0" w:right="0" w:firstLine="420"/>
        <w:jc w:val="both"/>
        <w:rPr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建议：一、建议政府加大对基层政权建设的投入；二是确保专项经费及时足额到位；三是进一步规范资金管理；四是开展经常性督促检查，加强基层政权建设和管理。</w:t>
      </w:r>
    </w:p>
    <w:p>
      <w:pPr>
        <w:spacing w:line="540" w:lineRule="exact"/>
        <w:ind w:firstLine="567" w:firstLineChars="181"/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  <w:lang w:val="en-US" w:eastAsia="zh-CN"/>
        </w:rPr>
        <w:t>无。</w:t>
      </w:r>
    </w:p>
    <w:p>
      <w:pPr>
        <w:spacing w:line="540" w:lineRule="exact"/>
        <w:ind w:firstLine="640"/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/>
          <w:spacing w:val="-4"/>
          <w:sz w:val="32"/>
          <w:szCs w:val="32"/>
          <w:highlight w:val="none"/>
          <w:lang w:val="en-US" w:eastAsia="zh-CN"/>
        </w:rPr>
        <w:t>项目的进展及执行比较顺利，按计划完成；补助资金按时、足额到位，保障了项目的正常开展；资金的使用也严格按照有关规定使用，在资金使用过程中没有出现贪污、截留挪用等情况。</w:t>
      </w:r>
    </w:p>
    <w:p>
      <w:pPr>
        <w:numPr>
          <w:ilvl w:val="0"/>
          <w:numId w:val="1"/>
        </w:numPr>
        <w:spacing w:line="540" w:lineRule="exact"/>
        <w:ind w:firstLine="640"/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附表</w:t>
      </w:r>
    </w:p>
    <w:p>
      <w:pPr>
        <w:numPr>
          <w:ilvl w:val="0"/>
          <w:numId w:val="0"/>
        </w:numPr>
        <w:spacing w:line="540" w:lineRule="exact"/>
        <w:ind w:firstLine="313" w:firstLineChars="1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《自治州财政项目支出绩效自评表》</w:t>
      </w:r>
    </w:p>
    <w:tbl>
      <w:tblPr>
        <w:tblStyle w:val="17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1606" w:firstLineChars="500"/>
              <w:jc w:val="both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东湾镇办公大楼外墙真石漆喷涂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东湾镇人民政府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项目能够按时、保质保量、不超预算、按照初期规划完成建设。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喷涂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4000平方米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4000平方米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符合《建筑工程施工质量验收规范》等标准率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项目工程验收合格率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符合《建筑工程施工质量验收规范》等标准率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开工时间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按期开工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按期开工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竣工时间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按期竣工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按期竣工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交付使用时间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验收后一个月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验收后一个月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喷涂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&lt;240元/平方米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&lt;240元/平方米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项目区受益群众满意度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项目区受益群众满意度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项目区群众满意度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机关干部满意度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</w:tbl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5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7253B0"/>
    <w:multiLevelType w:val="singleLevel"/>
    <w:tmpl w:val="C97253B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xMmU2NGI5NWIyMWVkODBmODUyZmIwZDMzNTk5NDYifQ=="/>
  </w:docVars>
  <w:rsids>
    <w:rsidRoot w:val="00CA645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30E170EB"/>
    <w:rsid w:val="329A0FD9"/>
    <w:rsid w:val="335B2992"/>
    <w:rsid w:val="361F6D03"/>
    <w:rsid w:val="4C5F27A1"/>
    <w:rsid w:val="4DAF51C4"/>
    <w:rsid w:val="512F3E95"/>
    <w:rsid w:val="533A7011"/>
    <w:rsid w:val="6A8301CD"/>
    <w:rsid w:val="6E902DF3"/>
    <w:rsid w:val="7144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styleId="21">
    <w:name w:val="Hyperlink"/>
    <w:basedOn w:val="18"/>
    <w:semiHidden/>
    <w:unhideWhenUsed/>
    <w:qFormat/>
    <w:uiPriority w:val="99"/>
    <w:rPr>
      <w:color w:val="0000FF"/>
      <w:u w:val="single"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6</TotalTime>
  <ScaleCrop>false</ScaleCrop>
  <LinksUpToDate>false</LinksUpToDate>
  <CharactersWithSpaces>1366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海怪小仙</cp:lastModifiedBy>
  <cp:lastPrinted>2019-01-13T12:20:00Z</cp:lastPrinted>
  <dcterms:modified xsi:type="dcterms:W3CDTF">2023-07-25T02:28:38Z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E818EA4AABF543B49312CCD5BEE0F394_12</vt:lpwstr>
  </property>
</Properties>
</file>