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b/>
          <w:bCs/>
          <w:kern w:val="0"/>
          <w:sz w:val="36"/>
          <w:szCs w:val="36"/>
        </w:rPr>
      </w:pPr>
      <w:r>
        <w:rPr>
          <w:rFonts w:hint="eastAsia" w:hAnsi="宋体" w:eastAsia="仿宋_GB2312" w:cs="宋体"/>
          <w:b/>
          <w:bCs/>
          <w:kern w:val="0"/>
          <w:sz w:val="36"/>
          <w:szCs w:val="36"/>
        </w:rPr>
        <w:t>（201</w:t>
      </w:r>
      <w:r>
        <w:rPr>
          <w:rFonts w:hAnsi="宋体" w:eastAsia="仿宋_GB2312" w:cs="宋体"/>
          <w:b/>
          <w:bCs/>
          <w:kern w:val="0"/>
          <w:sz w:val="36"/>
          <w:szCs w:val="36"/>
        </w:rPr>
        <w:t>7</w:t>
      </w:r>
      <w:r>
        <w:rPr>
          <w:rFonts w:hint="eastAsia" w:hAnsi="宋体" w:eastAsia="仿宋_GB2312" w:cs="宋体"/>
          <w:b/>
          <w:bCs/>
          <w:kern w:val="0"/>
          <w:sz w:val="36"/>
          <w:szCs w:val="36"/>
        </w:rPr>
        <w:t>年度）</w:t>
      </w:r>
    </w:p>
    <w:p>
      <w:pPr>
        <w:spacing w:line="540" w:lineRule="exact"/>
        <w:jc w:val="center"/>
        <w:rPr>
          <w:rFonts w:hAnsi="宋体" w:eastAsia="仿宋_GB2312" w:cs="宋体"/>
          <w:kern w:val="0"/>
          <w:sz w:val="30"/>
          <w:szCs w:val="30"/>
        </w:rPr>
      </w:pP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项目名称：100kVA箱变及电力安装工程</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实施单位（公章）：奇台县东湾镇人民政府</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主管部门（公章）：奇台县财政局</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项目负责人（签章）：新疆德明汇通工程建设有限公司</w:t>
      </w:r>
    </w:p>
    <w:p>
      <w:pPr>
        <w:spacing w:line="700" w:lineRule="exact"/>
        <w:ind w:firstLine="1072" w:firstLineChars="335"/>
        <w:jc w:val="left"/>
        <w:rPr>
          <w:rFonts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填报时间：2018年 8 月 25日</w:t>
      </w:r>
    </w:p>
    <w:p>
      <w:pPr>
        <w:spacing w:line="540" w:lineRule="exact"/>
        <w:rPr>
          <w:rStyle w:val="18"/>
          <w:rFonts w:ascii="仿宋_GB2312" w:hAnsi="仿宋_GB2312" w:eastAsia="仿宋_GB2312" w:cs="仿宋_GB2312"/>
          <w:b w:val="0"/>
          <w:spacing w:val="-4"/>
          <w:sz w:val="32"/>
          <w:szCs w:val="32"/>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hint="eastAsia" w:ascii="仿宋_GB2312" w:hAnsi="仿宋_GB2312" w:eastAsia="仿宋_GB2312" w:cs="仿宋_GB2312"/>
          <w:bCs w:val="0"/>
          <w:spacing w:val="-4"/>
          <w:sz w:val="36"/>
          <w:szCs w:val="36"/>
        </w:rPr>
      </w:pPr>
    </w:p>
    <w:p>
      <w:pPr>
        <w:spacing w:line="540" w:lineRule="exact"/>
        <w:ind w:firstLine="2474" w:firstLineChars="700"/>
        <w:rPr>
          <w:rStyle w:val="18"/>
          <w:rFonts w:ascii="仿宋_GB2312" w:hAnsi="仿宋_GB2312" w:eastAsia="仿宋_GB2312" w:cs="仿宋_GB2312"/>
          <w:bCs w:val="0"/>
          <w:spacing w:val="-4"/>
          <w:sz w:val="36"/>
          <w:szCs w:val="36"/>
        </w:rPr>
      </w:pPr>
      <w:r>
        <w:rPr>
          <w:rStyle w:val="18"/>
          <w:rFonts w:hint="eastAsia" w:ascii="仿宋_GB2312" w:hAnsi="仿宋_GB2312" w:eastAsia="仿宋_GB2312" w:cs="仿宋_GB2312"/>
          <w:bCs w:val="0"/>
          <w:spacing w:val="-4"/>
          <w:sz w:val="36"/>
          <w:szCs w:val="36"/>
        </w:rPr>
        <w:t>工 程 项 目 概 况</w:t>
      </w:r>
    </w:p>
    <w:p>
      <w:pPr>
        <w:spacing w:line="540" w:lineRule="exact"/>
        <w:ind w:firstLine="567"/>
        <w:rPr>
          <w:rStyle w:val="18"/>
          <w:rFonts w:ascii="仿宋_GB2312" w:hAnsi="仿宋_GB2312" w:eastAsia="仿宋_GB2312" w:cs="仿宋_GB2312"/>
          <w:spacing w:val="-4"/>
          <w:sz w:val="32"/>
          <w:szCs w:val="32"/>
        </w:rPr>
      </w:pPr>
    </w:p>
    <w:p>
      <w:pPr>
        <w:spacing w:line="540" w:lineRule="exact"/>
        <w:ind w:firstLine="567"/>
        <w:rPr>
          <w:rStyle w:val="18"/>
          <w:rFonts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（一）项目单位基本情况</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一、工程概况 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100kVA箱变及电力安装工程工程主线南起4号线条田站，经卫生院路、林业站路、农服站路、惠泽社区路、安居房19栋居住楼、每一个经过地点设专线，东湾镇政府设终点，并在政府设一条支线，线路全长11.724km。 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供电系统主要施工包括：10kV外电源线路12公里，箱式牵引降压所7座、室内牵引降压所2座，高压电缆敷设14.5公里，联调电缆17.48公里，光缆18.76公里，直流电缆113公里，顶管施工12处，低压电缆敷设36.29公里、电力监控系统1套。</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参建单位 </w:t>
      </w:r>
    </w:p>
    <w:p>
      <w:pPr>
        <w:spacing w:line="70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建设单位：东湾镇人民政府</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 设计监理单位：新疆德明汇通工程建设有限公司</w:t>
      </w:r>
    </w:p>
    <w:p>
      <w:pPr>
        <w:spacing w:line="70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 施工单位：新疆德明汇通工程建设有限公司</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二、项目管理组织情况 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   1、项目部按照施工承包合同、施工图纸、建筑法规、建设工程强制条文编制了施工组织设计、专项方案。 </w:t>
      </w:r>
    </w:p>
    <w:p>
      <w:pPr>
        <w:numPr>
          <w:ilvl w:val="0"/>
          <w:numId w:val="1"/>
        </w:numPr>
        <w:spacing w:line="700" w:lineRule="exact"/>
        <w:ind w:firstLine="960" w:firstLineChars="3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施工中严格按照相关规范、设计图纸、施工组织设计（方案）进行施工。合理安排工作计划，做好各工序的穿插的工种间的配合工作。 </w:t>
      </w:r>
    </w:p>
    <w:p>
      <w:pPr>
        <w:spacing w:line="700" w:lineRule="exact"/>
        <w:ind w:left="640" w:hanging="640" w:hanging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3、项目部配备各相关专业的质量安全工程师，每天工程质量和安全工作进行交底和检查，对质量问题和质量事故的发生起到了有效的控制。对违反资料要求的坚决予以返工。 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三、施工现场质量控制情况 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1、原材料及设备 </w:t>
      </w:r>
    </w:p>
    <w:p>
      <w:pPr>
        <w:spacing w:line="70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用于本工程的原材料按设计要求和施工承包合同进场使用，箱式变电所、室内变电所设备由有新疆德明汇通工程建设有限公司提供，中压电缆由新疆德明汇通工程建设有限公司提供、直流电缆由新疆德明汇通工程建设有限公司电缆有限公司提供，充电轨，低压动力照明配电箱，LED照明灯均有新疆德明汇通工程建设有限公司提供。</w:t>
      </w:r>
    </w:p>
    <w:p>
      <w:pPr>
        <w:spacing w:line="70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有限其产品质量证明书、产品合格证、检验报告等文件齐全。设备出厂及到现场均向监理申请验收，验收合格后方可进行下一步安装程序，材料进场后经监理人员见证取样送第三方检测合格后方可投入使用（附件送第三方检测清单），确保了工程材料及设备的合格性和真实性。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第三方检测清单： 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 （1）. 热轧带肋螺纹钢 φ12HRB400E JZ165005967 合格 </w:t>
      </w:r>
    </w:p>
    <w:p>
      <w:pPr>
        <w:numPr>
          <w:ilvl w:val="0"/>
          <w:numId w:val="2"/>
        </w:num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. 热轧带肋螺纹钢 φ16HRB401E JZ165005968 合格 </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（3）. 热轧带肋螺纹钢 φ8HPB300 JZ165006399 合格 （4）. 电缆 ZRC-YJV22-8.7/15KV-3*300mm2 JZ165005964 合格   </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（5）. 电缆 WDZB-YJY23-8.7/10KV-3*150mm2 JZ165005965 合格   </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（6）. 电缆 ZR-KVVP2/23-0.45/0.75KV-10*2.5mm2 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JZ165005966 合格   </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（7）. 涂塑钢管 DN150 JZ165005970 合格  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 （8） .PE给水管 dn160*14.6mm JZ165005970 合格  （9）. 直流电缆 WDZB-EPR-1.8KV-1*185mm2 JZ165006809 合格。</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 2、技术复核 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施工技术人员对现场的安装和图纸进行了复核，保证安装位置的准确性及合理性，把误差控制在允许范围内。3、隐蔽工程验收，各部位隐蔽工程先自检合格后才报验，经监理人员验收合格后再进行隐蔽，工程隐蔽记录真实，符合设计要求。 </w:t>
      </w:r>
    </w:p>
    <w:p>
      <w:pPr>
        <w:numPr>
          <w:ilvl w:val="0"/>
          <w:numId w:val="3"/>
        </w:num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各分部主要质量控：</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（1）10KV外电源引入： 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对顶管施工编制专项方案，并通过各相关单位审批，施工前对地下管线情况进行勘察，与产权单位进行对接，确保施工安全。电缆敷设、电缆头制作均邀请供电局专业人员现场盯控，电缆接头完毕后，由第三方试验机构进行相关试验，均符合要求。 </w:t>
      </w:r>
    </w:p>
    <w:p>
      <w:pPr>
        <w:spacing w:line="70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2）箱式变电所： 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对箱变运输、吊装编制专项方案，并通过各相关单位审批，对于箱变基础施工，施工前进行基础验槽，对地下管线情况进行勘察，与产权单位进行对接，确保施工安全。箱变基础施工按要求同条件养护混凝土试块，经送至第三方检验，配合比和抗压强度均合格。箱式变电所吊装采用水平吊装，确保了设备完好及二次安装的风险，设备安装完成后对变电所整体及个保护功能进行预防性实验，所有设备及保护全部符合要求。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3）室内变电所： 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对单体设备安装编制方案，对单体设备基础槽钢加工时采用专业人员进行焊接，对基础安装位置、基础下料长度、安装方位均有技术员现场盯控。设备安装时采用专用吊装工具，防止设备的二次损坏，设备安装完成后对变电所整体及个保护功能进行预防性实验，所有设备及保护全部符合要求。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4）电缆及光缆敷设： 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对综合管廊施工质量进行排查、制作专用疏通工具，并在施工过程中对拐弯处、出入井口处、上下管廊错落处研究专用电缆敷设工具、电缆附件制作由专人制作，并拍摄电缆制作学习教育视频，保证了施工质量，经电缆预防性试验、绝缘试验所有电缆均全部合格。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5）充电网： 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着重对车站钢结构高度误差进行控制，安装悬吊装置使用专用仪器进行放线定位，充电轨安装过程中每颗螺栓使用力矩扳手，根据设计要求的紧固力矩紧固，安装完成后使用激光测距仪进行导高及拉出值测量，在监理及有轨电车公司人员的旁站下测量所有参数符合设计要求，达到给机车供电取流标准。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6）动力电及照明： 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施工过程中对车站照明、导线标示、广告照明敷设电线时预先疏通线管，防止电线被划伤，配电箱安装后使用接地电阻测试仪检测配电箱外壳及接地端接地状态。LED灯具选用寿命周期长，散热功能良好的灯具，安装完成后检验灯具发热及散热功能均符合要求。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7）电力监控系统： 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调试过程中，严格按照电车公司制定的SCADA（中央级）功能测试细则进行，在中心级调试过程中根据SCADA信息点表逐步对每台设备信号及控制进行试验，完成后各方签字确认。 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 4、技术复核 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施工技术人员对现场的安装和图纸进行了复核，保证安装位置的准确性及合理性，把误差控制在允许范围内。 6、隐蔽工程验收 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各部位隐蔽工程先自检合格后才报验，经监理人员验收合格后再进行隐蔽，工程隐蔽记录真实，符合设计要求。</w:t>
      </w:r>
    </w:p>
    <w:p>
      <w:pPr>
        <w:jc w:val="left"/>
        <w:rPr>
          <w:rStyle w:val="18"/>
          <w:rFonts w:ascii="仿宋_GB2312" w:hAnsi="仿宋_GB2312" w:eastAsia="仿宋_GB2312" w:cs="仿宋_GB2312"/>
          <w:bCs w:val="0"/>
          <w:spacing w:val="-4"/>
          <w:sz w:val="32"/>
          <w:szCs w:val="32"/>
        </w:rPr>
      </w:pPr>
      <w:r>
        <w:rPr>
          <w:rStyle w:val="18"/>
          <w:rFonts w:hint="eastAsia" w:ascii="仿宋_GB2312" w:hAnsi="仿宋_GB2312" w:eastAsia="仿宋_GB2312" w:cs="仿宋_GB2312"/>
          <w:bCs w:val="0"/>
          <w:spacing w:val="-4"/>
          <w:sz w:val="32"/>
          <w:szCs w:val="32"/>
        </w:rPr>
        <w:t>四、项目资金使用及管理情况</w:t>
      </w:r>
    </w:p>
    <w:p>
      <w:pPr>
        <w:spacing w:line="540" w:lineRule="exact"/>
        <w:rPr>
          <w:rStyle w:val="18"/>
          <w:rFonts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（一）项目资金安排落实、总投入等情况分析</w:t>
      </w:r>
    </w:p>
    <w:p>
      <w:pPr>
        <w:spacing w:line="540" w:lineRule="exact"/>
        <w:ind w:firstLine="624" w:firstLineChars="200"/>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基层政权建设补助资金用于基层政权建设，总投资460万元，其中本级财政拨款安排460万元。</w:t>
      </w:r>
    </w:p>
    <w:p>
      <w:pPr>
        <w:spacing w:line="540" w:lineRule="exact"/>
        <w:rPr>
          <w:rStyle w:val="18"/>
          <w:rFonts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（二）项目资金实际使用情况分析</w:t>
      </w:r>
    </w:p>
    <w:p>
      <w:pPr>
        <w:spacing w:line="540" w:lineRule="exact"/>
        <w:ind w:firstLine="624" w:firstLineChars="200"/>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该项目资金46万元，其中维修基金</w:t>
      </w:r>
      <w:r>
        <w:rPr>
          <w:rStyle w:val="18"/>
          <w:rFonts w:hint="eastAsia" w:ascii="仿宋_GB2312" w:hAnsi="仿宋_GB2312" w:eastAsia="仿宋_GB2312" w:cs="仿宋_GB2312"/>
          <w:b w:val="0"/>
          <w:spacing w:val="-4"/>
          <w:sz w:val="32"/>
          <w:szCs w:val="32"/>
          <w:lang w:val="en-US" w:eastAsia="zh-CN"/>
        </w:rPr>
        <w:t>31.2</w:t>
      </w:r>
      <w:r>
        <w:rPr>
          <w:rStyle w:val="18"/>
          <w:rFonts w:hint="eastAsia" w:ascii="仿宋_GB2312" w:hAnsi="仿宋_GB2312" w:eastAsia="仿宋_GB2312" w:cs="仿宋_GB2312"/>
          <w:b w:val="0"/>
          <w:spacing w:val="-4"/>
          <w:sz w:val="32"/>
          <w:szCs w:val="32"/>
        </w:rPr>
        <w:t>万元；设备购置8.8万元。</w:t>
      </w:r>
    </w:p>
    <w:p>
      <w:pPr>
        <w:spacing w:line="540" w:lineRule="exact"/>
        <w:rPr>
          <w:rStyle w:val="18"/>
          <w:rFonts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（三）项目资金管理情况分析</w:t>
      </w:r>
    </w:p>
    <w:p>
      <w:pPr>
        <w:spacing w:line="54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《基层政权建设资金管理办法》奇台县财政所财务制度</w:t>
      </w:r>
    </w:p>
    <w:p>
      <w:pPr>
        <w:spacing w:line="540" w:lineRule="exact"/>
        <w:rPr>
          <w:rFonts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（四）主要经验及做法、存在问题和建议</w:t>
      </w:r>
    </w:p>
    <w:p>
      <w:pPr>
        <w:spacing w:line="540" w:lineRule="exact"/>
        <w:ind w:firstLine="564" w:firstLineChars="181"/>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主要经验：项目资金严格按照有关规定使用，并且由严格的财务审批程序，做到了资金专款专用。</w:t>
      </w:r>
    </w:p>
    <w:p>
      <w:pPr>
        <w:spacing w:line="540" w:lineRule="exact"/>
        <w:ind w:firstLine="564" w:firstLineChars="181"/>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存在问题：资金量难以预算精确。受市场、人工等因素的影响，资金难以以预算精确，往往出现支大于收的现象。</w:t>
      </w:r>
    </w:p>
    <w:p>
      <w:pPr>
        <w:pStyle w:val="15"/>
        <w:widowControl/>
        <w:spacing w:beforeAutospacing="0" w:afterAutospacing="0" w:line="22" w:lineRule="atLeast"/>
        <w:ind w:firstLine="420"/>
        <w:jc w:val="both"/>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建议：一、建议政府加大对基层政权建设的投入；二是确保专项经费及时足额到位；三是进一步规范资金管理；四是开展经常性督促检查，加强基层政权建设和管理。</w:t>
      </w:r>
    </w:p>
    <w:p>
      <w:pPr>
        <w:spacing w:line="540" w:lineRule="exact"/>
        <w:rPr>
          <w:rStyle w:val="18"/>
          <w:rFonts w:ascii="仿宋_GB2312" w:hAnsi="仿宋_GB2312" w:eastAsia="仿宋_GB2312" w:cs="仿宋_GB2312"/>
          <w:bCs w:val="0"/>
          <w:spacing w:val="-4"/>
          <w:sz w:val="32"/>
          <w:szCs w:val="32"/>
        </w:rPr>
      </w:pPr>
      <w:r>
        <w:rPr>
          <w:rStyle w:val="18"/>
          <w:rFonts w:hint="eastAsia" w:ascii="仿宋_GB2312" w:hAnsi="仿宋_GB2312" w:eastAsia="仿宋_GB2312" w:cs="仿宋_GB2312"/>
          <w:bCs w:val="0"/>
          <w:spacing w:val="-4"/>
          <w:sz w:val="32"/>
          <w:szCs w:val="32"/>
        </w:rPr>
        <w:t>五、项目评价工作情况</w:t>
      </w:r>
    </w:p>
    <w:p>
      <w:pPr>
        <w:spacing w:line="700" w:lineRule="exact"/>
        <w:ind w:firstLine="312" w:firstLineChars="100"/>
        <w:jc w:val="left"/>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b/>
          <w:bCs/>
          <w:spacing w:val="-4"/>
          <w:sz w:val="32"/>
          <w:szCs w:val="32"/>
        </w:rPr>
        <w:t>六</w:t>
      </w:r>
      <w:r>
        <w:rPr>
          <w:rFonts w:hint="eastAsia" w:ascii="仿宋_GB2312" w:hAnsi="仿宋_GB2312" w:eastAsia="仿宋_GB2312" w:cs="仿宋_GB2312"/>
          <w:b/>
          <w:bCs/>
          <w:kern w:val="0"/>
          <w:sz w:val="32"/>
          <w:szCs w:val="32"/>
        </w:rPr>
        <w:t>、工程质量自评结论 </w:t>
      </w:r>
    </w:p>
    <w:p>
      <w:pPr>
        <w:spacing w:line="7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本工单位工程共7个分部，28个分项， 363 个检验批。质量控制资料经检查完整，符合电气安装质量验收条件和建设工程施工合同规定的质量要求，本单位工程自评合格，申请验收。</w:t>
      </w:r>
    </w:p>
    <w:p>
      <w:pPr>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《奇台县财政项目支出绩效自评表》</w:t>
      </w: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rPr>
                <w:rFonts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w:t>
            </w:r>
            <w:r>
              <w:rPr>
                <w:rFonts w:hint="eastAsia"/>
                <w:kern w:val="0"/>
                <w:sz w:val="24"/>
                <w:lang w:val="en-US" w:eastAsia="zh-CN"/>
              </w:rPr>
              <w:t>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spacing w:line="700" w:lineRule="exact"/>
              <w:jc w:val="left"/>
              <w:rPr>
                <w:rFonts w:hAnsi="宋体" w:eastAsia="仿宋_GB2312" w:cs="宋体"/>
                <w:kern w:val="0"/>
                <w:sz w:val="24"/>
              </w:rPr>
            </w:pPr>
            <w:r>
              <w:rPr>
                <w:rFonts w:hint="eastAsia" w:hAnsi="宋体" w:eastAsia="仿宋_GB2312" w:cs="宋体"/>
                <w:kern w:val="0"/>
                <w:sz w:val="24"/>
              </w:rPr>
              <w:t>100kVA箱变及电力安装工程</w:t>
            </w:r>
          </w:p>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702"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spacing w:line="700" w:lineRule="exact"/>
              <w:jc w:val="left"/>
              <w:rPr>
                <w:rFonts w:hAnsi="宋体" w:eastAsia="仿宋_GB2312" w:cs="宋体"/>
                <w:kern w:val="0"/>
                <w:sz w:val="36"/>
                <w:szCs w:val="36"/>
              </w:rPr>
            </w:pPr>
            <w:r>
              <w:rPr>
                <w:rFonts w:hint="eastAsia" w:ascii="宋体" w:hAnsi="宋体" w:cs="宋体"/>
                <w:kern w:val="0"/>
                <w:sz w:val="20"/>
                <w:szCs w:val="20"/>
              </w:rPr>
              <w:t>　</w:t>
            </w:r>
            <w:r>
              <w:rPr>
                <w:rFonts w:hint="eastAsia" w:hAnsi="宋体" w:eastAsia="仿宋_GB2312" w:cs="宋体"/>
                <w:kern w:val="0"/>
                <w:sz w:val="24"/>
              </w:rPr>
              <w:t>奇台县东湾镇人民政府</w:t>
            </w:r>
          </w:p>
          <w:p>
            <w:pPr>
              <w:widowControl/>
              <w:rPr>
                <w:rFonts w:ascii="宋体" w:hAnsi="宋体" w:cs="宋体"/>
                <w:kern w:val="0"/>
                <w:sz w:val="20"/>
                <w:szCs w:val="20"/>
              </w:rPr>
            </w:pP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46</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46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46</w:t>
            </w:r>
            <w:bookmarkStart w:id="0" w:name="_GoBack"/>
            <w:bookmarkEnd w:id="0"/>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hAnsi="宋体" w:eastAsia="仿宋_GB2312" w:cs="宋体"/>
                <w:kern w:val="0"/>
                <w:sz w:val="24"/>
              </w:rPr>
              <w:t>本工单位工程共7个分部，28个分项， 363 个检验批。质量控制资料经检查完整，符合电气安装质量验收条件和建设工程施工合同规定的质量要求</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hAnsi="宋体" w:eastAsia="仿宋_GB2312" w:cs="宋体"/>
                <w:kern w:val="0"/>
                <w:sz w:val="24"/>
              </w:rPr>
              <w:t>本工单位工程共7个分部，28个分项， 363 个检验批。质量控制资料经检查完整，符合电气安装质量验收条件和建设工程施工合同规定的质量要求本单位工程自评合格</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指标1：合同数量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指标2：工程材料</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指标1：工程质量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指标2：材料质量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指标1：完工时间</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指标2：试用时间</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正常</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正常</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指标1：无</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指标2：无</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指标1：节能指标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指标1：经济效益</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指标2：质量要求</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指标1：节能减排</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c>
          <w:tcPr>
            <w:tcW w:w="1780" w:type="dxa"/>
            <w:tcBorders>
              <w:top w:val="nil"/>
              <w:left w:val="nil"/>
              <w:bottom w:val="single" w:color="auto" w:sz="4" w:space="0"/>
              <w:right w:val="single" w:color="auto" w:sz="4" w:space="0"/>
            </w:tcBorders>
            <w:shd w:val="clear" w:color="auto" w:fill="auto"/>
            <w:vAlign w:val="center"/>
          </w:tcPr>
          <w:p>
            <w:pPr>
              <w:widowControl/>
              <w:tabs>
                <w:tab w:val="center" w:pos="782"/>
              </w:tabs>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rPr>
              <w:tab/>
            </w:r>
            <w:r>
              <w:rPr>
                <w:rFonts w:hint="eastAsia" w:ascii="宋体" w:hAnsi="宋体" w:cs="宋体"/>
                <w:kern w:val="0"/>
                <w:sz w:val="20"/>
                <w:szCs w:val="20"/>
              </w:rPr>
              <w:t>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指标2：绿化用电</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后期保养回访</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合格</w:t>
            </w:r>
          </w:p>
        </w:tc>
        <w:tc>
          <w:tcPr>
            <w:tcW w:w="1780" w:type="dxa"/>
            <w:tcBorders>
              <w:top w:val="nil"/>
              <w:left w:val="nil"/>
              <w:bottom w:val="single" w:color="auto" w:sz="4" w:space="0"/>
              <w:right w:val="single" w:color="auto" w:sz="4" w:space="0"/>
            </w:tcBorders>
            <w:shd w:val="clear" w:color="auto" w:fill="auto"/>
            <w:vAlign w:val="center"/>
          </w:tcPr>
          <w:p>
            <w:pPr>
              <w:widowControl/>
              <w:tabs>
                <w:tab w:val="center" w:pos="782"/>
              </w:tabs>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rPr>
              <w:tab/>
            </w:r>
            <w:r>
              <w:rPr>
                <w:rFonts w:hint="eastAsia" w:ascii="宋体" w:hAnsi="宋体" w:cs="宋体"/>
                <w:kern w:val="0"/>
                <w:sz w:val="20"/>
                <w:szCs w:val="20"/>
              </w:rPr>
              <w:t>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指标1：工程满意度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达标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达标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满意度98%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满意度90%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667E"/>
    <w:multiLevelType w:val="singleLevel"/>
    <w:tmpl w:val="5C3D667E"/>
    <w:lvl w:ilvl="0" w:tentative="0">
      <w:start w:val="2"/>
      <w:numFmt w:val="decimal"/>
      <w:suff w:val="nothing"/>
      <w:lvlText w:val="%1、"/>
      <w:lvlJc w:val="left"/>
    </w:lvl>
  </w:abstractNum>
  <w:abstractNum w:abstractNumId="1">
    <w:nsid w:val="5C3D695C"/>
    <w:multiLevelType w:val="singleLevel"/>
    <w:tmpl w:val="5C3D695C"/>
    <w:lvl w:ilvl="0" w:tentative="0">
      <w:start w:val="2"/>
      <w:numFmt w:val="decimal"/>
      <w:suff w:val="nothing"/>
      <w:lvlText w:val="（%1）"/>
      <w:lvlJc w:val="left"/>
    </w:lvl>
  </w:abstractNum>
  <w:abstractNum w:abstractNumId="2">
    <w:nsid w:val="5C3D69E9"/>
    <w:multiLevelType w:val="singleLevel"/>
    <w:tmpl w:val="5C3D69E9"/>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128"/>
    <w:rsid w:val="00056465"/>
    <w:rsid w:val="00121AE4"/>
    <w:rsid w:val="00146AAD"/>
    <w:rsid w:val="00172A27"/>
    <w:rsid w:val="001B3A40"/>
    <w:rsid w:val="001F25E2"/>
    <w:rsid w:val="003C18BC"/>
    <w:rsid w:val="003E2A8F"/>
    <w:rsid w:val="004366A8"/>
    <w:rsid w:val="00464900"/>
    <w:rsid w:val="00472ECA"/>
    <w:rsid w:val="00502BA7"/>
    <w:rsid w:val="005162F1"/>
    <w:rsid w:val="00535153"/>
    <w:rsid w:val="00554F82"/>
    <w:rsid w:val="0056390D"/>
    <w:rsid w:val="005719B0"/>
    <w:rsid w:val="005D10D6"/>
    <w:rsid w:val="006E40FB"/>
    <w:rsid w:val="007806A5"/>
    <w:rsid w:val="00855E3A"/>
    <w:rsid w:val="00922CB9"/>
    <w:rsid w:val="009E5CD9"/>
    <w:rsid w:val="009F43DD"/>
    <w:rsid w:val="00A26421"/>
    <w:rsid w:val="00A4293B"/>
    <w:rsid w:val="00A67D50"/>
    <w:rsid w:val="00A8691A"/>
    <w:rsid w:val="00AC1946"/>
    <w:rsid w:val="00B40063"/>
    <w:rsid w:val="00B41F61"/>
    <w:rsid w:val="00BA46E6"/>
    <w:rsid w:val="00C56C72"/>
    <w:rsid w:val="00CA6457"/>
    <w:rsid w:val="00D17F2E"/>
    <w:rsid w:val="00D30354"/>
    <w:rsid w:val="00DE2C3B"/>
    <w:rsid w:val="00DF42A0"/>
    <w:rsid w:val="00E46C51"/>
    <w:rsid w:val="00E769FE"/>
    <w:rsid w:val="00EA2CBE"/>
    <w:rsid w:val="00F32FEE"/>
    <w:rsid w:val="00FB10BB"/>
    <w:rsid w:val="0CFE70EC"/>
    <w:rsid w:val="10873501"/>
    <w:rsid w:val="11DA0264"/>
    <w:rsid w:val="14422FDC"/>
    <w:rsid w:val="144C5BDC"/>
    <w:rsid w:val="2AF00D12"/>
    <w:rsid w:val="45F71A29"/>
    <w:rsid w:val="54101E8B"/>
    <w:rsid w:val="606A30C9"/>
    <w:rsid w:val="699A32E2"/>
    <w:rsid w:val="6B13727F"/>
    <w:rsid w:val="6FF37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Autospacing="1" w:afterAutospacing="1"/>
      <w:jc w:val="left"/>
    </w:pPr>
    <w:rPr>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633</Words>
  <Characters>3609</Characters>
  <Lines>30</Lines>
  <Paragraphs>8</Paragraphs>
  <TotalTime>45</TotalTime>
  <ScaleCrop>false</ScaleCrop>
  <LinksUpToDate>false</LinksUpToDate>
  <CharactersWithSpaces>4234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1</cp:lastModifiedBy>
  <cp:lastPrinted>2019-01-13T12:20:00Z</cp:lastPrinted>
  <dcterms:modified xsi:type="dcterms:W3CDTF">2018-09-05T07:42:13Z</dcterms:modified>
  <dc:title>附件1：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