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rPr>
      </w:pPr>
      <w:bookmarkStart w:id="0" w:name="_GoBack"/>
      <w:bookmarkEnd w:id="0"/>
      <w:r>
        <w:rPr>
          <w:rFonts w:hint="eastAsia" w:ascii="方正小标宋_GBK" w:hAnsi="方正小标宋_GBK" w:eastAsia="方正小标宋_GBK" w:cs="方正小标宋_GBK"/>
          <w:sz w:val="44"/>
          <w:szCs w:val="44"/>
        </w:rPr>
        <w:t>奇台县国有资本经营预算草案编制说明</w:t>
      </w:r>
    </w:p>
    <w:p>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昌吉州财政局：</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根据《中华人民共和国预算法》、州财政局《关于编制202</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年自治州国有资本经营预算的通知》昌州财建〔202</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71</w:t>
      </w:r>
      <w:r>
        <w:rPr>
          <w:rFonts w:hint="eastAsia" w:ascii="仿宋_GB2312" w:hAnsi="仿宋_GB2312" w:eastAsia="仿宋_GB2312" w:cs="仿宋_GB2312"/>
          <w:sz w:val="28"/>
          <w:szCs w:val="28"/>
        </w:rPr>
        <w:t>号，为做好202</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年奇台县国有资本经营预算草案编报工作，我县要求各国有企业上报202</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年经营收入预算数据，根据上报数据编制202</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年奇台县国有资本经营预算，现将编制工作说明如下：</w:t>
      </w:r>
    </w:p>
    <w:p>
      <w:pPr>
        <w:keepNext w:val="0"/>
        <w:keepLines w:val="0"/>
        <w:pageBreakBefore w:val="0"/>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b/>
          <w:bCs w:val="0"/>
          <w:sz w:val="28"/>
          <w:szCs w:val="28"/>
          <w:lang w:val="en-US" w:eastAsia="zh-CN"/>
        </w:rPr>
        <w:t>一、国有企业</w:t>
      </w:r>
      <w:r>
        <w:rPr>
          <w:rFonts w:hint="eastAsia" w:ascii="仿宋_GB2312" w:hAnsi="仿宋_GB2312" w:eastAsia="仿宋_GB2312" w:cs="仿宋_GB2312"/>
          <w:b/>
          <w:bCs w:val="0"/>
          <w:sz w:val="28"/>
          <w:szCs w:val="28"/>
        </w:rPr>
        <w:t>基本情况</w:t>
      </w:r>
    </w:p>
    <w:p>
      <w:pPr>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奇台县</w:t>
      </w:r>
      <w:r>
        <w:rPr>
          <w:rFonts w:hint="eastAsia" w:ascii="仿宋_GB2312" w:hAnsi="仿宋_GB2312" w:eastAsia="仿宋_GB2312" w:cs="仿宋_GB2312"/>
          <w:sz w:val="28"/>
          <w:szCs w:val="28"/>
          <w:lang w:eastAsia="zh-CN"/>
        </w:rPr>
        <w:t>城市</w:t>
      </w:r>
      <w:r>
        <w:rPr>
          <w:rFonts w:hint="eastAsia" w:ascii="仿宋_GB2312" w:hAnsi="仿宋_GB2312" w:eastAsia="仿宋_GB2312" w:cs="仿宋_GB2312"/>
          <w:sz w:val="28"/>
          <w:szCs w:val="28"/>
        </w:rPr>
        <w:t>供排水</w:t>
      </w:r>
      <w:r>
        <w:rPr>
          <w:rFonts w:hint="eastAsia" w:ascii="仿宋_GB2312" w:hAnsi="仿宋_GB2312" w:eastAsia="仿宋_GB2312" w:cs="仿宋_GB2312"/>
          <w:sz w:val="28"/>
          <w:szCs w:val="28"/>
          <w:lang w:eastAsia="zh-CN"/>
        </w:rPr>
        <w:t>有限责任</w:t>
      </w:r>
      <w:r>
        <w:rPr>
          <w:rFonts w:hint="eastAsia" w:ascii="仿宋_GB2312" w:hAnsi="仿宋_GB2312" w:eastAsia="仿宋_GB2312" w:cs="仿宋_GB2312"/>
          <w:sz w:val="28"/>
          <w:szCs w:val="28"/>
        </w:rPr>
        <w:t>公司</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属</w:t>
      </w:r>
      <w:r>
        <w:rPr>
          <w:rFonts w:hint="eastAsia" w:ascii="仿宋_GB2312" w:hAnsi="仿宋_GB2312" w:eastAsia="仿宋_GB2312" w:cs="仿宋_GB2312"/>
          <w:sz w:val="28"/>
          <w:szCs w:val="28"/>
          <w:lang w:eastAsia="zh-CN"/>
        </w:rPr>
        <w:t>国有独资</w:t>
      </w:r>
      <w:r>
        <w:rPr>
          <w:rFonts w:hint="eastAsia" w:ascii="仿宋_GB2312" w:hAnsi="仿宋_GB2312" w:eastAsia="仿宋_GB2312" w:cs="仿宋_GB2312"/>
          <w:sz w:val="28"/>
          <w:szCs w:val="28"/>
        </w:rPr>
        <w:t>企业，</w:t>
      </w:r>
      <w:r>
        <w:rPr>
          <w:rFonts w:hint="eastAsia" w:ascii="仿宋_GB2312" w:hAnsi="仿宋_GB2312" w:eastAsia="仿宋_GB2312" w:cs="仿宋_GB2312"/>
          <w:sz w:val="28"/>
          <w:szCs w:val="28"/>
          <w:lang w:eastAsia="zh-CN"/>
        </w:rPr>
        <w:t>注册资本14686.54万元，</w:t>
      </w:r>
      <w:r>
        <w:rPr>
          <w:rFonts w:hint="eastAsia" w:ascii="仿宋_GB2312" w:hAnsi="仿宋_GB2312" w:eastAsia="仿宋_GB2312" w:cs="仿宋_GB2312"/>
          <w:sz w:val="28"/>
          <w:szCs w:val="28"/>
        </w:rPr>
        <w:t>由于</w:t>
      </w:r>
      <w:r>
        <w:rPr>
          <w:rFonts w:hint="eastAsia" w:ascii="仿宋_GB2312" w:hAnsi="仿宋_GB2312" w:eastAsia="仿宋_GB2312" w:cs="仿宋_GB2312"/>
          <w:sz w:val="28"/>
          <w:szCs w:val="28"/>
          <w:lang w:eastAsia="zh-CN"/>
        </w:rPr>
        <w:t>近几</w:t>
      </w:r>
      <w:r>
        <w:rPr>
          <w:rFonts w:hint="eastAsia" w:ascii="仿宋_GB2312" w:hAnsi="仿宋_GB2312" w:eastAsia="仿宋_GB2312" w:cs="仿宋_GB2312"/>
          <w:sz w:val="28"/>
          <w:szCs w:val="28"/>
        </w:rPr>
        <w:t>年来水价未做</w:t>
      </w:r>
      <w:r>
        <w:rPr>
          <w:rFonts w:hint="eastAsia" w:ascii="仿宋_GB2312" w:hAnsi="仿宋_GB2312" w:eastAsia="仿宋_GB2312" w:cs="仿宋_GB2312"/>
          <w:sz w:val="28"/>
          <w:szCs w:val="28"/>
          <w:lang w:eastAsia="zh-CN"/>
        </w:rPr>
        <w:t>上升调整</w:t>
      </w:r>
      <w:r>
        <w:rPr>
          <w:rFonts w:hint="eastAsia" w:ascii="仿宋_GB2312" w:hAnsi="仿宋_GB2312" w:eastAsia="仿宋_GB2312" w:cs="仿宋_GB2312"/>
          <w:sz w:val="28"/>
          <w:szCs w:val="28"/>
        </w:rPr>
        <w:t>，公司一直呈现亏损状态</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2020年4月执行新水价公司开始盈利，</w:t>
      </w:r>
      <w:r>
        <w:rPr>
          <w:rFonts w:hint="eastAsia" w:ascii="仿宋_GB2312" w:hAnsi="仿宋_GB2312" w:eastAsia="仿宋_GB2312" w:cs="仿宋_GB2312"/>
          <w:sz w:val="28"/>
          <w:szCs w:val="28"/>
          <w:lang w:eastAsia="zh-CN"/>
        </w:rPr>
        <w:t>截止</w:t>
      </w:r>
      <w:r>
        <w:rPr>
          <w:rFonts w:hint="eastAsia" w:ascii="仿宋_GB2312" w:hAnsi="仿宋_GB2312" w:eastAsia="仿宋_GB2312" w:cs="仿宋_GB2312"/>
          <w:sz w:val="28"/>
          <w:szCs w:val="28"/>
          <w:lang w:val="en-US" w:eastAsia="zh-CN"/>
        </w:rPr>
        <w:t>9月底</w:t>
      </w:r>
      <w:r>
        <w:rPr>
          <w:rFonts w:hint="eastAsia" w:ascii="仿宋_GB2312" w:hAnsi="仿宋_GB2312" w:eastAsia="仿宋_GB2312" w:cs="仿宋_GB2312"/>
          <w:color w:val="auto"/>
          <w:sz w:val="28"/>
          <w:szCs w:val="28"/>
          <w:lang w:val="en-US" w:eastAsia="zh-CN"/>
        </w:rPr>
        <w:t>累计盈利35.4万元</w:t>
      </w:r>
      <w:r>
        <w:rPr>
          <w:rFonts w:hint="eastAsia" w:ascii="仿宋_GB2312" w:hAnsi="仿宋_GB2312" w:eastAsia="仿宋_GB2312" w:cs="仿宋_GB2312"/>
          <w:color w:val="auto"/>
          <w:sz w:val="28"/>
          <w:szCs w:val="28"/>
        </w:rPr>
        <w:t>。</w:t>
      </w:r>
    </w:p>
    <w:p>
      <w:pPr>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新疆江布拉克旅游开发有限责任公司</w:t>
      </w:r>
      <w:r>
        <w:rPr>
          <w:rFonts w:hint="eastAsia" w:ascii="仿宋_GB2312" w:hAnsi="仿宋_GB2312" w:eastAsia="仿宋_GB2312" w:cs="仿宋_GB2312"/>
          <w:sz w:val="28"/>
          <w:szCs w:val="28"/>
          <w:lang w:eastAsia="zh-CN"/>
        </w:rPr>
        <w:t>，属国有全资公司，注册资本</w:t>
      </w:r>
      <w:r>
        <w:rPr>
          <w:rFonts w:hint="eastAsia" w:ascii="仿宋_GB2312" w:hAnsi="仿宋_GB2312" w:eastAsia="仿宋_GB2312" w:cs="仿宋_GB2312"/>
          <w:sz w:val="28"/>
          <w:szCs w:val="28"/>
          <w:lang w:val="en-US" w:eastAsia="zh-CN"/>
        </w:rPr>
        <w:t>8000万元，受疫情影响及基础设施投入较大，</w:t>
      </w:r>
      <w:r>
        <w:rPr>
          <w:rFonts w:hint="eastAsia" w:ascii="仿宋_GB2312" w:hAnsi="仿宋_GB2312" w:eastAsia="仿宋_GB2312" w:cs="仿宋_GB2312"/>
          <w:sz w:val="28"/>
          <w:szCs w:val="28"/>
          <w:lang w:eastAsia="zh-CN"/>
        </w:rPr>
        <w:t>截止</w:t>
      </w:r>
      <w:r>
        <w:rPr>
          <w:rFonts w:hint="eastAsia" w:ascii="仿宋_GB2312" w:hAnsi="仿宋_GB2312" w:eastAsia="仿宋_GB2312" w:cs="仿宋_GB2312"/>
          <w:sz w:val="28"/>
          <w:szCs w:val="28"/>
          <w:lang w:val="en-US" w:eastAsia="zh-CN"/>
        </w:rPr>
        <w:t>9月底</w:t>
      </w:r>
      <w:r>
        <w:rPr>
          <w:rFonts w:hint="eastAsia" w:ascii="仿宋_GB2312" w:hAnsi="仿宋_GB2312" w:eastAsia="仿宋_GB2312" w:cs="仿宋_GB2312"/>
          <w:color w:val="auto"/>
          <w:sz w:val="28"/>
          <w:szCs w:val="28"/>
          <w:lang w:val="en-US" w:eastAsia="zh-CN"/>
        </w:rPr>
        <w:t>累计亏损-1466.61万元。</w:t>
      </w:r>
    </w:p>
    <w:p>
      <w:pPr>
        <w:pageBreakBefore w:val="0"/>
        <w:kinsoku/>
        <w:wordWrap/>
        <w:overflowPunct/>
        <w:topLinePunct w:val="0"/>
        <w:autoSpaceDE/>
        <w:autoSpaceDN/>
        <w:bidi w:val="0"/>
        <w:adjustRightInd/>
        <w:snapToGrid/>
        <w:spacing w:line="560" w:lineRule="exact"/>
        <w:ind w:firstLine="645"/>
        <w:textAlignment w:val="auto"/>
        <w:rPr>
          <w:rFonts w:hint="eastAsia" w:ascii="仿宋_GB2312" w:hAnsi="仿宋_GB2312" w:eastAsia="仿宋_GB2312" w:cs="仿宋_GB2312"/>
          <w:color w:val="FF0000"/>
          <w:sz w:val="28"/>
          <w:szCs w:val="28"/>
          <w:lang w:val="en-US" w:eastAsia="zh-CN"/>
        </w:rPr>
      </w:pPr>
      <w:r>
        <w:rPr>
          <w:rFonts w:hint="eastAsia" w:ascii="仿宋_GB2312" w:hAnsi="仿宋_GB2312" w:eastAsia="仿宋_GB2312" w:cs="仿宋_GB2312"/>
          <w:sz w:val="28"/>
          <w:szCs w:val="28"/>
          <w:lang w:val="en-US" w:eastAsia="zh-CN"/>
        </w:rPr>
        <w:t>3、奇台县金奇鼎盛矿业有限责任公司，属国有控股公司，注册资本3000万元，</w:t>
      </w:r>
      <w:r>
        <w:rPr>
          <w:rFonts w:hint="eastAsia" w:ascii="仿宋_GB2312" w:hAnsi="仿宋_GB2312" w:eastAsia="仿宋_GB2312" w:cs="仿宋_GB2312"/>
          <w:sz w:val="28"/>
          <w:szCs w:val="28"/>
          <w:lang w:eastAsia="zh-CN"/>
        </w:rPr>
        <w:t>截止</w:t>
      </w:r>
      <w:r>
        <w:rPr>
          <w:rFonts w:hint="eastAsia" w:ascii="仿宋_GB2312" w:hAnsi="仿宋_GB2312" w:eastAsia="仿宋_GB2312" w:cs="仿宋_GB2312"/>
          <w:sz w:val="28"/>
          <w:szCs w:val="28"/>
          <w:lang w:val="en-US" w:eastAsia="zh-CN"/>
        </w:rPr>
        <w:t>9月底</w:t>
      </w:r>
      <w:r>
        <w:rPr>
          <w:rFonts w:hint="eastAsia" w:ascii="仿宋_GB2312" w:hAnsi="仿宋_GB2312" w:eastAsia="仿宋_GB2312" w:cs="仿宋_GB2312"/>
          <w:color w:val="auto"/>
          <w:sz w:val="28"/>
          <w:szCs w:val="28"/>
          <w:lang w:val="en-US" w:eastAsia="zh-CN"/>
        </w:rPr>
        <w:t>累计盈利411万元。</w:t>
      </w:r>
    </w:p>
    <w:p>
      <w:pPr>
        <w:pageBreakBefore w:val="0"/>
        <w:kinsoku/>
        <w:wordWrap/>
        <w:overflowPunct/>
        <w:topLinePunct w:val="0"/>
        <w:autoSpaceDE/>
        <w:autoSpaceDN/>
        <w:bidi w:val="0"/>
        <w:adjustRightInd/>
        <w:snapToGrid/>
        <w:spacing w:line="560" w:lineRule="exact"/>
        <w:ind w:firstLine="573"/>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新疆天山东部现代农产品物流园有限公司</w:t>
      </w:r>
      <w:r>
        <w:rPr>
          <w:rFonts w:hint="eastAsia" w:ascii="仿宋_GB2312" w:hAnsi="仿宋_GB2312" w:eastAsia="仿宋_GB2312" w:cs="仿宋_GB2312"/>
          <w:sz w:val="28"/>
          <w:szCs w:val="28"/>
          <w:lang w:eastAsia="zh-CN"/>
        </w:rPr>
        <w:t>，属于国有参股公司，</w:t>
      </w:r>
      <w:r>
        <w:rPr>
          <w:rFonts w:hint="eastAsia" w:ascii="仿宋_GB2312" w:hAnsi="仿宋_GB2312" w:eastAsia="仿宋_GB2312" w:cs="仿宋_GB2312"/>
          <w:sz w:val="28"/>
          <w:szCs w:val="28"/>
          <w:lang w:val="en-US" w:eastAsia="zh-CN"/>
        </w:rPr>
        <w:t>注册资本金4000万元，</w:t>
      </w:r>
      <w:r>
        <w:rPr>
          <w:rFonts w:hint="eastAsia" w:ascii="仿宋_GB2312" w:hAnsi="仿宋_GB2312" w:eastAsia="仿宋_GB2312" w:cs="仿宋_GB2312"/>
          <w:sz w:val="28"/>
          <w:szCs w:val="28"/>
          <w:lang w:eastAsia="zh-CN"/>
        </w:rPr>
        <w:t>由于建设投入巨大，企业资产负债率高，</w:t>
      </w:r>
      <w:r>
        <w:rPr>
          <w:rFonts w:hint="eastAsia" w:ascii="仿宋_GB2312" w:hAnsi="仿宋_GB2312" w:eastAsia="仿宋_GB2312" w:cs="仿宋_GB2312"/>
          <w:color w:val="000000"/>
          <w:sz w:val="28"/>
          <w:szCs w:val="28"/>
        </w:rPr>
        <w:t>目前仍处于建设阶段</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sz w:val="28"/>
          <w:szCs w:val="28"/>
          <w:lang w:eastAsia="zh-CN"/>
        </w:rPr>
        <w:t>截止</w:t>
      </w:r>
      <w:r>
        <w:rPr>
          <w:rFonts w:hint="eastAsia" w:ascii="仿宋_GB2312" w:hAnsi="仿宋_GB2312" w:eastAsia="仿宋_GB2312" w:cs="仿宋_GB2312"/>
          <w:sz w:val="28"/>
          <w:szCs w:val="28"/>
          <w:lang w:val="en-US" w:eastAsia="zh-CN"/>
        </w:rPr>
        <w:t>9月底</w:t>
      </w:r>
      <w:r>
        <w:rPr>
          <w:rFonts w:hint="eastAsia" w:ascii="仿宋_GB2312" w:hAnsi="仿宋_GB2312" w:eastAsia="仿宋_GB2312" w:cs="仿宋_GB2312"/>
          <w:color w:val="auto"/>
          <w:sz w:val="28"/>
          <w:szCs w:val="28"/>
          <w:lang w:val="en-US" w:eastAsia="zh-CN"/>
        </w:rPr>
        <w:t>累计亏损-95万元。</w:t>
      </w:r>
    </w:p>
    <w:p>
      <w:pPr>
        <w:pageBreakBefore w:val="0"/>
        <w:kinsoku/>
        <w:wordWrap/>
        <w:overflowPunct/>
        <w:topLinePunct w:val="0"/>
        <w:autoSpaceDE/>
        <w:autoSpaceDN/>
        <w:bidi w:val="0"/>
        <w:adjustRightInd/>
        <w:snapToGrid/>
        <w:spacing w:line="560" w:lineRule="exact"/>
        <w:ind w:firstLine="641" w:firstLineChars="229"/>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000000"/>
          <w:sz w:val="28"/>
          <w:szCs w:val="28"/>
          <w:lang w:val="en-US" w:eastAsia="zh-CN"/>
        </w:rPr>
        <w:t>5、</w:t>
      </w:r>
      <w:r>
        <w:rPr>
          <w:rFonts w:hint="eastAsia" w:ascii="仿宋_GB2312" w:hAnsi="仿宋_GB2312" w:eastAsia="仿宋_GB2312" w:cs="仿宋_GB2312"/>
          <w:color w:val="000000"/>
          <w:sz w:val="28"/>
          <w:szCs w:val="28"/>
        </w:rPr>
        <w:t>奇台县新奇保安有限</w:t>
      </w:r>
      <w:r>
        <w:rPr>
          <w:rFonts w:hint="eastAsia" w:ascii="仿宋_GB2312" w:hAnsi="仿宋_GB2312" w:eastAsia="仿宋_GB2312" w:cs="仿宋_GB2312"/>
          <w:color w:val="000000"/>
          <w:sz w:val="28"/>
          <w:szCs w:val="28"/>
          <w:lang w:eastAsia="zh-CN"/>
        </w:rPr>
        <w:t>责任</w:t>
      </w:r>
      <w:r>
        <w:rPr>
          <w:rFonts w:hint="eastAsia" w:ascii="仿宋_GB2312" w:hAnsi="仿宋_GB2312" w:eastAsia="仿宋_GB2312" w:cs="仿宋_GB2312"/>
          <w:color w:val="000000"/>
          <w:sz w:val="28"/>
          <w:szCs w:val="28"/>
        </w:rPr>
        <w:t>公司</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lang w:val="en-US" w:eastAsia="zh-CN"/>
        </w:rPr>
        <w:t>属于国有控股公司，</w:t>
      </w:r>
      <w:r>
        <w:rPr>
          <w:rFonts w:hint="eastAsia" w:ascii="仿宋_GB2312" w:hAnsi="仿宋_GB2312" w:eastAsia="仿宋_GB2312" w:cs="仿宋_GB2312"/>
          <w:color w:val="000000"/>
          <w:sz w:val="28"/>
          <w:szCs w:val="28"/>
          <w:lang w:eastAsia="zh-CN"/>
        </w:rPr>
        <w:t>注册资本</w:t>
      </w:r>
      <w:r>
        <w:rPr>
          <w:rFonts w:hint="eastAsia" w:ascii="仿宋_GB2312" w:hAnsi="仿宋_GB2312" w:eastAsia="仿宋_GB2312" w:cs="仿宋_GB2312"/>
          <w:color w:val="000000"/>
          <w:sz w:val="28"/>
          <w:szCs w:val="28"/>
          <w:lang w:val="en-US" w:eastAsia="zh-CN"/>
        </w:rPr>
        <w:t>1000万元，</w:t>
      </w:r>
      <w:r>
        <w:rPr>
          <w:rFonts w:hint="eastAsia" w:ascii="仿宋_GB2312" w:hAnsi="仿宋_GB2312" w:eastAsia="仿宋_GB2312" w:cs="仿宋_GB2312"/>
          <w:sz w:val="28"/>
          <w:szCs w:val="28"/>
        </w:rPr>
        <w:t>经营状况较为平稳</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sz w:val="28"/>
          <w:szCs w:val="28"/>
          <w:lang w:eastAsia="zh-CN"/>
        </w:rPr>
        <w:t>截止</w:t>
      </w:r>
      <w:r>
        <w:rPr>
          <w:rFonts w:hint="eastAsia" w:ascii="仿宋_GB2312" w:hAnsi="仿宋_GB2312" w:eastAsia="仿宋_GB2312" w:cs="仿宋_GB2312"/>
          <w:sz w:val="28"/>
          <w:szCs w:val="28"/>
          <w:lang w:val="en-US" w:eastAsia="zh-CN"/>
        </w:rPr>
        <w:t>9月底</w:t>
      </w:r>
      <w:r>
        <w:rPr>
          <w:rFonts w:hint="eastAsia" w:ascii="仿宋_GB2312" w:hAnsi="仿宋_GB2312" w:eastAsia="仿宋_GB2312" w:cs="仿宋_GB2312"/>
          <w:color w:val="auto"/>
          <w:sz w:val="28"/>
          <w:szCs w:val="28"/>
          <w:lang w:val="en-US" w:eastAsia="zh-CN"/>
        </w:rPr>
        <w:t>累计盈利263万元。</w:t>
      </w:r>
    </w:p>
    <w:p>
      <w:pPr>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color w:val="000000"/>
          <w:sz w:val="28"/>
          <w:szCs w:val="28"/>
          <w:lang w:val="en-US" w:eastAsia="zh-CN"/>
        </w:rPr>
        <w:t>6、</w:t>
      </w:r>
      <w:r>
        <w:rPr>
          <w:rFonts w:hint="eastAsia" w:ascii="仿宋_GB2312" w:hAnsi="仿宋_GB2312" w:eastAsia="仿宋_GB2312" w:cs="仿宋_GB2312"/>
          <w:sz w:val="28"/>
          <w:szCs w:val="28"/>
          <w:lang w:eastAsia="zh-CN"/>
        </w:rPr>
        <w:t>新疆金奇阳光建设投资（集团）有限责任公司，属国有独资公司，注册资本</w:t>
      </w:r>
      <w:r>
        <w:rPr>
          <w:rFonts w:hint="eastAsia" w:ascii="仿宋_GB2312" w:hAnsi="仿宋_GB2312" w:eastAsia="仿宋_GB2312" w:cs="仿宋_GB2312"/>
          <w:sz w:val="28"/>
          <w:szCs w:val="28"/>
          <w:lang w:val="en-US" w:eastAsia="zh-CN"/>
        </w:rPr>
        <w:t>5000万元，</w:t>
      </w:r>
      <w:r>
        <w:rPr>
          <w:rFonts w:hint="eastAsia" w:ascii="仿宋_GB2312" w:hAnsi="仿宋_GB2312" w:eastAsia="仿宋_GB2312" w:cs="仿宋_GB2312"/>
          <w:sz w:val="28"/>
          <w:szCs w:val="28"/>
          <w:lang w:eastAsia="zh-CN"/>
        </w:rPr>
        <w:t>截止</w:t>
      </w:r>
      <w:r>
        <w:rPr>
          <w:rFonts w:hint="eastAsia" w:ascii="仿宋_GB2312" w:hAnsi="仿宋_GB2312" w:eastAsia="仿宋_GB2312" w:cs="仿宋_GB2312"/>
          <w:sz w:val="28"/>
          <w:szCs w:val="28"/>
          <w:lang w:val="en-US" w:eastAsia="zh-CN"/>
        </w:rPr>
        <w:t>9月底累计亏损-30505.7万元</w:t>
      </w:r>
      <w:r>
        <w:rPr>
          <w:rFonts w:hint="eastAsia" w:ascii="仿宋_GB2312" w:hAnsi="仿宋_GB2312" w:eastAsia="仿宋_GB2312" w:cs="仿宋_GB2312"/>
          <w:sz w:val="28"/>
          <w:szCs w:val="28"/>
          <w:lang w:eastAsia="zh-CN"/>
        </w:rPr>
        <w:t>。</w:t>
      </w:r>
    </w:p>
    <w:p>
      <w:pPr>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奇台县建筑材料检测有限责任</w:t>
      </w:r>
      <w:r>
        <w:rPr>
          <w:rFonts w:hint="eastAsia" w:ascii="仿宋_GB2312" w:hAnsi="仿宋_GB2312" w:eastAsia="仿宋_GB2312" w:cs="仿宋_GB2312"/>
          <w:color w:val="auto"/>
          <w:sz w:val="28"/>
          <w:szCs w:val="28"/>
        </w:rPr>
        <w:t>公司</w:t>
      </w:r>
      <w:r>
        <w:rPr>
          <w:rFonts w:hint="eastAsia" w:ascii="仿宋_GB2312" w:hAnsi="仿宋_GB2312" w:eastAsia="仿宋_GB2312" w:cs="仿宋_GB2312"/>
          <w:color w:val="auto"/>
          <w:sz w:val="28"/>
          <w:szCs w:val="28"/>
          <w:lang w:eastAsia="zh-CN"/>
        </w:rPr>
        <w:t>，属于国有独资公司，注册资本</w:t>
      </w:r>
      <w:r>
        <w:rPr>
          <w:rFonts w:hint="eastAsia" w:ascii="仿宋_GB2312" w:hAnsi="仿宋_GB2312" w:eastAsia="仿宋_GB2312" w:cs="仿宋_GB2312"/>
          <w:color w:val="auto"/>
          <w:sz w:val="28"/>
          <w:szCs w:val="28"/>
          <w:lang w:val="en-US" w:eastAsia="zh-CN"/>
        </w:rPr>
        <w:t>200万元，</w:t>
      </w:r>
      <w:r>
        <w:rPr>
          <w:rFonts w:hint="eastAsia" w:ascii="仿宋_GB2312" w:hAnsi="仿宋_GB2312" w:eastAsia="仿宋_GB2312" w:cs="仿宋_GB2312"/>
          <w:sz w:val="28"/>
          <w:szCs w:val="28"/>
          <w:lang w:eastAsia="zh-CN"/>
        </w:rPr>
        <w:t>截止</w:t>
      </w:r>
      <w:r>
        <w:rPr>
          <w:rFonts w:hint="eastAsia" w:ascii="仿宋_GB2312" w:hAnsi="仿宋_GB2312" w:eastAsia="仿宋_GB2312" w:cs="仿宋_GB2312"/>
          <w:sz w:val="28"/>
          <w:szCs w:val="28"/>
          <w:lang w:val="en-US" w:eastAsia="zh-CN"/>
        </w:rPr>
        <w:t>9月底累计亏损-9万元</w:t>
      </w:r>
      <w:r>
        <w:rPr>
          <w:rFonts w:hint="eastAsia" w:ascii="仿宋_GB2312" w:hAnsi="仿宋_GB2312" w:eastAsia="仿宋_GB2312" w:cs="仿宋_GB2312"/>
          <w:sz w:val="28"/>
          <w:szCs w:val="28"/>
          <w:lang w:eastAsia="zh-CN"/>
        </w:rPr>
        <w:t>。</w:t>
      </w:r>
    </w:p>
    <w:p>
      <w:pPr>
        <w:pStyle w:val="2"/>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color w:val="auto"/>
          <w:sz w:val="28"/>
          <w:szCs w:val="28"/>
          <w:lang w:val="en-US" w:eastAsia="zh-CN"/>
        </w:rPr>
        <w:t>8、奇台县通达交通投资有限责任公司，属国有独资公司，注册资本2000万元，</w:t>
      </w:r>
      <w:r>
        <w:rPr>
          <w:rFonts w:hint="eastAsia" w:ascii="仿宋_GB2312" w:hAnsi="仿宋_GB2312" w:eastAsia="仿宋_GB2312" w:cs="仿宋_GB2312"/>
          <w:b w:val="0"/>
          <w:bCs/>
          <w:sz w:val="28"/>
          <w:szCs w:val="28"/>
          <w:lang w:eastAsia="zh-CN"/>
        </w:rPr>
        <w:t>截止</w:t>
      </w:r>
      <w:r>
        <w:rPr>
          <w:rFonts w:hint="eastAsia" w:ascii="仿宋_GB2312" w:hAnsi="仿宋_GB2312" w:eastAsia="仿宋_GB2312" w:cs="仿宋_GB2312"/>
          <w:b w:val="0"/>
          <w:bCs/>
          <w:sz w:val="28"/>
          <w:szCs w:val="28"/>
          <w:lang w:val="en-US" w:eastAsia="zh-CN"/>
        </w:rPr>
        <w:t>9月底累计亏损-158.58万元。</w:t>
      </w:r>
    </w:p>
    <w:p>
      <w:pPr>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color w:val="auto"/>
          <w:sz w:val="28"/>
          <w:szCs w:val="28"/>
          <w:lang w:val="en-US" w:eastAsia="zh-CN"/>
        </w:rPr>
        <w:t>9、</w:t>
      </w:r>
      <w:r>
        <w:rPr>
          <w:rFonts w:hint="eastAsia" w:ascii="仿宋_GB2312" w:hAnsi="仿宋_GB2312" w:eastAsia="仿宋_GB2312" w:cs="仿宋_GB2312"/>
          <w:color w:val="auto"/>
          <w:sz w:val="28"/>
          <w:szCs w:val="28"/>
        </w:rPr>
        <w:t>奇台</w:t>
      </w:r>
      <w:r>
        <w:rPr>
          <w:rFonts w:hint="eastAsia" w:ascii="仿宋_GB2312" w:hAnsi="仿宋_GB2312" w:eastAsia="仿宋_GB2312" w:cs="仿宋_GB2312"/>
          <w:sz w:val="28"/>
          <w:szCs w:val="28"/>
        </w:rPr>
        <w:t>县广电网络有限公司</w:t>
      </w:r>
      <w:r>
        <w:rPr>
          <w:rFonts w:hint="eastAsia" w:ascii="仿宋_GB2312" w:hAnsi="仿宋_GB2312" w:eastAsia="仿宋_GB2312" w:cs="仿宋_GB2312"/>
          <w:sz w:val="28"/>
          <w:szCs w:val="28"/>
          <w:lang w:eastAsia="zh-CN"/>
        </w:rPr>
        <w:t>，属于国有独资企业，注册资本</w:t>
      </w:r>
      <w:r>
        <w:rPr>
          <w:rFonts w:hint="eastAsia" w:ascii="仿宋_GB2312" w:hAnsi="仿宋_GB2312" w:eastAsia="仿宋_GB2312" w:cs="仿宋_GB2312"/>
          <w:sz w:val="28"/>
          <w:szCs w:val="28"/>
          <w:lang w:val="en-US" w:eastAsia="zh-CN"/>
        </w:rPr>
        <w:t>30万元，截止9月底累计亏损-65万元。</w:t>
      </w:r>
    </w:p>
    <w:p>
      <w:pPr>
        <w:keepLines w:val="0"/>
        <w:pageBreakBefore w:val="0"/>
        <w:widowControl/>
        <w:kinsoku/>
        <w:wordWrap/>
        <w:overflowPunct/>
        <w:topLinePunct w:val="0"/>
        <w:autoSpaceDE/>
        <w:autoSpaceDN/>
        <w:bidi w:val="0"/>
        <w:adjustRightInd/>
        <w:snapToGrid/>
        <w:spacing w:line="560" w:lineRule="exact"/>
        <w:ind w:left="100" w:firstLine="562" w:firstLineChars="200"/>
        <w:textAlignment w:val="auto"/>
        <w:rPr>
          <w:rFonts w:hint="eastAsia" w:ascii="仿宋_GB2312" w:hAnsi="仿宋_GB2312" w:eastAsia="仿宋_GB2312" w:cs="仿宋_GB2312"/>
          <w:bCs/>
          <w:kern w:val="2"/>
          <w:sz w:val="28"/>
          <w:szCs w:val="28"/>
          <w:lang w:val="en-US" w:eastAsia="zh-CN"/>
        </w:rPr>
      </w:pPr>
      <w:r>
        <w:rPr>
          <w:rFonts w:hint="eastAsia" w:ascii="仿宋_GB2312" w:hAnsi="仿宋_GB2312" w:eastAsia="仿宋_GB2312" w:cs="仿宋_GB2312"/>
          <w:b/>
          <w:bCs w:val="0"/>
          <w:kern w:val="2"/>
          <w:sz w:val="28"/>
          <w:szCs w:val="28"/>
        </w:rPr>
        <w:t>二、2</w:t>
      </w:r>
      <w:r>
        <w:rPr>
          <w:rFonts w:hint="eastAsia" w:ascii="仿宋_GB2312" w:hAnsi="仿宋_GB2312" w:eastAsia="仿宋_GB2312" w:cs="仿宋_GB2312"/>
          <w:b/>
          <w:bCs w:val="0"/>
          <w:kern w:val="2"/>
          <w:sz w:val="28"/>
          <w:szCs w:val="28"/>
          <w:lang w:val="en-US" w:eastAsia="zh-CN" w:bidi="ar"/>
        </w:rPr>
        <w:t>021年国有企业财务状况</w:t>
      </w:r>
    </w:p>
    <w:p>
      <w:pPr>
        <w:pStyle w:val="4"/>
        <w:keepLines w:val="0"/>
        <w:pageBreakBefore w:val="0"/>
        <w:widowControl/>
        <w:kinsoku/>
        <w:wordWrap/>
        <w:overflowPunct/>
        <w:topLinePunct w:val="0"/>
        <w:autoSpaceDE/>
        <w:autoSpaceDN/>
        <w:bidi w:val="0"/>
        <w:adjustRightInd/>
        <w:snapToGrid/>
        <w:spacing w:after="0" w:line="560" w:lineRule="exact"/>
        <w:ind w:firstLine="560" w:firstLineChars="200"/>
        <w:textAlignment w:val="auto"/>
        <w:rPr>
          <w:rFonts w:hint="eastAsia" w:ascii="仿宋_GB2312" w:hAnsi="仿宋_GB2312" w:eastAsia="仿宋_GB2312" w:cs="仿宋_GB2312"/>
          <w:bCs/>
          <w:color w:val="auto"/>
          <w:kern w:val="2"/>
          <w:sz w:val="28"/>
          <w:szCs w:val="28"/>
          <w:lang w:val="en-US" w:eastAsia="zh-CN"/>
        </w:rPr>
      </w:pPr>
      <w:r>
        <w:rPr>
          <w:rFonts w:hint="eastAsia" w:ascii="仿宋_GB2312" w:hAnsi="仿宋_GB2312" w:eastAsia="仿宋_GB2312" w:cs="仿宋_GB2312"/>
          <w:bCs/>
          <w:kern w:val="2"/>
          <w:sz w:val="28"/>
          <w:szCs w:val="28"/>
          <w:lang w:val="en-US" w:eastAsia="zh-CN"/>
        </w:rPr>
        <w:t>我县9家国有企业截至2021年9月资产总额合计</w:t>
      </w:r>
      <w:r>
        <w:rPr>
          <w:rFonts w:hint="eastAsia" w:ascii="仿宋_GB2312" w:hAnsi="仿宋_GB2312" w:eastAsia="仿宋_GB2312" w:cs="仿宋_GB2312"/>
          <w:bCs/>
          <w:color w:val="auto"/>
          <w:kern w:val="2"/>
          <w:sz w:val="28"/>
          <w:szCs w:val="28"/>
          <w:lang w:val="en-US" w:eastAsia="zh-CN"/>
        </w:rPr>
        <w:t>335259.98万元，负债总额合计298158.1万元，所有者权益总额合计37101.88万元，利润总额合计-31590.49，净利润合计-31633.49万元。</w:t>
      </w:r>
    </w:p>
    <w:p>
      <w:pPr>
        <w:pStyle w:val="4"/>
        <w:keepNext w:val="0"/>
        <w:keepLines w:val="0"/>
        <w:pageBreakBefore w:val="0"/>
        <w:widowControl/>
        <w:suppressLineNumbers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bCs/>
          <w:color w:val="auto"/>
          <w:kern w:val="2"/>
          <w:sz w:val="28"/>
          <w:szCs w:val="28"/>
          <w:lang w:val="en-US" w:eastAsia="zh-CN"/>
        </w:rPr>
        <w:t>2022年预计盈利企业有3家，可上缴利润企业2家：</w:t>
      </w:r>
      <w:r>
        <w:rPr>
          <w:rFonts w:hint="eastAsia" w:ascii="仿宋_GB2312" w:hAnsi="仿宋_GB2312" w:eastAsia="仿宋_GB2312" w:cs="仿宋_GB2312"/>
          <w:color w:val="auto"/>
          <w:sz w:val="28"/>
          <w:szCs w:val="28"/>
        </w:rPr>
        <w:t>奇台县新奇保安公司</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新疆金奇鼎盛矿业有限资任公司</w:t>
      </w:r>
      <w:r>
        <w:rPr>
          <w:rFonts w:hint="eastAsia" w:ascii="仿宋_GB2312" w:hAnsi="仿宋_GB2312" w:eastAsia="仿宋_GB2312" w:cs="仿宋_GB2312"/>
          <w:bCs/>
          <w:color w:val="auto"/>
          <w:kern w:val="2"/>
          <w:sz w:val="28"/>
          <w:szCs w:val="28"/>
          <w:lang w:val="en-US" w:eastAsia="zh-CN"/>
        </w:rPr>
        <w:t>，其中不能上缴利润企业1家：</w:t>
      </w:r>
      <w:r>
        <w:rPr>
          <w:rFonts w:hint="eastAsia" w:ascii="仿宋_GB2312" w:hAnsi="仿宋_GB2312" w:eastAsia="仿宋_GB2312" w:cs="仿宋_GB2312"/>
          <w:color w:val="auto"/>
          <w:kern w:val="0"/>
          <w:sz w:val="28"/>
          <w:szCs w:val="28"/>
          <w:highlight w:val="none"/>
          <w:lang w:val="en-US" w:eastAsia="zh-CN" w:bidi="ar"/>
        </w:rPr>
        <w:t>奇台县城市供排水有限责任公司，供排水公司全年实现总收入2052.11万元。其中：水费收入1940.3万元，其他业务收入111.81万元（商品零售收入90.05万元、水表维修9.5万元，安装工程收入12.26万元）。全年费用支出总额为1991.55万元，全年实现税后净利润60.56万元，根据最新《公司法》及会计制度相关规定，公司首先要提取净利润的10%计入公司法定公积，共计6.56万元，2021年度前期期末公司累计可分配利润为-391.7万元，计划将剩余54万元净利润用于弥补公司以前年度亏损，拟不对净利润进行分配。</w:t>
      </w:r>
    </w:p>
    <w:p>
      <w:pPr>
        <w:pStyle w:val="4"/>
        <w:keepLines w:val="0"/>
        <w:pageBreakBefore w:val="0"/>
        <w:widowControl/>
        <w:kinsoku/>
        <w:wordWrap/>
        <w:overflowPunct/>
        <w:topLinePunct w:val="0"/>
        <w:autoSpaceDE/>
        <w:autoSpaceDN/>
        <w:bidi w:val="0"/>
        <w:adjustRightInd/>
        <w:snapToGrid/>
        <w:spacing w:after="0" w:line="56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val="0"/>
          <w:kern w:val="2"/>
          <w:sz w:val="28"/>
          <w:szCs w:val="28"/>
        </w:rPr>
        <w:t>三、20</w:t>
      </w:r>
      <w:r>
        <w:rPr>
          <w:rFonts w:hint="eastAsia" w:ascii="仿宋_GB2312" w:hAnsi="仿宋_GB2312" w:eastAsia="仿宋_GB2312" w:cs="仿宋_GB2312"/>
          <w:b/>
          <w:bCs w:val="0"/>
          <w:kern w:val="2"/>
          <w:sz w:val="28"/>
          <w:szCs w:val="28"/>
          <w:lang w:val="en-US" w:eastAsia="zh-CN"/>
        </w:rPr>
        <w:t>22</w:t>
      </w:r>
      <w:r>
        <w:rPr>
          <w:rFonts w:hint="eastAsia" w:ascii="仿宋_GB2312" w:hAnsi="仿宋_GB2312" w:eastAsia="仿宋_GB2312" w:cs="仿宋_GB2312"/>
          <w:b/>
          <w:bCs w:val="0"/>
          <w:kern w:val="2"/>
          <w:sz w:val="28"/>
          <w:szCs w:val="28"/>
        </w:rPr>
        <w:t>年国有资本经营预算</w:t>
      </w:r>
      <w:r>
        <w:rPr>
          <w:rFonts w:hint="eastAsia" w:ascii="仿宋_GB2312" w:hAnsi="仿宋_GB2312" w:eastAsia="仿宋_GB2312" w:cs="仿宋_GB2312"/>
          <w:b/>
          <w:bCs w:val="0"/>
          <w:kern w:val="2"/>
          <w:sz w:val="28"/>
          <w:szCs w:val="28"/>
          <w:lang w:eastAsia="zh-CN"/>
        </w:rPr>
        <w:t>编制情况</w:t>
      </w:r>
    </w:p>
    <w:p>
      <w:pPr>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202</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年预计可上缴利润企业</w:t>
      </w:r>
      <w:r>
        <w:rPr>
          <w:rFonts w:hint="eastAsia" w:ascii="仿宋_GB2312" w:hAnsi="仿宋_GB2312" w:eastAsia="仿宋_GB2312" w:cs="仿宋_GB2312"/>
          <w:color w:val="auto"/>
          <w:sz w:val="28"/>
          <w:szCs w:val="28"/>
          <w:lang w:val="en-US" w:eastAsia="zh-CN"/>
        </w:rPr>
        <w:t>两</w:t>
      </w:r>
      <w:r>
        <w:rPr>
          <w:rFonts w:hint="eastAsia" w:ascii="仿宋_GB2312" w:hAnsi="仿宋_GB2312" w:eastAsia="仿宋_GB2312" w:cs="仿宋_GB2312"/>
          <w:color w:val="auto"/>
          <w:sz w:val="28"/>
          <w:szCs w:val="28"/>
        </w:rPr>
        <w:t>家</w:t>
      </w:r>
      <w:r>
        <w:rPr>
          <w:rFonts w:hint="eastAsia" w:ascii="仿宋_GB2312" w:hAnsi="仿宋_GB2312" w:eastAsia="仿宋_GB2312" w:cs="仿宋_GB2312"/>
          <w:color w:val="auto"/>
          <w:sz w:val="28"/>
          <w:szCs w:val="28"/>
          <w:lang w:val="en-US" w:eastAsia="zh-CN"/>
        </w:rPr>
        <w:t>分别</w:t>
      </w:r>
      <w:r>
        <w:rPr>
          <w:rFonts w:hint="eastAsia" w:ascii="仿宋_GB2312" w:hAnsi="仿宋_GB2312" w:eastAsia="仿宋_GB2312" w:cs="仿宋_GB2312"/>
          <w:color w:val="auto"/>
          <w:sz w:val="28"/>
          <w:szCs w:val="28"/>
        </w:rPr>
        <w:t>为</w:t>
      </w:r>
      <w:r>
        <w:rPr>
          <w:rFonts w:hint="eastAsia" w:ascii="仿宋_GB2312" w:hAnsi="仿宋_GB2312" w:eastAsia="仿宋_GB2312" w:cs="仿宋_GB2312"/>
          <w:color w:val="auto"/>
          <w:sz w:val="28"/>
          <w:szCs w:val="28"/>
          <w:lang w:eastAsia="zh-CN"/>
        </w:rPr>
        <w:t>：</w:t>
      </w:r>
    </w:p>
    <w:p>
      <w:pPr>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奇台县新奇保安公司，新奇保安公司2013年改制为国有控股公司，国资局持股55%、公司职工持股45%。现有职工1600人，截止202</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年9月30日，总资产</w:t>
      </w:r>
      <w:r>
        <w:rPr>
          <w:rFonts w:hint="eastAsia" w:ascii="仿宋_GB2312" w:hAnsi="仿宋_GB2312" w:eastAsia="仿宋_GB2312" w:cs="仿宋_GB2312"/>
          <w:color w:val="auto"/>
          <w:sz w:val="28"/>
          <w:szCs w:val="28"/>
          <w:lang w:val="en-US" w:eastAsia="zh-CN"/>
        </w:rPr>
        <w:t>3418</w:t>
      </w:r>
      <w:r>
        <w:rPr>
          <w:rFonts w:hint="eastAsia" w:ascii="仿宋_GB2312" w:hAnsi="仿宋_GB2312" w:eastAsia="仿宋_GB2312" w:cs="仿宋_GB2312"/>
          <w:color w:val="auto"/>
          <w:sz w:val="28"/>
          <w:szCs w:val="28"/>
        </w:rPr>
        <w:t>万元，负债合计1</w:t>
      </w:r>
      <w:r>
        <w:rPr>
          <w:rFonts w:hint="eastAsia" w:ascii="仿宋_GB2312" w:hAnsi="仿宋_GB2312" w:eastAsia="仿宋_GB2312" w:cs="仿宋_GB2312"/>
          <w:color w:val="auto"/>
          <w:sz w:val="28"/>
          <w:szCs w:val="28"/>
          <w:lang w:val="en-US" w:eastAsia="zh-CN"/>
        </w:rPr>
        <w:t>111</w:t>
      </w:r>
      <w:r>
        <w:rPr>
          <w:rFonts w:hint="eastAsia" w:ascii="仿宋_GB2312" w:hAnsi="仿宋_GB2312" w:eastAsia="仿宋_GB2312" w:cs="仿宋_GB2312"/>
          <w:color w:val="auto"/>
          <w:sz w:val="28"/>
          <w:szCs w:val="28"/>
        </w:rPr>
        <w:t>万元，所有者权益</w:t>
      </w:r>
      <w:r>
        <w:rPr>
          <w:rFonts w:hint="eastAsia" w:ascii="仿宋_GB2312" w:hAnsi="仿宋_GB2312" w:eastAsia="仿宋_GB2312" w:cs="仿宋_GB2312"/>
          <w:color w:val="auto"/>
          <w:sz w:val="28"/>
          <w:szCs w:val="28"/>
          <w:lang w:val="en-US" w:eastAsia="zh-CN"/>
        </w:rPr>
        <w:t>2307</w:t>
      </w:r>
      <w:r>
        <w:rPr>
          <w:rFonts w:hint="eastAsia" w:ascii="仿宋_GB2312" w:hAnsi="仿宋_GB2312" w:eastAsia="仿宋_GB2312" w:cs="仿宋_GB2312"/>
          <w:color w:val="auto"/>
          <w:sz w:val="28"/>
          <w:szCs w:val="28"/>
        </w:rPr>
        <w:t>万元，营业总收入</w:t>
      </w:r>
      <w:r>
        <w:rPr>
          <w:rFonts w:hint="eastAsia" w:ascii="仿宋_GB2312" w:hAnsi="仿宋_GB2312" w:eastAsia="仿宋_GB2312" w:cs="仿宋_GB2312"/>
          <w:color w:val="auto"/>
          <w:sz w:val="28"/>
          <w:szCs w:val="28"/>
          <w:lang w:val="en-US" w:eastAsia="zh-CN"/>
        </w:rPr>
        <w:t>4341</w:t>
      </w:r>
      <w:r>
        <w:rPr>
          <w:rFonts w:hint="eastAsia" w:ascii="仿宋_GB2312" w:hAnsi="仿宋_GB2312" w:eastAsia="仿宋_GB2312" w:cs="仿宋_GB2312"/>
          <w:color w:val="auto"/>
          <w:sz w:val="28"/>
          <w:szCs w:val="28"/>
        </w:rPr>
        <w:t>万元，净利润</w:t>
      </w:r>
      <w:r>
        <w:rPr>
          <w:rFonts w:hint="eastAsia" w:ascii="仿宋_GB2312" w:hAnsi="仿宋_GB2312" w:eastAsia="仿宋_GB2312" w:cs="仿宋_GB2312"/>
          <w:color w:val="auto"/>
          <w:sz w:val="28"/>
          <w:szCs w:val="28"/>
          <w:lang w:val="en-US" w:eastAsia="zh-CN"/>
        </w:rPr>
        <w:t>220</w:t>
      </w:r>
      <w:r>
        <w:rPr>
          <w:rFonts w:hint="eastAsia" w:ascii="仿宋_GB2312" w:hAnsi="仿宋_GB2312" w:eastAsia="仿宋_GB2312" w:cs="仿宋_GB2312"/>
          <w:color w:val="auto"/>
          <w:sz w:val="28"/>
          <w:szCs w:val="28"/>
        </w:rPr>
        <w:t>万元。202</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年预计净利润</w:t>
      </w:r>
      <w:r>
        <w:rPr>
          <w:rFonts w:hint="eastAsia" w:ascii="仿宋_GB2312" w:hAnsi="仿宋_GB2312" w:eastAsia="仿宋_GB2312" w:cs="仿宋_GB2312"/>
          <w:color w:val="auto"/>
          <w:sz w:val="28"/>
          <w:szCs w:val="28"/>
          <w:lang w:val="en-US" w:eastAsia="zh-CN"/>
        </w:rPr>
        <w:t>650.67</w:t>
      </w:r>
      <w:r>
        <w:rPr>
          <w:rFonts w:hint="eastAsia" w:ascii="仿宋_GB2312" w:hAnsi="仿宋_GB2312" w:eastAsia="仿宋_GB2312" w:cs="仿宋_GB2312"/>
          <w:color w:val="auto"/>
          <w:sz w:val="28"/>
          <w:szCs w:val="28"/>
        </w:rPr>
        <w:t>万元，</w:t>
      </w:r>
      <w:r>
        <w:rPr>
          <w:rFonts w:hint="eastAsia" w:ascii="仿宋_GB2312" w:hAnsi="仿宋_GB2312" w:eastAsia="仿宋_GB2312" w:cs="仿宋_GB2312"/>
          <w:color w:val="auto"/>
          <w:sz w:val="28"/>
          <w:szCs w:val="28"/>
          <w:lang w:val="en-US" w:eastAsia="zh-CN"/>
        </w:rPr>
        <w:t>提取盈余公积金130.13万元，可供</w:t>
      </w:r>
      <w:r>
        <w:rPr>
          <w:rFonts w:hint="eastAsia" w:ascii="仿宋_GB2312" w:hAnsi="仿宋_GB2312" w:eastAsia="仿宋_GB2312" w:cs="仿宋_GB2312"/>
          <w:color w:val="auto"/>
          <w:sz w:val="28"/>
          <w:szCs w:val="28"/>
        </w:rPr>
        <w:t>分配</w:t>
      </w:r>
      <w:r>
        <w:rPr>
          <w:rFonts w:hint="eastAsia" w:ascii="仿宋_GB2312" w:hAnsi="仿宋_GB2312" w:eastAsia="仿宋_GB2312" w:cs="仿宋_GB2312"/>
          <w:color w:val="auto"/>
          <w:sz w:val="28"/>
          <w:szCs w:val="28"/>
          <w:lang w:val="en-US" w:eastAsia="zh-CN"/>
        </w:rPr>
        <w:t>的</w:t>
      </w:r>
      <w:r>
        <w:rPr>
          <w:rFonts w:hint="eastAsia" w:ascii="仿宋_GB2312" w:hAnsi="仿宋_GB2312" w:eastAsia="仿宋_GB2312" w:cs="仿宋_GB2312"/>
          <w:color w:val="auto"/>
          <w:sz w:val="28"/>
          <w:szCs w:val="28"/>
        </w:rPr>
        <w:t>利润</w:t>
      </w:r>
      <w:r>
        <w:rPr>
          <w:rFonts w:hint="eastAsia" w:ascii="仿宋_GB2312" w:hAnsi="仿宋_GB2312" w:eastAsia="仿宋_GB2312" w:cs="仿宋_GB2312"/>
          <w:color w:val="auto"/>
          <w:sz w:val="28"/>
          <w:szCs w:val="28"/>
          <w:lang w:val="en-US" w:eastAsia="zh-CN"/>
        </w:rPr>
        <w:t>520.54</w:t>
      </w:r>
      <w:r>
        <w:rPr>
          <w:rFonts w:hint="eastAsia" w:ascii="仿宋_GB2312" w:hAnsi="仿宋_GB2312" w:eastAsia="仿宋_GB2312" w:cs="仿宋_GB2312"/>
          <w:color w:val="auto"/>
          <w:sz w:val="28"/>
          <w:szCs w:val="28"/>
        </w:rPr>
        <w:t>万元，因受疫情影响保安费欠费严重，计划拿出净利润的</w:t>
      </w:r>
      <w:r>
        <w:rPr>
          <w:rFonts w:hint="eastAsia" w:ascii="仿宋_GB2312" w:hAnsi="仿宋_GB2312" w:eastAsia="仿宋_GB2312" w:cs="仿宋_GB2312"/>
          <w:color w:val="auto"/>
          <w:sz w:val="28"/>
          <w:szCs w:val="28"/>
          <w:lang w:val="en-US" w:eastAsia="zh-CN"/>
        </w:rPr>
        <w:t>70</w:t>
      </w:r>
      <w:r>
        <w:rPr>
          <w:rFonts w:hint="eastAsia" w:ascii="仿宋_GB2312" w:hAnsi="仿宋_GB2312" w:eastAsia="仿宋_GB2312" w:cs="仿宋_GB2312"/>
          <w:color w:val="auto"/>
          <w:sz w:val="28"/>
          <w:szCs w:val="28"/>
        </w:rPr>
        <w:t>%用于发展资金、</w:t>
      </w:r>
      <w:r>
        <w:rPr>
          <w:rFonts w:hint="eastAsia" w:ascii="仿宋_GB2312" w:hAnsi="仿宋_GB2312" w:eastAsia="仿宋_GB2312" w:cs="仿宋_GB2312"/>
          <w:color w:val="auto"/>
          <w:sz w:val="28"/>
          <w:szCs w:val="28"/>
          <w:lang w:val="en-US" w:eastAsia="zh-CN"/>
        </w:rPr>
        <w:t>2021年应分红金额为287万元</w:t>
      </w:r>
      <w:r>
        <w:rPr>
          <w:rFonts w:hint="eastAsia" w:ascii="仿宋_GB2312" w:hAnsi="仿宋_GB2312" w:eastAsia="仿宋_GB2312" w:cs="仿宋_GB2312"/>
          <w:color w:val="auto"/>
          <w:sz w:val="28"/>
          <w:szCs w:val="28"/>
        </w:rPr>
        <w:t>，国资局占股55</w:t>
      </w:r>
      <w:r>
        <w:rPr>
          <w:rFonts w:hint="eastAsia" w:ascii="仿宋_GB2312" w:hAnsi="仿宋_GB2312" w:eastAsia="仿宋_GB2312" w:cs="仿宋_GB2312"/>
          <w:color w:val="auto"/>
          <w:sz w:val="28"/>
          <w:szCs w:val="28"/>
          <w:lang w:val="en-US" w:eastAsia="zh-CN"/>
        </w:rPr>
        <w:t>.14</w:t>
      </w:r>
      <w:r>
        <w:rPr>
          <w:rFonts w:hint="eastAsia" w:ascii="仿宋_GB2312" w:hAnsi="仿宋_GB2312" w:eastAsia="仿宋_GB2312" w:cs="仿宋_GB2312"/>
          <w:color w:val="auto"/>
          <w:sz w:val="28"/>
          <w:szCs w:val="28"/>
        </w:rPr>
        <w:t>%预计可分配利润</w:t>
      </w:r>
      <w:r>
        <w:rPr>
          <w:rFonts w:hint="eastAsia" w:ascii="仿宋_GB2312" w:hAnsi="仿宋_GB2312" w:eastAsia="仿宋_GB2312" w:cs="仿宋_GB2312"/>
          <w:color w:val="auto"/>
          <w:sz w:val="28"/>
          <w:szCs w:val="28"/>
          <w:lang w:val="en-US" w:eastAsia="zh-CN"/>
        </w:rPr>
        <w:t>86.1</w:t>
      </w:r>
      <w:r>
        <w:rPr>
          <w:rFonts w:hint="eastAsia" w:ascii="仿宋_GB2312" w:hAnsi="仿宋_GB2312" w:eastAsia="仿宋_GB2312" w:cs="仿宋_GB2312"/>
          <w:color w:val="auto"/>
          <w:sz w:val="28"/>
          <w:szCs w:val="28"/>
        </w:rPr>
        <w:t>万元。</w:t>
      </w:r>
    </w:p>
    <w:p>
      <w:pPr>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2.新疆金奇鼎盛矿业有限资任公司,国资局占股60.9% ，现有职工32人，</w:t>
      </w:r>
      <w:r>
        <w:rPr>
          <w:rFonts w:hint="eastAsia" w:ascii="仿宋_GB2312" w:hAnsi="仿宋_GB2312" w:eastAsia="仿宋_GB2312" w:cs="仿宋_GB2312"/>
          <w:color w:val="auto"/>
          <w:sz w:val="28"/>
          <w:szCs w:val="28"/>
        </w:rPr>
        <w:t>截止202</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年9月30日，总资产</w:t>
      </w:r>
      <w:r>
        <w:rPr>
          <w:rFonts w:hint="eastAsia" w:ascii="仿宋_GB2312" w:hAnsi="仿宋_GB2312" w:eastAsia="仿宋_GB2312" w:cs="仿宋_GB2312"/>
          <w:color w:val="auto"/>
          <w:sz w:val="28"/>
          <w:szCs w:val="28"/>
          <w:lang w:val="en-US" w:eastAsia="zh-CN"/>
        </w:rPr>
        <w:t>13336</w:t>
      </w:r>
      <w:r>
        <w:rPr>
          <w:rFonts w:hint="eastAsia" w:ascii="仿宋_GB2312" w:hAnsi="仿宋_GB2312" w:eastAsia="仿宋_GB2312" w:cs="仿宋_GB2312"/>
          <w:color w:val="auto"/>
          <w:sz w:val="28"/>
          <w:szCs w:val="28"/>
        </w:rPr>
        <w:t>万元，负债合计</w:t>
      </w:r>
      <w:r>
        <w:rPr>
          <w:rFonts w:hint="eastAsia" w:ascii="仿宋_GB2312" w:hAnsi="仿宋_GB2312" w:eastAsia="仿宋_GB2312" w:cs="仿宋_GB2312"/>
          <w:color w:val="auto"/>
          <w:sz w:val="28"/>
          <w:szCs w:val="28"/>
          <w:lang w:val="en-US" w:eastAsia="zh-CN"/>
        </w:rPr>
        <w:t>4654</w:t>
      </w:r>
      <w:r>
        <w:rPr>
          <w:rFonts w:hint="eastAsia" w:ascii="仿宋_GB2312" w:hAnsi="仿宋_GB2312" w:eastAsia="仿宋_GB2312" w:cs="仿宋_GB2312"/>
          <w:color w:val="auto"/>
          <w:sz w:val="28"/>
          <w:szCs w:val="28"/>
        </w:rPr>
        <w:t>万元，所有者权益</w:t>
      </w:r>
      <w:r>
        <w:rPr>
          <w:rFonts w:hint="eastAsia" w:ascii="仿宋_GB2312" w:hAnsi="仿宋_GB2312" w:eastAsia="仿宋_GB2312" w:cs="仿宋_GB2312"/>
          <w:color w:val="auto"/>
          <w:sz w:val="28"/>
          <w:szCs w:val="28"/>
          <w:lang w:val="en-US" w:eastAsia="zh-CN"/>
        </w:rPr>
        <w:t>8682</w:t>
      </w:r>
      <w:r>
        <w:rPr>
          <w:rFonts w:hint="eastAsia" w:ascii="仿宋_GB2312" w:hAnsi="仿宋_GB2312" w:eastAsia="仿宋_GB2312" w:cs="仿宋_GB2312"/>
          <w:color w:val="auto"/>
          <w:sz w:val="28"/>
          <w:szCs w:val="28"/>
        </w:rPr>
        <w:t>万元，营业总收入</w:t>
      </w:r>
      <w:r>
        <w:rPr>
          <w:rFonts w:hint="eastAsia" w:ascii="仿宋_GB2312" w:hAnsi="仿宋_GB2312" w:eastAsia="仿宋_GB2312" w:cs="仿宋_GB2312"/>
          <w:color w:val="auto"/>
          <w:sz w:val="28"/>
          <w:szCs w:val="28"/>
          <w:lang w:val="en-US" w:eastAsia="zh-CN"/>
        </w:rPr>
        <w:t>1378</w:t>
      </w:r>
      <w:r>
        <w:rPr>
          <w:rFonts w:hint="eastAsia" w:ascii="仿宋_GB2312" w:hAnsi="仿宋_GB2312" w:eastAsia="仿宋_GB2312" w:cs="仿宋_GB2312"/>
          <w:color w:val="auto"/>
          <w:sz w:val="28"/>
          <w:szCs w:val="28"/>
        </w:rPr>
        <w:t>万元，净利润</w:t>
      </w:r>
      <w:r>
        <w:rPr>
          <w:rFonts w:hint="eastAsia" w:ascii="仿宋_GB2312" w:hAnsi="仿宋_GB2312" w:eastAsia="仿宋_GB2312" w:cs="仿宋_GB2312"/>
          <w:color w:val="auto"/>
          <w:sz w:val="28"/>
          <w:szCs w:val="28"/>
          <w:lang w:val="en-US" w:eastAsia="zh-CN"/>
        </w:rPr>
        <w:t>411</w:t>
      </w:r>
      <w:r>
        <w:rPr>
          <w:rFonts w:hint="eastAsia" w:ascii="仿宋_GB2312" w:hAnsi="仿宋_GB2312" w:eastAsia="仿宋_GB2312" w:cs="仿宋_GB2312"/>
          <w:color w:val="auto"/>
          <w:sz w:val="28"/>
          <w:szCs w:val="28"/>
        </w:rPr>
        <w:t>万元。</w:t>
      </w:r>
      <w:r>
        <w:rPr>
          <w:rFonts w:hint="eastAsia" w:ascii="仿宋_GB2312" w:hAnsi="仿宋_GB2312" w:eastAsia="仿宋_GB2312" w:cs="仿宋_GB2312"/>
          <w:color w:val="auto"/>
          <w:sz w:val="28"/>
          <w:szCs w:val="28"/>
          <w:lang w:val="en-US" w:eastAsia="zh-CN"/>
        </w:rPr>
        <w:t>2021年度预计实现利润总额1439.07万元，净利润1079.30万元。依据新疆金奇鼎盛矿业有限责任公司章程第九章第三十七条：股东按照实缴的出资比例分取红利。公司当年实现的税后净利润，首先要提取净利润的10%计入公司法定公积金，90%的净利润作如下分配:50%用于公司矿区设施基础建设和矿区地质环境治理保护，40%用于股东红利分配。预计分配方案如下2021年度提取盈余公积金107.93万元，依据公司章程留存矿区设施基础建设和矿区地质环境治理保护费用539.65万元,股东按照实缴的出资比例分配红利总额为431.72万元。奇台县财政局（国资局）出资比例为60.90%，预计分配红利262.91万元。</w:t>
      </w:r>
    </w:p>
    <w:p>
      <w:pPr>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根据文件规定经营预算收入按30%的比例调入一般公共预算，202</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年调入一般公共预算收入</w:t>
      </w:r>
      <w:r>
        <w:rPr>
          <w:rFonts w:hint="eastAsia" w:ascii="仿宋_GB2312" w:hAnsi="仿宋_GB2312" w:eastAsia="仿宋_GB2312" w:cs="仿宋_GB2312"/>
          <w:color w:val="auto"/>
          <w:sz w:val="28"/>
          <w:szCs w:val="28"/>
          <w:lang w:val="en-US" w:eastAsia="zh-CN"/>
        </w:rPr>
        <w:t>105</w:t>
      </w:r>
      <w:r>
        <w:rPr>
          <w:rFonts w:hint="eastAsia" w:ascii="仿宋_GB2312" w:hAnsi="仿宋_GB2312" w:eastAsia="仿宋_GB2312" w:cs="仿宋_GB2312"/>
          <w:color w:val="auto"/>
          <w:sz w:val="28"/>
          <w:szCs w:val="28"/>
        </w:rPr>
        <w:t>万元，剩余</w:t>
      </w:r>
      <w:r>
        <w:rPr>
          <w:rFonts w:hint="eastAsia" w:ascii="仿宋_GB2312" w:hAnsi="仿宋_GB2312" w:eastAsia="仿宋_GB2312" w:cs="仿宋_GB2312"/>
          <w:color w:val="auto"/>
          <w:sz w:val="28"/>
          <w:szCs w:val="28"/>
          <w:lang w:val="en-US" w:eastAsia="zh-CN"/>
        </w:rPr>
        <w:t>244</w:t>
      </w:r>
      <w:r>
        <w:rPr>
          <w:rFonts w:hint="eastAsia" w:ascii="仿宋_GB2312" w:hAnsi="仿宋_GB2312" w:eastAsia="仿宋_GB2312" w:cs="仿宋_GB2312"/>
          <w:color w:val="auto"/>
          <w:sz w:val="28"/>
          <w:szCs w:val="28"/>
        </w:rPr>
        <w:t>万元国有资本经营预算收入，</w:t>
      </w:r>
      <w:r>
        <w:rPr>
          <w:rFonts w:hint="eastAsia" w:ascii="仿宋_GB2312" w:hAnsi="仿宋_GB2312" w:eastAsia="仿宋_GB2312" w:cs="仿宋_GB2312"/>
          <w:color w:val="auto"/>
          <w:sz w:val="28"/>
          <w:szCs w:val="28"/>
          <w:lang w:val="en-US" w:eastAsia="zh-CN"/>
        </w:rPr>
        <w:t>其中解决历史遗留问题及改革成本支出其他解决历史遗留问题及改革成本支出科目112万元，为奇台县破产改制企业退休职工2022年医保金支出；</w:t>
      </w:r>
      <w:r>
        <w:rPr>
          <w:rFonts w:hint="eastAsia" w:ascii="仿宋_GB2312" w:hAnsi="仿宋_GB2312" w:eastAsia="仿宋_GB2312" w:cs="仿宋_GB2312"/>
          <w:color w:val="auto"/>
          <w:sz w:val="28"/>
          <w:szCs w:val="28"/>
        </w:rPr>
        <w:t>列入国有企业资本金注入国企企业国有经济结构调整支出科目</w:t>
      </w:r>
      <w:r>
        <w:rPr>
          <w:rFonts w:hint="eastAsia" w:ascii="仿宋_GB2312" w:hAnsi="仿宋_GB2312" w:eastAsia="仿宋_GB2312" w:cs="仿宋_GB2312"/>
          <w:color w:val="auto"/>
          <w:sz w:val="28"/>
          <w:szCs w:val="28"/>
          <w:lang w:val="en-US" w:eastAsia="zh-CN"/>
        </w:rPr>
        <w:t>132万元</w:t>
      </w:r>
      <w:r>
        <w:rPr>
          <w:rFonts w:hint="eastAsia" w:ascii="仿宋_GB2312" w:hAnsi="仿宋_GB2312" w:eastAsia="仿宋_GB2312" w:cs="仿宋_GB2312"/>
          <w:color w:val="auto"/>
          <w:sz w:val="28"/>
          <w:szCs w:val="28"/>
        </w:rPr>
        <w:t>，项目</w:t>
      </w:r>
      <w:r>
        <w:rPr>
          <w:rFonts w:hint="eastAsia" w:ascii="仿宋_GB2312" w:hAnsi="仿宋_GB2312" w:eastAsia="仿宋_GB2312" w:cs="仿宋_GB2312"/>
          <w:color w:val="auto"/>
          <w:sz w:val="28"/>
          <w:szCs w:val="28"/>
          <w:lang w:val="en-US" w:eastAsia="zh-CN"/>
        </w:rPr>
        <w:t>为新疆金奇鼎盛矿业有限责任公司股权收购</w:t>
      </w:r>
      <w:r>
        <w:rPr>
          <w:rFonts w:hint="eastAsia" w:ascii="仿宋_GB2312" w:hAnsi="仿宋_GB2312" w:eastAsia="仿宋_GB2312" w:cs="仿宋_GB2312"/>
          <w:color w:val="auto"/>
          <w:sz w:val="28"/>
          <w:szCs w:val="28"/>
        </w:rPr>
        <w:t>。</w:t>
      </w:r>
    </w:p>
    <w:p>
      <w:pPr>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 xml:space="preserve">        </w:t>
      </w:r>
    </w:p>
    <w:p>
      <w:pPr>
        <w:pageBreakBefore w:val="0"/>
        <w:kinsoku/>
        <w:wordWrap/>
        <w:overflowPunct/>
        <w:topLinePunct w:val="0"/>
        <w:autoSpaceDE/>
        <w:autoSpaceDN/>
        <w:bidi w:val="0"/>
        <w:adjustRightInd/>
        <w:snapToGrid/>
        <w:spacing w:line="560" w:lineRule="exact"/>
        <w:ind w:firstLine="980" w:firstLineChars="35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p>
    <w:p>
      <w:pPr>
        <w:pageBreakBefore w:val="0"/>
        <w:kinsoku/>
        <w:wordWrap/>
        <w:overflowPunct/>
        <w:topLinePunct w:val="0"/>
        <w:autoSpaceDE/>
        <w:autoSpaceDN/>
        <w:bidi w:val="0"/>
        <w:adjustRightInd/>
        <w:snapToGrid/>
        <w:spacing w:line="560" w:lineRule="exact"/>
        <w:ind w:firstLine="4340" w:firstLineChars="155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奇台县财政局（国资局）</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760" w:firstLineChars="17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lang w:val="en-US" w:eastAsia="zh-CN"/>
        </w:rPr>
        <w:t>21</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10</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29</w:t>
      </w:r>
      <w:r>
        <w:rPr>
          <w:rFonts w:hint="eastAsia" w:ascii="仿宋_GB2312" w:hAnsi="仿宋_GB2312" w:eastAsia="仿宋_GB2312" w:cs="仿宋_GB2312"/>
          <w:sz w:val="28"/>
          <w:szCs w:val="28"/>
        </w:rPr>
        <w:t>日</w:t>
      </w:r>
    </w:p>
    <w:p>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小标宋">
    <w:altName w:val="宋体"/>
    <w:panose1 w:val="03000509000000000000"/>
    <w:charset w:val="86"/>
    <w:family w:val="script"/>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DC4F09"/>
    <w:rsid w:val="014007B6"/>
    <w:rsid w:val="044F69FF"/>
    <w:rsid w:val="055812FF"/>
    <w:rsid w:val="06961728"/>
    <w:rsid w:val="0B190143"/>
    <w:rsid w:val="123D126C"/>
    <w:rsid w:val="14FA2358"/>
    <w:rsid w:val="158B12DD"/>
    <w:rsid w:val="16A74090"/>
    <w:rsid w:val="16AC6BA1"/>
    <w:rsid w:val="16C83EAC"/>
    <w:rsid w:val="18561A7D"/>
    <w:rsid w:val="20B6438F"/>
    <w:rsid w:val="20DB5443"/>
    <w:rsid w:val="24751A24"/>
    <w:rsid w:val="25254631"/>
    <w:rsid w:val="268F3CF2"/>
    <w:rsid w:val="26DF5DD8"/>
    <w:rsid w:val="276A08D4"/>
    <w:rsid w:val="27FF0147"/>
    <w:rsid w:val="2DF44211"/>
    <w:rsid w:val="2E325F3D"/>
    <w:rsid w:val="2E474460"/>
    <w:rsid w:val="2FB32446"/>
    <w:rsid w:val="33662CCF"/>
    <w:rsid w:val="33AB3FE2"/>
    <w:rsid w:val="34F35A3F"/>
    <w:rsid w:val="39CB06C7"/>
    <w:rsid w:val="3B6E5012"/>
    <w:rsid w:val="3EE76D35"/>
    <w:rsid w:val="41EC55AC"/>
    <w:rsid w:val="420D32BB"/>
    <w:rsid w:val="452D166A"/>
    <w:rsid w:val="45502EBC"/>
    <w:rsid w:val="457E6B66"/>
    <w:rsid w:val="481F64FF"/>
    <w:rsid w:val="4A6D1C7F"/>
    <w:rsid w:val="4BC35E6A"/>
    <w:rsid w:val="50DC4F09"/>
    <w:rsid w:val="545B0653"/>
    <w:rsid w:val="5CB95D6A"/>
    <w:rsid w:val="6219163C"/>
    <w:rsid w:val="626620FD"/>
    <w:rsid w:val="63522FE0"/>
    <w:rsid w:val="641B3FC7"/>
    <w:rsid w:val="66410330"/>
    <w:rsid w:val="67B57161"/>
    <w:rsid w:val="67E87ED7"/>
    <w:rsid w:val="689959A0"/>
    <w:rsid w:val="68F347DE"/>
    <w:rsid w:val="6E5C149C"/>
    <w:rsid w:val="704F4C69"/>
    <w:rsid w:val="779C4598"/>
    <w:rsid w:val="77CF5731"/>
    <w:rsid w:val="77FC66B2"/>
    <w:rsid w:val="7BD46879"/>
    <w:rsid w:val="7C9C4497"/>
    <w:rsid w:val="7CA9664A"/>
    <w:rsid w:val="7DDA6AC6"/>
    <w:rsid w:val="7EB94085"/>
    <w:rsid w:val="7F1C323E"/>
    <w:rsid w:val="7FA82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2"/>
      <w:sz w:val="21"/>
      <w:szCs w:val="21"/>
      <w:lang w:val="en-US" w:eastAsia="zh-CN" w:bidi="ar-SA"/>
    </w:rPr>
  </w:style>
  <w:style w:type="paragraph" w:styleId="2">
    <w:name w:val="heading 2"/>
    <w:basedOn w:val="1"/>
    <w:next w:val="1"/>
    <w:qFormat/>
    <w:uiPriority w:val="0"/>
    <w:pPr>
      <w:keepNext/>
      <w:keepLines/>
      <w:spacing w:beforeAutospacing="0" w:afterAutospacing="0" w:line="560" w:lineRule="exact"/>
      <w:ind w:firstLine="640" w:firstLineChars="200"/>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line="0" w:lineRule="atLeast"/>
    </w:pPr>
    <w:rPr>
      <w:rFonts w:eastAsia="小标宋"/>
      <w:sz w:val="44"/>
    </w:r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210" w:afterAutospacing="0"/>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2020-11-04T10:06:00Z</dcterms:created>
  <dc:creator>Administrator</dc:creator>
  <cp:lastModifiedBy>Administrator</cp:lastModifiedBy>
  <cp:lastPrinted>2021-10-28T03:28:00Z</cp:lastPrinted>
  <dcterms:modified xsi:type="dcterms:W3CDTF">2023-09-18T03:42:59Z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629DB196717840E8B892A0C2B949D9CA</vt:lpwstr>
  </property>
</Properties>
</file>