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A01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奇台县2025年上半年经济运行分析</w:t>
      </w:r>
    </w:p>
    <w:p w14:paraId="09807B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EA080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今年以来，全县上下坚持干字当头、争先进位的工作导向，贯彻新发展理念，锚定“强县域经济”目标，立足自身资源禀赋和产业基础，围绕“4+4”发展战略创新突破，下好县域经济“整盘棋”。上半年，农业生产平稳，社会消费品零售总额、固定资产投资等多项经济指标高速增长、持续突破，规上工业降幅逐月收窄，地区生产总值由负转正，经济回升向好的基础更加巩固。</w:t>
      </w:r>
    </w:p>
    <w:p w14:paraId="36327A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经济运行总体情况</w:t>
      </w:r>
    </w:p>
    <w:p w14:paraId="1EE47F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上半年，经昌吉州统计局统一核算反馈，县属地区生产总值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76.0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亿元，按可比价计算，增长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%，较一季度提高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个百分点，低于全州（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6.0%）5.7个百分点，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其中，一产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9.60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亿元，增长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2.8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%，上拉地区生产总值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个百分点；二产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24.37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亿元，下降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8.0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%，下拉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2.3个百分点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。其中，工业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16.85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亿元，下降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14.0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%，建筑业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7.59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亿元，增长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2.6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%；三产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42.04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亿元，增长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3.7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%，上拉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2.1个百分点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。三次产业结构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12.6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32.1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55.3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121E4C2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（一）农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业生产总体平稳，畜牧业回升向好</w:t>
      </w:r>
    </w:p>
    <w:p w14:paraId="61D223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总播面积152.94万亩，粮食作物118.42万亩，增长2.0%，夏粮面积66.00万亩，增长3.7%。预计夏粮产量33.07万吨，增长12.5%（未反馈）。反馈农林牧渔业总产值19.02亿元，增长4.9%，位居全州第5，低于全州（4.9%）0.5个百分点。 </w:t>
      </w:r>
    </w:p>
    <w:p w14:paraId="1B5B24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牛出栏2.16万头，增长26.3%；猪出栏4.08万头，下降4.1%；活家禽出栏14.01万只，下降9.1%，低于全州（2.2%）11.3个百分点；禽蛋产量增长46.0%，低于全州（73.6%）27.6个百分点。一产增加值9.60亿元，增长2.8%，低于全州（3.6%）0.8个百分点。</w:t>
      </w:r>
    </w:p>
    <w:p w14:paraId="29FE5A5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规上工业降幅逐月收窄</w:t>
      </w:r>
    </w:p>
    <w:p w14:paraId="6EDB4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上半年，37家规上企业工业增加值同比下降18.0%，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降幅分别较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1-2月、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一季度、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1-4月、1-5月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收窄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16.5、11.9、7.2、2.1个百分点，低于全州（10.5%）28.5个百分点。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37家规上企业中17家企业实现正增长，20家下降。从三大门类看，采矿业增加值下降40.0%;制造业下降20.4%;电力、热力、燃气及水的生产和供应业下降8.8%。</w:t>
      </w:r>
    </w:p>
    <w:p w14:paraId="1916F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11个行业大类增加值“4增7降”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，4增行业继续保持两位数增长，7降行业全面收窄。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增长的4个行业中：食品制造业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在新粮华麦新增挂面产线的带动下，净增长；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农副食品加工业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在丰驿农业、新粮华麦电商订单增加的带动下，增长24.9%；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金属制造业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在骏晟能源风机塔筒的集中生产带动下，增长55.5%；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塑料制品业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祥平塑业设备升级与市场拓展“双轮驱动”下，增长36.6%。</w:t>
      </w:r>
    </w:p>
    <w:p w14:paraId="35F14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下降的7个行业中：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木材加工业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受多晶硅减产木屑需求减少，下降40.6%；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燃气生产和供应业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受煤炭铁路运量提升，甲醇、电动卡车增加影响，下降40.0%；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煤炭开采和洗选业受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北塔山煤矿矿区开采面受限，通州能源、狂飙能源、三个庄煤业煤炭市场供给过剩、需求疲软影响，下降40.4%；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非金属矿物制品业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受中州综合能源停产，新港新材料减产影响，下降26.5%；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水的生产和供应业受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奇兴水务停止芨芨湖供水影响，下降28.2%；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化学原料和化学制品制造业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受BDO、PTMEG量价“双降”影响，下降25.7%；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电力、热力生产和供应业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受火力、风力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发电量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影响，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下降5.7%。</w:t>
      </w:r>
    </w:p>
    <w:p w14:paraId="29D23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pict>
          <v:shape id="_x0000_s1032" o:spid="_x0000_s1032" o:spt="75" type="#_x0000_t75" style="position:absolute;left:0pt;margin-left:10.5pt;margin-top:31.15pt;height:234.55pt;width:390.1pt;mso-wrap-distance-bottom:0pt;mso-wrap-distance-top:0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5" cropbottom="5968f" o:title=""/>
            <o:lock v:ext="edit" aspectratio="t"/>
            <w10:wrap type="topAndBottom"/>
          </v:shape>
          <o:OLEObject Type="Link" ProgID="Excel.Sheet.8" ShapeID="_x0000_s1032" UpdateMode="Always" DrawAspect="Content" ObjectID="_1468075725" r:id="rId6">
            <o:LinkType>EnhancedMetaFile</o:LinkType>
            <o:LockedField>false</o:LockedField>
          </o:OLEObject>
        </w:pict>
      </w:r>
      <w:r>
        <w:rPr>
          <w:rFonts w:hint="eastAsia" w:ascii="Times New Roman" w:hAnsi="Times New Roman" w:eastAsia="方正小标宋简体" w:cs="仿宋_GB2312"/>
          <w:b w:val="0"/>
          <w:bCs w:val="0"/>
          <w:sz w:val="28"/>
          <w:szCs w:val="32"/>
          <w:highlight w:val="none"/>
          <w:lang w:val="en-US" w:eastAsia="zh-CN"/>
        </w:rPr>
        <w:t>图1  奇台县与全州规上工业增加值增长对比情况</w:t>
      </w:r>
    </w:p>
    <w:p w14:paraId="27845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（三）资质以上建筑业高速增长</w:t>
      </w:r>
    </w:p>
    <w:p w14:paraId="5C4DD6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27家资质以上建筑业企业签订合同额8.07亿元，其中，本年新签订合同额2.56亿元。完成建筑业总产值4.26亿元，总量位居县市园区第2位，仅次于昌吉市，增长29.6%，高于全州（22.3%）7.3个百分点，位居县市园区第4位。主要是金奇国投市政类工程量增加，产值过亿元实现净增长；银都建设承接将二矿煤矿土方剥离工程，工程量稳定；方正建筑较同期新增3个工程，产值增长1.7倍。建筑业增加值增长2.6%，拉动二产增长0.9个百分点，上拉地区生产总值增速0.3个百分点。</w:t>
      </w:r>
    </w:p>
    <w:p w14:paraId="2F138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（四）固定资产投资提速进位</w:t>
      </w:r>
    </w:p>
    <w:p w14:paraId="2D4D57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月份，西地蛋鸡饲料项目入统，国投氢储一体化、大基地、东三县供水及清洁取暖等项目持续发力，上半年，112个固定资产投资项目（含房地产投资）增长171.2%，高于全州（34.7%）136.5个百分点，位居县市园区第1位。其中，项目投资增长191.7%，房地产投资下降47.9%。</w:t>
      </w:r>
    </w:p>
    <w:p w14:paraId="272FA8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从构成看，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建筑安装工程增长2.7倍；设备工器具购置增长95.0%；其他费用增长2.7倍。</w:t>
      </w:r>
    </w:p>
    <w:p w14:paraId="39515B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对投资拉动作用较大的行业有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：在国投氢储一体化、古尔班通大基地、新特硅基示范园等8个项目现场进度加快、设备集中到货带动下，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电力、热力的生产和供应业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增长267.0%，拉动投资增长154.6个百分点。在东三县引水、小区道路、管网建设等配套基础设施项目带动下，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水利环境和公共设施管理业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增长396.3%，拉动投资19.3个百分点。在S240、新路贷及城乡道路改造等项目带动下，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交通运输、仓储和邮政业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增长183.9%，拉动投资6.7个百分点。</w:t>
      </w:r>
    </w:p>
    <w:p w14:paraId="38DB6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对投资明显下拉的行业有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：受蓝山屯河BDO、PTMEG项目竣工影响，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化学原料及化学制品制造业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下降98.3%，下拉投资9.5个百分点。受停建项目未复工，在建项目工期拉长影响，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房地产业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投资下降47.9%，下拉投资4.1个百分点。一中新校区建设完工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教育业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下降51.6%，下拉投资1.0个百分点。</w:t>
      </w:r>
    </w:p>
    <w:p w14:paraId="28BF6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（五）商品房销售高速增长</w:t>
      </w:r>
    </w:p>
    <w:p w14:paraId="47EF0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商品房销售面积3.79万平方米，增长82.4%，其中住宅销售面积3.52万平方米，增长69.5%，占商品房的92.9%。商品房销售额1.49亿元，增长82.7%，其中住宅销售额1.40亿元，增长71.7%。从面积看，90-144平方米改善性住房需求不减少，增长91.9%。优质改善陆续项目入市，新房价格小幅上涨，住宅销售均价3985元/平方米，上涨53元/平方米。 </w:t>
      </w:r>
    </w:p>
    <w:p w14:paraId="7BD64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（六）消费市场规模持续扩大，零售总额持续增长</w:t>
      </w:r>
    </w:p>
    <w:p w14:paraId="26F0AAC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安家奇台”促消费政策率先实施，消费品以旧换新政策扩围升级，县域消费需求充分释放。社会消费品零售总额9.35亿元，增长13.2%，限上消费品零售额3.26亿元，增长27.2%，高于全州（13.0%）14.2个百分点，位居县市园区第1位。</w:t>
      </w:r>
    </w:p>
    <w:p w14:paraId="085893C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从增长类商品看，一是石油及其制品强势拉动，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零售额增长98.0%，占限上54.7%，上拉限上零售额47.4个百分点。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二是消费品“以旧换新”政策带动智能家用电器类消费持续提升，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零售额增长63.1%，拉动限上零售额增长1.8个百分点。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三是新能源汽车零售额延续高增，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零售额增长152.0%，占限上零售额比重较同期提高0.5个百分点。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四是基本生活类商品增势良好，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粮油、食品、烟酒、日用品3类商品占限上零售额15.2%，分别增长608.4%、68.3%、净增长。 </w:t>
      </w:r>
    </w:p>
    <w:p w14:paraId="32BAD85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从下降类商品看，一是金银珠宝类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受金价高位震荡呈下降态势，零售额下降11.1%，占限上1.7%，下拉限上零售额0.4个百分点。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二是其他类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受政策倾斜与市场替代效应影响，天然气销量下降3.0%。</w:t>
      </w:r>
    </w:p>
    <w:p w14:paraId="2EF525E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top"/>
        <w:rPr>
          <w:rFonts w:hint="eastAsia" w:ascii="Times New Roman" w:hAnsi="Times New Roman" w:eastAsia="方正小标宋简体" w:cs="仿宋_GB2312"/>
          <w:b w:val="0"/>
          <w:bCs w:val="0"/>
          <w:color w:val="auto"/>
          <w:kern w:val="2"/>
          <w:sz w:val="28"/>
          <w:szCs w:val="32"/>
          <w:highlight w:val="none"/>
          <w:lang w:val="en-US" w:eastAsia="zh-CN" w:bidi="ar-SA"/>
        </w:rPr>
      </w:pPr>
    </w:p>
    <w:p w14:paraId="332F4A9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top"/>
        <w:rPr>
          <w:rFonts w:hint="eastAsia" w:ascii="Times New Roman" w:hAnsi="Times New Roman" w:eastAsia="方正小标宋简体" w:cs="仿宋_GB2312"/>
          <w:b w:val="0"/>
          <w:bCs w:val="0"/>
          <w:color w:val="auto"/>
          <w:kern w:val="2"/>
          <w:sz w:val="28"/>
          <w:szCs w:val="32"/>
          <w:highlight w:val="none"/>
          <w:lang w:val="en-US" w:eastAsia="zh-CN" w:bidi="ar-SA"/>
        </w:rPr>
      </w:pPr>
    </w:p>
    <w:p w14:paraId="7F7255A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top"/>
        <w:rPr>
          <w:rFonts w:hint="eastAsia" w:ascii="Times New Roman" w:hAnsi="Times New Roman" w:eastAsia="方正小标宋简体" w:cs="仿宋_GB2312"/>
          <w:b w:val="0"/>
          <w:bCs w:val="0"/>
          <w:color w:val="auto"/>
          <w:kern w:val="2"/>
          <w:sz w:val="28"/>
          <w:szCs w:val="32"/>
          <w:highlight w:val="none"/>
          <w:lang w:val="en-US" w:eastAsia="zh-CN" w:bidi="ar-SA"/>
        </w:rPr>
      </w:pPr>
    </w:p>
    <w:p w14:paraId="0E4983C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top"/>
        <w:rPr>
          <w:rFonts w:hint="eastAsia" w:ascii="Times New Roman" w:hAnsi="Times New Roman" w:eastAsia="方正小标宋简体" w:cs="仿宋_GB2312"/>
          <w:b w:val="0"/>
          <w:bCs w:val="0"/>
          <w:color w:val="auto"/>
          <w:kern w:val="2"/>
          <w:sz w:val="28"/>
          <w:szCs w:val="32"/>
          <w:highlight w:val="none"/>
          <w:lang w:val="en-US" w:eastAsia="zh-CN" w:bidi="ar-SA"/>
        </w:rPr>
      </w:pPr>
    </w:p>
    <w:p w14:paraId="2A67111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top"/>
        <w:rPr>
          <w:rFonts w:hint="eastAsia" w:ascii="Times New Roman" w:hAnsi="Times New Roman" w:eastAsia="方正小标宋简体" w:cs="仿宋_GB2312"/>
          <w:b w:val="0"/>
          <w:bCs w:val="0"/>
          <w:color w:val="auto"/>
          <w:kern w:val="2"/>
          <w:sz w:val="28"/>
          <w:szCs w:val="32"/>
          <w:highlight w:val="none"/>
          <w:lang w:val="en-US" w:eastAsia="zh-CN" w:bidi="ar-SA"/>
        </w:rPr>
      </w:pPr>
    </w:p>
    <w:p w14:paraId="1681883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top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仿宋_GB2312"/>
          <w:b w:val="0"/>
          <w:bCs w:val="0"/>
          <w:color w:val="auto"/>
          <w:kern w:val="2"/>
          <w:sz w:val="28"/>
          <w:szCs w:val="32"/>
          <w:highlight w:val="none"/>
          <w:lang w:val="en-US" w:eastAsia="zh-CN" w:bidi="ar-SA"/>
        </w:rPr>
        <w:t>图2  奇台县与全州限额以上社会消费品零售总额增长对比情况</w:t>
      </w:r>
    </w:p>
    <w:p w14:paraId="00E2FDF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top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pict>
          <v:shape id="_x0000_s1033" o:spid="_x0000_s1033" o:spt="75" type="#_x0000_t75" style="position:absolute;left:0pt;margin-left:33pt;margin-top:18.15pt;height:218.25pt;width:383.2pt;mso-wrap-distance-bottom:0pt;mso-wrap-distance-top:0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7" cropbottom="6856f" o:title=""/>
            <o:lock v:ext="edit" aspectratio="t"/>
            <w10:wrap type="topAndBottom"/>
          </v:shape>
          <o:OLEObject Type="Link" ProgID="Excel.Sheet.8" ShapeID="_x0000_s1033" UpdateMode="Always" DrawAspect="Content" ObjectID="_1468075726" r:id="rId8">
            <o:LinkType>EnhancedMetaFile</o:LinkType>
            <o:LockedField>false</o:LockedField>
          </o:OLEObject>
        </w:pic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 xml:space="preserve">（七）规上服务业稳定发展，营利性服务业提速增长 </w:t>
      </w:r>
    </w:p>
    <w:p w14:paraId="1E8B840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1-5月（错月），21家重点服务业企业营业收入3.92亿元，下降34.4%，其中，交通运输、仓储和邮政业营业收入1.94亿元，下降58.1%，租赁和商务服务业营业收入1.93亿元，增长49.9%。交通运输、仓储和邮政业增加值5.25亿元，下降1.8%，营利性服务业增加值3.46亿元，增长5.4%。</w:t>
      </w:r>
    </w:p>
    <w:p w14:paraId="471B22B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（八）非营利性服务业工资总额呈两位数增长</w:t>
      </w:r>
    </w:p>
    <w:p w14:paraId="042C082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上半年，县级财政全力保障各级单位从业人员工资应发尽发，协调推动两大医院绩效奖金全额发放。125家非营利性服务业单位，从业人员工资总额增长10.3%。其中，水利、环境和公共设施管理业工资总额增长10.6%，教育增长6.5%，卫生和社会工作增长17.2%，公共管理、社会保障和社会组织增长10.6%，非营利性服务业增加值20.62亿元，占地区生产总值27.1%，增长3.8%</w:t>
      </w:r>
    </w:p>
    <w:p w14:paraId="79E84B11"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top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</w:p>
    <w:p w14:paraId="537F611B"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（九）高质量发展要素不断强化</w:t>
      </w:r>
    </w:p>
    <w:p w14:paraId="2A03018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地方财政增收有力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。地方财政收入10.47亿元，增长20.7%，其中，一般公共预算收入9.11亿元，增长11.5%，基金收入1.36亿元，增长170.6%。税收收入2.94亿元，增长32.5%，非税收收入6.17亿元，增长3.7%。</w:t>
      </w:r>
    </w:p>
    <w:p w14:paraId="48CC2A6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县级财政支付力度加快，促民生、扩内需、促消费。一般公共预算支出20.48亿元，增长5.3%，民生类支出达16.85亿元，占一般公共预算支出82.3%，其中，农林水事务支出增长4.2%；城乡社区事务支出增长78.4%；教育支出增长6.1%；社会保障和就业支出增长33.1%；卫生健康支出增长35.9%；节能环保支出增长85.9%；文化体育与传媒支出增长5.2%。</w:t>
      </w:r>
    </w:p>
    <w:p w14:paraId="66B288E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top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市场规模持续扩大。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截至6月底，现存企业3568户，增长8.8%，农民专业合作社490户，增长0.2%，个体16643户，增长10.3%。新登记企业291户，增长11.5%。新登记个体户1725户，增长52.1%。</w:t>
      </w:r>
    </w:p>
    <w:p w14:paraId="044DFFA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贷款增速有所提高。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金融机构各项存款余额229.01亿元，增长12.5%，各项贷款余额251.77亿元，增长19.5%，较1-5月提高5.9个百分点。</w:t>
      </w:r>
    </w:p>
    <w:p w14:paraId="5401E75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旅游市场持续升温。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上半年，累计接待国内外游客475.81万人次，增长10.3%，实现旅游消费32.94亿元，增长16.6%。其中江布拉克景区接待游客28.48万人次，增长9.8%，实现营业收入2042.47万元，增长9.0%。</w:t>
      </w:r>
    </w:p>
    <w:p w14:paraId="3D389D3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旅客吞吐量加速增长。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江布拉克机场航班起降1923架次，货运量13793公斤，旅客吞吐量11.65万人次，其中，进港6.24万人次、出港5.56万人次，疆内航线旅客5.95万人次，疆外航线旅客5.70万人次。</w:t>
      </w:r>
    </w:p>
    <w:p w14:paraId="5DB6B2D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三产用电量稳步增长。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全社会用电量14.66亿千瓦时，下降4.0%。第一产业用电0.28亿千瓦时，增长107.5%；第二产业受高耗能行业用电减少影响，用电10.92亿千瓦时，下降10.0%；第三产业用电2.45亿千瓦时，增长19.4%；城乡居民生活用电1.02亿千瓦时，增长6.1%。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B937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970A15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970A15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FC042"/>
    <w:multiLevelType w:val="singleLevel"/>
    <w:tmpl w:val="87CFC042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CA53503B"/>
    <w:multiLevelType w:val="singleLevel"/>
    <w:tmpl w:val="CA53503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F7A39"/>
    <w:rsid w:val="00222B45"/>
    <w:rsid w:val="00A0648A"/>
    <w:rsid w:val="00C05557"/>
    <w:rsid w:val="0105472C"/>
    <w:rsid w:val="014C2442"/>
    <w:rsid w:val="01630975"/>
    <w:rsid w:val="016C1863"/>
    <w:rsid w:val="01885FDD"/>
    <w:rsid w:val="019C3329"/>
    <w:rsid w:val="01B51D18"/>
    <w:rsid w:val="01B86C7F"/>
    <w:rsid w:val="01F440B7"/>
    <w:rsid w:val="02027BF4"/>
    <w:rsid w:val="02AF5F07"/>
    <w:rsid w:val="02B57E67"/>
    <w:rsid w:val="032F34AF"/>
    <w:rsid w:val="03CA19A8"/>
    <w:rsid w:val="03FE20AF"/>
    <w:rsid w:val="04021A22"/>
    <w:rsid w:val="0418144F"/>
    <w:rsid w:val="04AF486A"/>
    <w:rsid w:val="04B944C7"/>
    <w:rsid w:val="05371B2A"/>
    <w:rsid w:val="0537511C"/>
    <w:rsid w:val="05BC0BF8"/>
    <w:rsid w:val="05BE6E9B"/>
    <w:rsid w:val="066034DA"/>
    <w:rsid w:val="066E1F8C"/>
    <w:rsid w:val="06A27BF1"/>
    <w:rsid w:val="06E236C9"/>
    <w:rsid w:val="07716FC5"/>
    <w:rsid w:val="079B7937"/>
    <w:rsid w:val="08C109C0"/>
    <w:rsid w:val="08D30DA5"/>
    <w:rsid w:val="09555973"/>
    <w:rsid w:val="099A78CF"/>
    <w:rsid w:val="09A20C80"/>
    <w:rsid w:val="0AD054CA"/>
    <w:rsid w:val="0B044923"/>
    <w:rsid w:val="0B3166EB"/>
    <w:rsid w:val="0B752658"/>
    <w:rsid w:val="0BF83E31"/>
    <w:rsid w:val="0C1868D1"/>
    <w:rsid w:val="0CA376FE"/>
    <w:rsid w:val="0CE507DA"/>
    <w:rsid w:val="0D5605EF"/>
    <w:rsid w:val="0D8C1DAA"/>
    <w:rsid w:val="0E1E25B6"/>
    <w:rsid w:val="0E3F7627"/>
    <w:rsid w:val="0E8C5FF9"/>
    <w:rsid w:val="0ED501AD"/>
    <w:rsid w:val="0F78156E"/>
    <w:rsid w:val="102342D5"/>
    <w:rsid w:val="103B0824"/>
    <w:rsid w:val="10441FC9"/>
    <w:rsid w:val="10895559"/>
    <w:rsid w:val="108E3427"/>
    <w:rsid w:val="11C17160"/>
    <w:rsid w:val="129964E4"/>
    <w:rsid w:val="129A3A0C"/>
    <w:rsid w:val="142118CB"/>
    <w:rsid w:val="14582DB8"/>
    <w:rsid w:val="15CE7BFA"/>
    <w:rsid w:val="16FD0446"/>
    <w:rsid w:val="17371532"/>
    <w:rsid w:val="18845835"/>
    <w:rsid w:val="191B1996"/>
    <w:rsid w:val="19F2719F"/>
    <w:rsid w:val="19F426A2"/>
    <w:rsid w:val="19F83BEC"/>
    <w:rsid w:val="19FD2812"/>
    <w:rsid w:val="1A717C3A"/>
    <w:rsid w:val="1B2F6F4E"/>
    <w:rsid w:val="1B6A0F8A"/>
    <w:rsid w:val="1BC86DFF"/>
    <w:rsid w:val="1BD81A35"/>
    <w:rsid w:val="1D4A2F5B"/>
    <w:rsid w:val="1D6357BE"/>
    <w:rsid w:val="1D835ABE"/>
    <w:rsid w:val="1D906CE1"/>
    <w:rsid w:val="1E333F6A"/>
    <w:rsid w:val="1E924213"/>
    <w:rsid w:val="1EC17A9D"/>
    <w:rsid w:val="1F555068"/>
    <w:rsid w:val="201F0788"/>
    <w:rsid w:val="20633032"/>
    <w:rsid w:val="20AB4A54"/>
    <w:rsid w:val="212C6012"/>
    <w:rsid w:val="2187050F"/>
    <w:rsid w:val="218C2EE9"/>
    <w:rsid w:val="218D67AF"/>
    <w:rsid w:val="225563C4"/>
    <w:rsid w:val="22EC5858"/>
    <w:rsid w:val="23593C8E"/>
    <w:rsid w:val="24D41DA5"/>
    <w:rsid w:val="25223279"/>
    <w:rsid w:val="25BE4B99"/>
    <w:rsid w:val="25D826DD"/>
    <w:rsid w:val="261D6994"/>
    <w:rsid w:val="26285DB1"/>
    <w:rsid w:val="26945036"/>
    <w:rsid w:val="2808546B"/>
    <w:rsid w:val="280B61C0"/>
    <w:rsid w:val="282B48ED"/>
    <w:rsid w:val="28521D7E"/>
    <w:rsid w:val="286F5677"/>
    <w:rsid w:val="29B15C84"/>
    <w:rsid w:val="2A1921BC"/>
    <w:rsid w:val="2AA57505"/>
    <w:rsid w:val="2B2576D7"/>
    <w:rsid w:val="2B5D713D"/>
    <w:rsid w:val="2BA3549B"/>
    <w:rsid w:val="2C292EE8"/>
    <w:rsid w:val="2D063E06"/>
    <w:rsid w:val="2D165068"/>
    <w:rsid w:val="2D4A4E5E"/>
    <w:rsid w:val="2E784C3A"/>
    <w:rsid w:val="2F660A7F"/>
    <w:rsid w:val="301C4C5C"/>
    <w:rsid w:val="302C2998"/>
    <w:rsid w:val="30A60FDC"/>
    <w:rsid w:val="31673974"/>
    <w:rsid w:val="317342A3"/>
    <w:rsid w:val="32E4768D"/>
    <w:rsid w:val="3417368F"/>
    <w:rsid w:val="34812513"/>
    <w:rsid w:val="34B67532"/>
    <w:rsid w:val="34BC4DC2"/>
    <w:rsid w:val="34D279B7"/>
    <w:rsid w:val="34E77BE5"/>
    <w:rsid w:val="352D48C0"/>
    <w:rsid w:val="356460DC"/>
    <w:rsid w:val="37090CD6"/>
    <w:rsid w:val="38A17D33"/>
    <w:rsid w:val="38A36879"/>
    <w:rsid w:val="38E54012"/>
    <w:rsid w:val="3955535C"/>
    <w:rsid w:val="39BB40E5"/>
    <w:rsid w:val="3AA51415"/>
    <w:rsid w:val="3C1F0B07"/>
    <w:rsid w:val="3CC91C33"/>
    <w:rsid w:val="3CD0070F"/>
    <w:rsid w:val="3CD249E3"/>
    <w:rsid w:val="3CEA17F6"/>
    <w:rsid w:val="3D642BCD"/>
    <w:rsid w:val="3DA47C31"/>
    <w:rsid w:val="3DB26881"/>
    <w:rsid w:val="3F7755AE"/>
    <w:rsid w:val="3FDD4DB5"/>
    <w:rsid w:val="3FF55DC1"/>
    <w:rsid w:val="403B4F3B"/>
    <w:rsid w:val="405603D8"/>
    <w:rsid w:val="41134DCB"/>
    <w:rsid w:val="41806235"/>
    <w:rsid w:val="42790B27"/>
    <w:rsid w:val="43AA61CA"/>
    <w:rsid w:val="44545407"/>
    <w:rsid w:val="44FF683E"/>
    <w:rsid w:val="4507764A"/>
    <w:rsid w:val="454B2225"/>
    <w:rsid w:val="45892025"/>
    <w:rsid w:val="45FD6187"/>
    <w:rsid w:val="46357BC6"/>
    <w:rsid w:val="46A500BF"/>
    <w:rsid w:val="4706451D"/>
    <w:rsid w:val="47B70BA3"/>
    <w:rsid w:val="49304CE2"/>
    <w:rsid w:val="4AA31BD1"/>
    <w:rsid w:val="4B1D3732"/>
    <w:rsid w:val="4B2B4837"/>
    <w:rsid w:val="4B370461"/>
    <w:rsid w:val="4C544BC7"/>
    <w:rsid w:val="4CE45131"/>
    <w:rsid w:val="4CF621D2"/>
    <w:rsid w:val="4D221D9C"/>
    <w:rsid w:val="4EA81E38"/>
    <w:rsid w:val="4EFE0DA9"/>
    <w:rsid w:val="4F334FFF"/>
    <w:rsid w:val="4F581E5B"/>
    <w:rsid w:val="4F6A5098"/>
    <w:rsid w:val="50897987"/>
    <w:rsid w:val="50B84DFB"/>
    <w:rsid w:val="50C26E7C"/>
    <w:rsid w:val="515D5589"/>
    <w:rsid w:val="51922560"/>
    <w:rsid w:val="525E6F8F"/>
    <w:rsid w:val="53004553"/>
    <w:rsid w:val="535D6C3B"/>
    <w:rsid w:val="54764971"/>
    <w:rsid w:val="54982400"/>
    <w:rsid w:val="558E0125"/>
    <w:rsid w:val="55F133C1"/>
    <w:rsid w:val="55F55CFB"/>
    <w:rsid w:val="56216D7B"/>
    <w:rsid w:val="565D343D"/>
    <w:rsid w:val="56825922"/>
    <w:rsid w:val="573026AA"/>
    <w:rsid w:val="575C71FF"/>
    <w:rsid w:val="5765708C"/>
    <w:rsid w:val="57736809"/>
    <w:rsid w:val="57D067BD"/>
    <w:rsid w:val="58684F91"/>
    <w:rsid w:val="58DE42EE"/>
    <w:rsid w:val="58E67648"/>
    <w:rsid w:val="58E86435"/>
    <w:rsid w:val="58F522C5"/>
    <w:rsid w:val="59240279"/>
    <w:rsid w:val="59C04E8F"/>
    <w:rsid w:val="59FF3B7C"/>
    <w:rsid w:val="5A7C48C2"/>
    <w:rsid w:val="5B1F7A39"/>
    <w:rsid w:val="5B203C59"/>
    <w:rsid w:val="5B596DD3"/>
    <w:rsid w:val="5B79451F"/>
    <w:rsid w:val="5BDA79C2"/>
    <w:rsid w:val="5BE31267"/>
    <w:rsid w:val="5C1D00AB"/>
    <w:rsid w:val="5C813C0A"/>
    <w:rsid w:val="5C8F4D96"/>
    <w:rsid w:val="5E0F1DD2"/>
    <w:rsid w:val="5F570541"/>
    <w:rsid w:val="5FC70EB1"/>
    <w:rsid w:val="6016128F"/>
    <w:rsid w:val="60425CA8"/>
    <w:rsid w:val="60446048"/>
    <w:rsid w:val="6098059B"/>
    <w:rsid w:val="60B65EFA"/>
    <w:rsid w:val="60C1494C"/>
    <w:rsid w:val="611F2AAF"/>
    <w:rsid w:val="61250DED"/>
    <w:rsid w:val="613C1A16"/>
    <w:rsid w:val="613E75F5"/>
    <w:rsid w:val="6173696E"/>
    <w:rsid w:val="619E54DB"/>
    <w:rsid w:val="629F1E28"/>
    <w:rsid w:val="63B401A2"/>
    <w:rsid w:val="646E2AD5"/>
    <w:rsid w:val="646E5E05"/>
    <w:rsid w:val="64941109"/>
    <w:rsid w:val="64EB3F99"/>
    <w:rsid w:val="68515557"/>
    <w:rsid w:val="686065CC"/>
    <w:rsid w:val="6886741B"/>
    <w:rsid w:val="69B1759B"/>
    <w:rsid w:val="6A3938D4"/>
    <w:rsid w:val="6B1524D1"/>
    <w:rsid w:val="6B5862AA"/>
    <w:rsid w:val="6BAA2154"/>
    <w:rsid w:val="6BC86FE2"/>
    <w:rsid w:val="6C06486F"/>
    <w:rsid w:val="6C072801"/>
    <w:rsid w:val="6C1A3DE9"/>
    <w:rsid w:val="6C340216"/>
    <w:rsid w:val="6DE40E56"/>
    <w:rsid w:val="6E200CBB"/>
    <w:rsid w:val="6F2236F7"/>
    <w:rsid w:val="6F6B34E8"/>
    <w:rsid w:val="6FF85C4A"/>
    <w:rsid w:val="6FFB2C9C"/>
    <w:rsid w:val="70A2077B"/>
    <w:rsid w:val="70E03929"/>
    <w:rsid w:val="716A6042"/>
    <w:rsid w:val="721C3EE7"/>
    <w:rsid w:val="723F3FFF"/>
    <w:rsid w:val="72BA3A58"/>
    <w:rsid w:val="73D1105F"/>
    <w:rsid w:val="74B4693F"/>
    <w:rsid w:val="74FB517C"/>
    <w:rsid w:val="75000AE1"/>
    <w:rsid w:val="759E113C"/>
    <w:rsid w:val="75D77FE2"/>
    <w:rsid w:val="766841BB"/>
    <w:rsid w:val="76E81647"/>
    <w:rsid w:val="77824491"/>
    <w:rsid w:val="779546A4"/>
    <w:rsid w:val="77A47413"/>
    <w:rsid w:val="77EC1A8E"/>
    <w:rsid w:val="78152E10"/>
    <w:rsid w:val="783223C0"/>
    <w:rsid w:val="78722C21"/>
    <w:rsid w:val="793A2BF2"/>
    <w:rsid w:val="79C627D6"/>
    <w:rsid w:val="7B3D3E06"/>
    <w:rsid w:val="7C41270E"/>
    <w:rsid w:val="7EC37FF0"/>
    <w:rsid w:val="7EF511DA"/>
    <w:rsid w:val="7F0C3174"/>
    <w:rsid w:val="7F9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首行缩进 21"/>
    <w:basedOn w:val="13"/>
    <w:qFormat/>
    <w:uiPriority w:val="0"/>
    <w:pPr>
      <w:ind w:firstLine="420" w:firstLineChars="200"/>
    </w:pPr>
  </w:style>
  <w:style w:type="paragraph" w:customStyle="1" w:styleId="13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oleObject" Target="file:///E:\&#26680;&#31639;\2025&#24180;\6&#26376;\&#19987;&#19994;&#25968;&#25454;\&#21830;&#36152;.xls!Sheet1!%5b&#21830;&#36152;.xls%5dSheet1%20&#22270;&#34920;%203" TargetMode="External"/><Relationship Id="rId7" Type="http://schemas.openxmlformats.org/officeDocument/2006/relationships/image" Target="media/image2.emf"/><Relationship Id="rId6" Type="http://schemas.openxmlformats.org/officeDocument/2006/relationships/oleObject" Target="file:///E:\&#26680;&#31639;\2025&#24180;\6&#26376;\&#19987;&#19994;&#25968;&#25454;\&#24037;&#19994;&#22686;&#36895;.xls!Sheet1!%5b&#24037;&#19994;&#22686;&#36895;.xls%5dSheet1%20&#22270;&#34920;%203" TargetMode="Externa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2025-03-10T10:26:00Z</dcterms:created>
  <dc:creator>Administrator</dc:creator>
  <cp:lastModifiedBy>Administrator</cp:lastModifiedBy>
  <cp:lastPrinted>2025-07-18T02:01:00Z</cp:lastPrinted>
  <dcterms:modified xsi:type="dcterms:W3CDTF">2025-08-04T03:22:32Z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ICV">
    <vt:lpwstr>A0DA199451794D15BB836413172ABA18_13</vt:lpwstr>
  </property>
</Properties>
</file>