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color w:val="000000" w:themeColor="text1"/>
          <w:kern w:val="0"/>
          <w:sz w:val="52"/>
          <w:szCs w:val="52"/>
          <w14:textFill>
            <w14:solidFill>
              <w14:schemeClr w14:val="tx1"/>
            </w14:solidFill>
          </w14:textFill>
        </w:rPr>
      </w:pPr>
    </w:p>
    <w:p>
      <w:pPr>
        <w:spacing w:line="540" w:lineRule="exact"/>
        <w:rPr>
          <w:rFonts w:eastAsia="华文中宋"/>
          <w:b/>
          <w:color w:val="000000" w:themeColor="text1"/>
          <w:kern w:val="0"/>
          <w:sz w:val="52"/>
          <w:szCs w:val="52"/>
          <w14:textFill>
            <w14:solidFill>
              <w14:schemeClr w14:val="tx1"/>
            </w14:solidFill>
          </w14:textFill>
        </w:rPr>
      </w:pPr>
    </w:p>
    <w:p>
      <w:pPr>
        <w:spacing w:line="540" w:lineRule="exact"/>
        <w:jc w:val="center"/>
        <w:rPr>
          <w:rFonts w:eastAsia="华文中宋"/>
          <w:b/>
          <w:color w:val="000000" w:themeColor="text1"/>
          <w:kern w:val="0"/>
          <w:sz w:val="52"/>
          <w:szCs w:val="52"/>
          <w14:textFill>
            <w14:solidFill>
              <w14:schemeClr w14:val="tx1"/>
            </w14:solidFill>
          </w14:textFill>
        </w:rPr>
      </w:pPr>
    </w:p>
    <w:p>
      <w:pPr>
        <w:spacing w:line="540" w:lineRule="exact"/>
        <w:jc w:val="center"/>
        <w:rPr>
          <w:rFonts w:eastAsia="华文中宋"/>
          <w:b/>
          <w:color w:val="000000" w:themeColor="text1"/>
          <w:kern w:val="0"/>
          <w:sz w:val="52"/>
          <w:szCs w:val="52"/>
          <w14:textFill>
            <w14:solidFill>
              <w14:schemeClr w14:val="tx1"/>
            </w14:solidFill>
          </w14:textFill>
        </w:rPr>
      </w:pPr>
    </w:p>
    <w:p>
      <w:pPr>
        <w:spacing w:line="540" w:lineRule="exact"/>
        <w:jc w:val="center"/>
        <w:rPr>
          <w:rFonts w:eastAsia="方正小标宋_GBK"/>
          <w:color w:val="000000" w:themeColor="text1"/>
          <w:kern w:val="0"/>
          <w:sz w:val="48"/>
          <w:szCs w:val="48"/>
          <w14:textFill>
            <w14:solidFill>
              <w14:schemeClr w14:val="tx1"/>
            </w14:solidFill>
          </w14:textFill>
        </w:rPr>
      </w:pPr>
      <w:r>
        <w:rPr>
          <w:rFonts w:hint="eastAsia" w:eastAsia="方正小标宋_GBK"/>
          <w:color w:val="000000" w:themeColor="text1"/>
          <w:kern w:val="0"/>
          <w:sz w:val="48"/>
          <w:szCs w:val="48"/>
          <w14:textFill>
            <w14:solidFill>
              <w14:schemeClr w14:val="tx1"/>
            </w14:solidFill>
          </w14:textFill>
        </w:rPr>
        <w:t>关于做好2024年度党报党刊发行工作严格规范报刊发行秩序的通知</w:t>
      </w:r>
      <w:r>
        <w:rPr>
          <w:rFonts w:eastAsia="方正小标宋_GBK"/>
          <w:color w:val="000000" w:themeColor="text1"/>
          <w:kern w:val="0"/>
          <w:sz w:val="48"/>
          <w:szCs w:val="48"/>
          <w14:textFill>
            <w14:solidFill>
              <w14:schemeClr w14:val="tx1"/>
            </w14:solidFill>
          </w14:textFill>
        </w:rPr>
        <w:t>资金项目支出绩效评价报告</w:t>
      </w:r>
    </w:p>
    <w:p>
      <w:pPr>
        <w:spacing w:line="540" w:lineRule="exact"/>
        <w:jc w:val="center"/>
        <w:rPr>
          <w:rFonts w:eastAsia="华文中宋"/>
          <w:b/>
          <w:color w:val="000000" w:themeColor="text1"/>
          <w:kern w:val="0"/>
          <w:sz w:val="52"/>
          <w:szCs w:val="52"/>
          <w14:textFill>
            <w14:solidFill>
              <w14:schemeClr w14:val="tx1"/>
            </w14:solidFill>
          </w14:textFill>
        </w:rPr>
      </w:pPr>
    </w:p>
    <w:p>
      <w:pPr>
        <w:spacing w:line="540" w:lineRule="exact"/>
        <w:jc w:val="center"/>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 202</w:t>
      </w:r>
      <w:r>
        <w:rPr>
          <w:rFonts w:hint="eastAsia" w:eastAsia="仿宋_GB2312"/>
          <w:color w:val="000000" w:themeColor="text1"/>
          <w:kern w:val="0"/>
          <w:sz w:val="36"/>
          <w:szCs w:val="36"/>
          <w14:textFill>
            <w14:solidFill>
              <w14:schemeClr w14:val="tx1"/>
            </w14:solidFill>
          </w14:textFill>
        </w:rPr>
        <w:t>3</w:t>
      </w:r>
      <w:r>
        <w:rPr>
          <w:rFonts w:eastAsia="仿宋_GB2312"/>
          <w:color w:val="000000" w:themeColor="text1"/>
          <w:kern w:val="0"/>
          <w:sz w:val="36"/>
          <w:szCs w:val="36"/>
          <w14:textFill>
            <w14:solidFill>
              <w14:schemeClr w14:val="tx1"/>
            </w14:solidFill>
          </w14:textFill>
        </w:rPr>
        <w:t>年度）</w:t>
      </w:r>
    </w:p>
    <w:p>
      <w:pPr>
        <w:spacing w:line="540" w:lineRule="exact"/>
        <w:jc w:val="center"/>
        <w:rPr>
          <w:rFonts w:eastAsia="仿宋_GB2312"/>
          <w:color w:val="000000" w:themeColor="text1"/>
          <w:kern w:val="0"/>
          <w:sz w:val="30"/>
          <w:szCs w:val="30"/>
          <w14:textFill>
            <w14:solidFill>
              <w14:schemeClr w14:val="tx1"/>
            </w14:solidFill>
          </w14:textFill>
        </w:rPr>
      </w:pPr>
    </w:p>
    <w:p>
      <w:pPr>
        <w:spacing w:line="540" w:lineRule="exact"/>
        <w:jc w:val="center"/>
        <w:rPr>
          <w:rFonts w:eastAsia="仿宋_GB2312"/>
          <w:color w:val="000000" w:themeColor="text1"/>
          <w:kern w:val="0"/>
          <w:sz w:val="30"/>
          <w:szCs w:val="30"/>
          <w14:textFill>
            <w14:solidFill>
              <w14:schemeClr w14:val="tx1"/>
            </w14:solidFill>
          </w14:textFill>
        </w:rPr>
      </w:pPr>
    </w:p>
    <w:p>
      <w:pPr>
        <w:spacing w:line="540" w:lineRule="exact"/>
        <w:jc w:val="center"/>
        <w:rPr>
          <w:rFonts w:eastAsia="仿宋_GB2312"/>
          <w:color w:val="000000" w:themeColor="text1"/>
          <w:kern w:val="0"/>
          <w:sz w:val="30"/>
          <w:szCs w:val="30"/>
          <w14:textFill>
            <w14:solidFill>
              <w14:schemeClr w14:val="tx1"/>
            </w14:solidFill>
          </w14:textFill>
        </w:rPr>
      </w:pPr>
    </w:p>
    <w:p>
      <w:pPr>
        <w:pStyle w:val="2"/>
        <w:rPr>
          <w:color w:val="000000" w:themeColor="text1"/>
          <w14:textFill>
            <w14:solidFill>
              <w14:schemeClr w14:val="tx1"/>
            </w14:solidFill>
          </w14:textFill>
        </w:rPr>
      </w:pPr>
    </w:p>
    <w:p>
      <w:pPr>
        <w:spacing w:line="540" w:lineRule="exact"/>
        <w:jc w:val="center"/>
        <w:rPr>
          <w:rFonts w:eastAsia="仿宋_GB2312"/>
          <w:color w:val="000000" w:themeColor="text1"/>
          <w:kern w:val="0"/>
          <w:sz w:val="30"/>
          <w:szCs w:val="30"/>
          <w14:textFill>
            <w14:solidFill>
              <w14:schemeClr w14:val="tx1"/>
            </w14:solidFill>
          </w14:textFill>
        </w:rPr>
      </w:pPr>
    </w:p>
    <w:p>
      <w:pPr>
        <w:spacing w:line="540" w:lineRule="exact"/>
        <w:rPr>
          <w:rFonts w:eastAsia="仿宋_GB2312"/>
          <w:color w:val="000000" w:themeColor="text1"/>
          <w:kern w:val="0"/>
          <w:sz w:val="30"/>
          <w:szCs w:val="30"/>
          <w14:textFill>
            <w14:solidFill>
              <w14:schemeClr w14:val="tx1"/>
            </w14:solidFill>
          </w14:textFill>
        </w:rPr>
      </w:pPr>
    </w:p>
    <w:p>
      <w:pPr>
        <w:spacing w:line="700" w:lineRule="exact"/>
        <w:ind w:firstLine="1440" w:firstLineChars="400"/>
        <w:jc w:val="left"/>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项目名称：</w:t>
      </w:r>
      <w:r>
        <w:rPr>
          <w:rFonts w:hint="eastAsia" w:eastAsia="仿宋_GB2312"/>
          <w:color w:val="000000" w:themeColor="text1"/>
          <w:kern w:val="0"/>
          <w:sz w:val="36"/>
          <w:szCs w:val="36"/>
          <w14:textFill>
            <w14:solidFill>
              <w14:schemeClr w14:val="tx1"/>
            </w14:solidFill>
          </w14:textFill>
        </w:rPr>
        <w:t>关于做好2024年度党报党刊发行工作严格规范报刊发行秩序的通知</w:t>
      </w:r>
    </w:p>
    <w:p>
      <w:pPr>
        <w:spacing w:line="700" w:lineRule="exact"/>
        <w:ind w:left="1436" w:leftChars="684"/>
        <w:jc w:val="left"/>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实施单位：</w:t>
      </w:r>
      <w:r>
        <w:rPr>
          <w:rFonts w:hint="eastAsia" w:eastAsia="仿宋_GB2312"/>
          <w:color w:val="000000" w:themeColor="text1"/>
          <w:kern w:val="0"/>
          <w:sz w:val="36"/>
          <w:szCs w:val="36"/>
          <w14:textFill>
            <w14:solidFill>
              <w14:schemeClr w14:val="tx1"/>
            </w14:solidFill>
          </w14:textFill>
        </w:rPr>
        <w:t>中共奇台县委员会宣传部</w:t>
      </w:r>
    </w:p>
    <w:p>
      <w:pPr>
        <w:spacing w:line="700" w:lineRule="exact"/>
        <w:ind w:left="1436" w:leftChars="684"/>
        <w:jc w:val="left"/>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主管部门：</w:t>
      </w:r>
      <w:r>
        <w:rPr>
          <w:rFonts w:hint="eastAsia" w:eastAsia="仿宋_GB2312"/>
          <w:color w:val="000000" w:themeColor="text1"/>
          <w:kern w:val="0"/>
          <w:sz w:val="36"/>
          <w:szCs w:val="36"/>
          <w14:textFill>
            <w14:solidFill>
              <w14:schemeClr w14:val="tx1"/>
            </w14:solidFill>
          </w14:textFill>
        </w:rPr>
        <w:t>中共奇台县委员会宣传部</w:t>
      </w:r>
    </w:p>
    <w:p>
      <w:pPr>
        <w:spacing w:line="700" w:lineRule="exact"/>
        <w:ind w:firstLine="1440" w:firstLineChars="400"/>
        <w:jc w:val="left"/>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项目负责人：</w:t>
      </w:r>
      <w:r>
        <w:rPr>
          <w:rFonts w:hint="eastAsia" w:eastAsia="仿宋_GB2312"/>
          <w:color w:val="000000" w:themeColor="text1"/>
          <w:kern w:val="0"/>
          <w:sz w:val="36"/>
          <w:szCs w:val="36"/>
          <w14:textFill>
            <w14:solidFill>
              <w14:schemeClr w14:val="tx1"/>
            </w14:solidFill>
          </w14:textFill>
        </w:rPr>
        <w:t>卢静</w:t>
      </w:r>
    </w:p>
    <w:p>
      <w:pPr>
        <w:spacing w:line="700" w:lineRule="exact"/>
        <w:ind w:firstLine="1440" w:firstLineChars="400"/>
        <w:jc w:val="left"/>
        <w:rPr>
          <w:rFonts w:eastAsia="仿宋_GB2312"/>
          <w:color w:val="000000" w:themeColor="text1"/>
          <w:kern w:val="0"/>
          <w:sz w:val="36"/>
          <w:szCs w:val="36"/>
          <w14:textFill>
            <w14:solidFill>
              <w14:schemeClr w14:val="tx1"/>
            </w14:solidFill>
          </w14:textFill>
        </w:rPr>
      </w:pPr>
      <w:r>
        <w:rPr>
          <w:rFonts w:eastAsia="仿宋_GB2312"/>
          <w:color w:val="000000" w:themeColor="text1"/>
          <w:kern w:val="0"/>
          <w:sz w:val="36"/>
          <w:szCs w:val="36"/>
          <w14:textFill>
            <w14:solidFill>
              <w14:schemeClr w14:val="tx1"/>
            </w14:solidFill>
          </w14:textFill>
        </w:rPr>
        <w:t>填报时间：</w:t>
      </w:r>
      <w:r>
        <w:rPr>
          <w:rFonts w:hint="eastAsia" w:eastAsia="仿宋_GB2312"/>
          <w:color w:val="000000" w:themeColor="text1"/>
          <w:kern w:val="0"/>
          <w:sz w:val="36"/>
          <w:szCs w:val="36"/>
          <w14:textFill>
            <w14:solidFill>
              <w14:schemeClr w14:val="tx1"/>
            </w14:solidFill>
          </w14:textFill>
        </w:rPr>
        <w:t>2024</w:t>
      </w:r>
      <w:r>
        <w:rPr>
          <w:rFonts w:eastAsia="仿宋_GB2312"/>
          <w:color w:val="000000" w:themeColor="text1"/>
          <w:kern w:val="0"/>
          <w:sz w:val="36"/>
          <w:szCs w:val="36"/>
          <w14:textFill>
            <w14:solidFill>
              <w14:schemeClr w14:val="tx1"/>
            </w14:solidFill>
          </w14:textFill>
        </w:rPr>
        <w:t>年</w:t>
      </w:r>
      <w:r>
        <w:rPr>
          <w:rFonts w:hint="eastAsia" w:eastAsia="仿宋_GB2312"/>
          <w:color w:val="000000" w:themeColor="text1"/>
          <w:kern w:val="0"/>
          <w:sz w:val="36"/>
          <w:szCs w:val="36"/>
          <w14:textFill>
            <w14:solidFill>
              <w14:schemeClr w14:val="tx1"/>
            </w14:solidFill>
          </w14:textFill>
        </w:rPr>
        <w:t>4</w:t>
      </w:r>
      <w:r>
        <w:rPr>
          <w:rFonts w:eastAsia="仿宋_GB2312"/>
          <w:color w:val="000000" w:themeColor="text1"/>
          <w:kern w:val="0"/>
          <w:sz w:val="36"/>
          <w:szCs w:val="36"/>
          <w14:textFill>
            <w14:solidFill>
              <w14:schemeClr w14:val="tx1"/>
            </w14:solidFill>
          </w14:textFill>
        </w:rPr>
        <w:t>月</w:t>
      </w:r>
      <w:r>
        <w:rPr>
          <w:rFonts w:hint="eastAsia" w:eastAsia="仿宋_GB2312"/>
          <w:color w:val="000000" w:themeColor="text1"/>
          <w:kern w:val="0"/>
          <w:sz w:val="36"/>
          <w:szCs w:val="36"/>
          <w14:textFill>
            <w14:solidFill>
              <w14:schemeClr w14:val="tx1"/>
            </w14:solidFill>
          </w14:textFill>
        </w:rPr>
        <w:t>17</w:t>
      </w:r>
      <w:r>
        <w:rPr>
          <w:rFonts w:eastAsia="仿宋_GB2312"/>
          <w:color w:val="000000" w:themeColor="text1"/>
          <w:kern w:val="0"/>
          <w:sz w:val="36"/>
          <w:szCs w:val="36"/>
          <w14:textFill>
            <w14:solidFill>
              <w14:schemeClr w14:val="tx1"/>
            </w14:solidFill>
          </w14:textFill>
        </w:rPr>
        <w:t>日</w:t>
      </w:r>
    </w:p>
    <w:p>
      <w:pPr>
        <w:spacing w:line="540" w:lineRule="exact"/>
        <w:jc w:val="center"/>
        <w:rPr>
          <w:rFonts w:eastAsia="仿宋_GB2312"/>
          <w:color w:val="000000" w:themeColor="text1"/>
          <w:kern w:val="0"/>
          <w:sz w:val="30"/>
          <w:szCs w:val="30"/>
          <w14:textFill>
            <w14:solidFill>
              <w14:schemeClr w14:val="tx1"/>
            </w14:solidFill>
          </w14:textFill>
        </w:rPr>
      </w:pPr>
    </w:p>
    <w:p>
      <w:pPr>
        <w:spacing w:line="540" w:lineRule="exact"/>
        <w:rPr>
          <w:rStyle w:val="15"/>
          <w:rFonts w:eastAsia="黑体"/>
          <w:b w:val="0"/>
          <w:color w:val="000000" w:themeColor="text1"/>
          <w:spacing w:val="-4"/>
          <w:sz w:val="32"/>
          <w:szCs w:val="32"/>
          <w14:textFill>
            <w14:solidFill>
              <w14:schemeClr w14:val="tx1"/>
            </w14:solidFill>
          </w14:textFill>
        </w:rPr>
      </w:pPr>
    </w:p>
    <w:p>
      <w:pPr>
        <w:spacing w:line="560" w:lineRule="exact"/>
        <w:rPr>
          <w:rFonts w:eastAsia="黑体"/>
          <w:bCs/>
          <w:color w:val="000000" w:themeColor="text1"/>
          <w:sz w:val="32"/>
          <w:szCs w:val="32"/>
          <w14:textFill>
            <w14:solidFill>
              <w14:schemeClr w14:val="tx1"/>
            </w14:solidFill>
          </w14:textFill>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color w:val="000000" w:themeColor="text1"/>
          <w:sz w:val="32"/>
          <w:szCs w:val="32"/>
          <w14:textFill>
            <w14:solidFill>
              <w14:schemeClr w14:val="tx1"/>
            </w14:solidFill>
          </w14:textFill>
        </w:rPr>
      </w:pPr>
      <w:r>
        <w:rPr>
          <w:rFonts w:eastAsia="黑体"/>
          <w:bCs/>
          <w:color w:val="000000" w:themeColor="text1"/>
          <w:sz w:val="32"/>
          <w:szCs w:val="32"/>
          <w14:textFill>
            <w14:solidFill>
              <w14:schemeClr w14:val="tx1"/>
            </w14:solidFill>
          </w14:textFill>
        </w:rPr>
        <w:t>一、基本情况</w:t>
      </w:r>
    </w:p>
    <w:p>
      <w:p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（一）项目概况</w:t>
      </w:r>
    </w:p>
    <w:p>
      <w:pPr>
        <w:spacing w:line="560" w:lineRule="exact"/>
        <w:ind w:firstLine="643" w:firstLineChars="200"/>
        <w:rPr>
          <w:rFonts w:eastAsia="仿宋_GB2312"/>
          <w:b/>
          <w:bCs/>
          <w:color w:val="000000" w:themeColor="text1"/>
          <w:sz w:val="32"/>
          <w:szCs w:val="32"/>
          <w14:textFill>
            <w14:solidFill>
              <w14:schemeClr w14:val="tx1"/>
            </w14:solidFill>
          </w14:textFill>
        </w:rPr>
      </w:pPr>
      <w:r>
        <w:rPr>
          <w:rFonts w:eastAsia="仿宋_GB2312"/>
          <w:b/>
          <w:bCs/>
          <w:color w:val="000000" w:themeColor="text1"/>
          <w:sz w:val="32"/>
          <w:szCs w:val="32"/>
          <w14:textFill>
            <w14:solidFill>
              <w14:schemeClr w14:val="tx1"/>
            </w14:solidFill>
          </w14:textFill>
        </w:rPr>
        <w:t>1、项目背景</w:t>
      </w:r>
    </w:p>
    <w:p>
      <w:pPr>
        <w:pStyle w:val="3"/>
        <w:spacing w:before="0" w:after="0" w:line="560" w:lineRule="exact"/>
        <w:ind w:firstLine="640" w:firstLineChars="200"/>
        <w:rPr>
          <w:rFonts w:ascii="Times New Roman" w:hAnsi="Times New Roman" w:eastAsia="仿宋_GB2312"/>
          <w:b w:val="0"/>
          <w:bCs w:val="0"/>
          <w:color w:val="000000" w:themeColor="text1"/>
          <w:kern w:val="2"/>
          <w:sz w:val="32"/>
          <w:szCs w:val="32"/>
          <w14:textFill>
            <w14:solidFill>
              <w14:schemeClr w14:val="tx1"/>
            </w14:solidFill>
          </w14:textFill>
        </w:rPr>
      </w:pPr>
      <w:r>
        <w:rPr>
          <w:rFonts w:hint="eastAsia" w:ascii="Times New Roman" w:hAnsi="Times New Roman" w:eastAsia="仿宋_GB2312"/>
          <w:b w:val="0"/>
          <w:bCs w:val="0"/>
          <w:color w:val="000000" w:themeColor="text1"/>
          <w:kern w:val="2"/>
          <w:sz w:val="32"/>
          <w:szCs w:val="32"/>
          <w14:textFill>
            <w14:solidFill>
              <w14:schemeClr w14:val="tx1"/>
            </w14:solidFill>
          </w14:textFill>
        </w:rPr>
        <w:t>本项目根据奇台县依据奇党办通〔2023〕23号文件精神，党报党刊是党的意识形态工作的主阵地，党报党刊是党和人民的喉舌，是社会主义意识领域的重要征地，是弘扬先进文化的重要载体，巩固党在意识形态领域的主导地位吗，为推动文明幸福和谐建设具有极为重要意义。此外，党报党刊征订任务的完成与否是州绩效考核的重要指标之一，设立本项目。</w:t>
      </w:r>
    </w:p>
    <w:p>
      <w:pPr>
        <w:pStyle w:val="2"/>
        <w:numPr>
          <w:ilvl w:val="0"/>
          <w:numId w:val="1"/>
        </w:numPr>
        <w:spacing w:before="0" w:after="0" w:line="560" w:lineRule="exact"/>
        <w:ind w:firstLine="643" w:firstLineChars="200"/>
        <w:jc w:val="both"/>
        <w:rPr>
          <w:rFonts w:ascii="Times New Roman" w:hAnsi="Times New Roman" w:eastAsia="仿宋_GB2312"/>
          <w:color w:val="000000" w:themeColor="text1"/>
          <w:kern w:val="2"/>
          <w14:textFill>
            <w14:solidFill>
              <w14:schemeClr w14:val="tx1"/>
            </w14:solidFill>
          </w14:textFill>
        </w:rPr>
      </w:pPr>
      <w:r>
        <w:rPr>
          <w:rFonts w:ascii="Times New Roman" w:hAnsi="Times New Roman" w:eastAsia="仿宋_GB2312"/>
          <w:color w:val="000000" w:themeColor="text1"/>
          <w:kern w:val="2"/>
          <w14:textFill>
            <w14:solidFill>
              <w14:schemeClr w14:val="tx1"/>
            </w14:solidFill>
          </w14:textFill>
        </w:rPr>
        <w:t>项目主要内容：</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项目主要内容：按照中央、自治区、州党委的文件要求，完成订阅人民日报300份、求是杂志200份、新疆日报1500份、今日新疆1200份、昌吉日报2000份、光明日报70份、经济日报70份、新华每日电讯150份任务，做到党报党刊订阅全覆盖。</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项目实施情况：本项目由奇台县委宣传部负责实施，单位主要职责为主要职能是宣传中国共产党路线、方针、政策；负责制定我县宣传文化事业发展的工作方针；指导宣传文化系统精神文化产品的创作工作；对奇台县新闻、出版、电视和电影等媒体宣传工作进行监督指导；</w:t>
      </w:r>
      <w:bookmarkStart w:id="9" w:name="_GoBack"/>
      <w:bookmarkEnd w:id="9"/>
      <w:r>
        <w:rPr>
          <w:rFonts w:hint="eastAsia" w:eastAsia="仿宋_GB2312"/>
          <w:color w:val="000000" w:themeColor="text1"/>
          <w:sz w:val="32"/>
          <w:szCs w:val="32"/>
          <w14:textFill>
            <w14:solidFill>
              <w14:schemeClr w14:val="tx1"/>
            </w14:solidFill>
          </w14:textFill>
        </w:rPr>
        <w:t>并且负责组织协调和指导宣传文化系统的舆情信息工作；推进精神文明建设。本项目的实施与县委宣传部的职能密切相关，具备实施本项目的主体资格。本项目的实施与奇台县委宣传部的职能密切相关，具备本项目的主体资格。奇台县委宣传部具备实施本项目所需的物资与设备，确保项目实施不受资金供应影响，保障项目按预定时间完成。本项目本年预算152.45万元，资金来源为中央转移支付资金。项目资金均能及时到位。</w:t>
      </w:r>
    </w:p>
    <w:p>
      <w:pPr>
        <w:spacing w:line="560" w:lineRule="exact"/>
        <w:ind w:firstLine="643" w:firstLineChars="200"/>
        <w:rPr>
          <w:rFonts w:eastAsia="仿宋_GB2312"/>
          <w:b/>
          <w:bCs/>
          <w:color w:val="000000" w:themeColor="text1"/>
          <w:sz w:val="32"/>
          <w:szCs w:val="32"/>
          <w14:textFill>
            <w14:solidFill>
              <w14:schemeClr w14:val="tx1"/>
            </w14:solidFill>
          </w14:textFill>
        </w:rPr>
      </w:pPr>
      <w:r>
        <w:rPr>
          <w:rFonts w:eastAsia="仿宋_GB2312"/>
          <w:b/>
          <w:bCs/>
          <w:color w:val="000000" w:themeColor="text1"/>
          <w:sz w:val="32"/>
          <w:szCs w:val="32"/>
          <w14:textFill>
            <w14:solidFill>
              <w14:schemeClr w14:val="tx1"/>
            </w14:solidFill>
          </w14:textFill>
        </w:rPr>
        <w:t>3、资金投入和使用情况</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（1）资金投入情况</w:t>
      </w:r>
    </w:p>
    <w:p>
      <w:pPr>
        <w:spacing w:line="600" w:lineRule="exact"/>
        <w:ind w:firstLine="640" w:firstLineChars="200"/>
        <w:outlineLvl w:val="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该项目年初预算数152.45万元，全年预算数152.45万元，实际总投入152.26万元，该项目资金已全部落实到位，资金来源为中央转移支付资金。</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（2）资金使用情况</w:t>
      </w:r>
    </w:p>
    <w:p>
      <w:pPr>
        <w:spacing w:line="600" w:lineRule="exact"/>
        <w:ind w:firstLine="640" w:firstLineChars="200"/>
        <w:outlineLvl w:val="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该项目年初预算数152.45万元，全年预算数152.45万元,全年执行数152.26万元，预算执行率为99.88%，主要用于：关于做好2024年度党报党刊发行工作严格规范报刊发行。</w:t>
      </w:r>
    </w:p>
    <w:p>
      <w:p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（二）项目绩效目标</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1、总体目标</w:t>
      </w:r>
    </w:p>
    <w:p>
      <w:pPr>
        <w:spacing w:line="600" w:lineRule="exact"/>
        <w:ind w:firstLine="640" w:firstLineChars="200"/>
        <w:outlineLvl w:val="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本项目拟投入152.24万元用于完成2024年党报党刊征订工作，主要实施内容为：征订党报党刊5490份，党报党刊种类8种，党报党刊征订率100%，党报党刊征订完成及时率100%，于2023年12月31日前完工，通过本项目的实施，增强“四个意识”，坚定“四个自信”，使受益部门满意度达到95%绩效目标。</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2</w:t>
      </w:r>
      <w:r>
        <w:rPr>
          <w:rFonts w:eastAsia="仿宋_GB2312"/>
          <w:color w:val="000000" w:themeColor="text1"/>
          <w:sz w:val="32"/>
          <w:szCs w:val="32"/>
          <w14:textFill>
            <w14:solidFill>
              <w14:schemeClr w14:val="tx1"/>
            </w14:solidFill>
          </w14:textFill>
        </w:rPr>
        <w:t>、阶段性目标</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根据《预算法》《财政支出绩效评价管理暂行办法》（财预〔2020〕10号）、《自治区党委自治区人民政府关于全面实施预算绩效管理的实施意见》奇党办通〔2023〕23号文件上半年对接州党委宣传部，明确征订任务数量，核对区州驻县单位人事变动，人员信息，奇台县各部门单位编制数变动信息等。下半年依据最新征订任务分配表，对接各乡镇、部门、单位，以及区州驻县单位负责党报党刊征订人员，提高征订党报党刊的重视程度，提早谋划，和单位财务人员及早沟通，确保任务数量一下发，能够及时足额完成征订任务。</w:t>
      </w:r>
    </w:p>
    <w:p>
      <w:pPr>
        <w:spacing w:line="56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二、绩效评价工作开展情况</w:t>
      </w:r>
    </w:p>
    <w:p>
      <w:p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1、绩效评价的目的</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2"/>
        </w:num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项目在实施前向项目负责人提供财政支出绩效方面的资金管理信息，促进项目支出严格按照资金管理规定进行。</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（2）项目绩效管理</w:t>
      </w:r>
      <w:r>
        <w:rPr>
          <w:rFonts w:hint="eastAsia" w:eastAsia="仿宋_GB2312"/>
          <w:color w:val="000000" w:themeColor="text1"/>
          <w:sz w:val="32"/>
          <w:szCs w:val="32"/>
          <w14:textFill>
            <w14:solidFill>
              <w14:schemeClr w14:val="tx1"/>
            </w14:solidFill>
          </w14:textFill>
        </w:rPr>
        <w:t>为</w:t>
      </w:r>
      <w:r>
        <w:rPr>
          <w:rFonts w:eastAsia="仿宋_GB2312"/>
          <w:color w:val="000000" w:themeColor="text1"/>
          <w:sz w:val="32"/>
          <w:szCs w:val="32"/>
          <w14:textFill>
            <w14:solidFill>
              <w14:schemeClr w14:val="tx1"/>
            </w14:solidFill>
          </w14:textFill>
        </w:rPr>
        <w:t>财政支出运行提供及时、有效的信息。</w:t>
      </w:r>
    </w:p>
    <w:p>
      <w:pPr>
        <w:pStyle w:val="18"/>
        <w:spacing w:line="560" w:lineRule="exact"/>
        <w:ind w:firstLine="640" w:firstLineChars="200"/>
        <w:rPr>
          <w:rFonts w:eastAsia="方正仿宋_GBK" w:cs="方正仿宋_GBK"/>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综合来看，通过开展有效的财政支出绩效评价管理，</w:t>
      </w:r>
      <w:r>
        <w:rPr>
          <w:rFonts w:hint="eastAsia" w:eastAsia="仿宋_GB2312"/>
          <w:color w:val="000000" w:themeColor="text1"/>
          <w:sz w:val="32"/>
          <w:szCs w:val="32"/>
          <w14:textFill>
            <w14:solidFill>
              <w14:schemeClr w14:val="tx1"/>
            </w14:solidFill>
          </w14:textFill>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2、绩效评价的对象</w:t>
      </w:r>
    </w:p>
    <w:p>
      <w:pPr>
        <w:spacing w:line="560" w:lineRule="exact"/>
        <w:ind w:firstLine="640" w:firstLineChars="200"/>
        <w:rPr>
          <w:rFonts w:eastAsia="仿宋_GB2312"/>
          <w:color w:val="000000" w:themeColor="text1"/>
          <w:kern w:val="0"/>
          <w:sz w:val="32"/>
          <w:szCs w:val="32"/>
          <w14:textFill>
            <w14:solidFill>
              <w14:schemeClr w14:val="tx1"/>
            </w14:solidFill>
          </w14:textFill>
        </w:rPr>
      </w:pPr>
      <w:r>
        <w:rPr>
          <w:rFonts w:hint="eastAsia" w:eastAsia="仿宋_GB2312"/>
          <w:color w:val="000000" w:themeColor="text1"/>
          <w:kern w:val="0"/>
          <w:sz w:val="32"/>
          <w:szCs w:val="32"/>
          <w14:textFill>
            <w14:solidFill>
              <w14:schemeClr w14:val="tx1"/>
            </w14:solidFill>
          </w14:textFill>
        </w:rPr>
        <w:t>关于做好2024年度党报党刊发行工作严格规范报刊发行秩序的通知项目所包含的全部项目内容。</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3、绩效评价的范围</w:t>
      </w:r>
    </w:p>
    <w:p>
      <w:pPr>
        <w:spacing w:line="560" w:lineRule="exact"/>
        <w:ind w:firstLine="640" w:firstLineChars="20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次评价从项目决策（包括绩效目标、决策过程）、项目管理（包括项目资金、项目实施）、项目产出（包括项目产出数量、产出质量、产出时效和产出成本）项目效益四个维度对关于做好2024年度党报党刊发行工作严格规范报刊发行秩序的通知项目进行评价，评价核心为专项资金的支出完成情况和效果。</w:t>
      </w:r>
    </w:p>
    <w:p>
      <w:pPr>
        <w:spacing w:line="560" w:lineRule="exact"/>
        <w:ind w:firstLine="643" w:firstLineChars="200"/>
        <w:rPr>
          <w:color w:val="000000" w:themeColor="text1"/>
          <w14:textFill>
            <w14:solidFill>
              <w14:schemeClr w14:val="tx1"/>
            </w14:solidFill>
          </w14:textFill>
        </w:rPr>
      </w:pPr>
      <w:r>
        <w:rPr>
          <w:rFonts w:eastAsia="楷体_GB2312"/>
          <w:b/>
          <w:bCs/>
          <w:color w:val="000000" w:themeColor="text1"/>
          <w:sz w:val="32"/>
          <w:szCs w:val="32"/>
          <w14:textFill>
            <w14:solidFill>
              <w14:schemeClr w14:val="tx1"/>
            </w14:solidFill>
          </w14:textFill>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1、绩效评价原则</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（1）科学公正。绩效评价应当运用科学合理的方法，按照规范的程序，对项目绩效进行客观、公正</w:t>
      </w:r>
      <w:r>
        <w:rPr>
          <w:rFonts w:hint="eastAsia" w:ascii="Times New Roman" w:hAnsi="Times New Roman" w:eastAsia="仿宋_GB2312"/>
          <w:b w:val="0"/>
          <w:bCs w:val="0"/>
          <w:color w:val="000000" w:themeColor="text1"/>
          <w14:textFill>
            <w14:solidFill>
              <w14:schemeClr w14:val="tx1"/>
            </w14:solidFill>
          </w14:textFill>
        </w:rPr>
        <w:t>地</w:t>
      </w:r>
      <w:r>
        <w:rPr>
          <w:rFonts w:ascii="Times New Roman" w:hAnsi="Times New Roman" w:eastAsia="仿宋_GB2312"/>
          <w:b w:val="0"/>
          <w:bCs w:val="0"/>
          <w:color w:val="000000" w:themeColor="text1"/>
          <w14:textFill>
            <w14:solidFill>
              <w14:schemeClr w14:val="tx1"/>
            </w14:solidFill>
          </w14:textFill>
        </w:rPr>
        <w:t>反映。</w:t>
      </w:r>
    </w:p>
    <w:p>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2、评价指标体系</w:t>
      </w:r>
    </w:p>
    <w:p>
      <w:pPr>
        <w:spacing w:line="560" w:lineRule="exact"/>
        <w:ind w:firstLine="708" w:firstLineChars="200"/>
        <w:rPr>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（1）确定评价指标</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（2）确定权重</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（3）确定指标标准值</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themeColor="text1"/>
          <w:spacing w:val="17"/>
          <w:kern w:val="2"/>
          <w14:textFill>
            <w14:solidFill>
              <w14:schemeClr w14:val="tx1"/>
            </w14:solidFill>
          </w14:textFill>
        </w:rPr>
      </w:pPr>
      <w:r>
        <w:rPr>
          <w:rFonts w:ascii="Times New Roman" w:hAnsi="Times New Roman" w:eastAsia="仿宋_GB2312"/>
          <w:b w:val="0"/>
          <w:bCs w:val="0"/>
          <w:color w:val="000000" w:themeColor="text1"/>
          <w:spacing w:val="17"/>
          <w:kern w:val="2"/>
          <w14:textFill>
            <w14:solidFill>
              <w14:schemeClr w14:val="tx1"/>
            </w14:solidFill>
          </w14:textFill>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themeColor="text1"/>
          <w:spacing w:val="17"/>
          <w14:textFill>
            <w14:solidFill>
              <w14:schemeClr w14:val="tx1"/>
            </w14:solidFill>
          </w14:textFill>
        </w:rPr>
      </w:pPr>
      <w:r>
        <w:rPr>
          <w:rFonts w:ascii="Times New Roman" w:hAnsi="Times New Roman" w:eastAsia="仿宋_GB2312"/>
          <w:b w:val="0"/>
          <w:bCs w:val="0"/>
          <w:color w:val="000000" w:themeColor="text1"/>
          <w:spacing w:val="17"/>
          <w14:textFill>
            <w14:solidFill>
              <w14:schemeClr w14:val="tx1"/>
            </w14:solidFill>
          </w14:textFill>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3、绩效评价方法</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（1）比较法</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通过对绩效目标与实施效果、历史与当期情况，综合分析绩效目标实现程度。对</w:t>
      </w:r>
      <w:r>
        <w:rPr>
          <w:rFonts w:eastAsia="仿宋_GB2312"/>
          <w:color w:val="000000" w:themeColor="text1"/>
          <w:sz w:val="32"/>
          <w:szCs w:val="32"/>
          <w14:textFill>
            <w14:solidFill>
              <w14:schemeClr w14:val="tx1"/>
            </w14:solidFill>
          </w14:textFill>
        </w:rPr>
        <w:t>项目</w:t>
      </w:r>
      <w:r>
        <w:rPr>
          <w:rFonts w:eastAsia="仿宋_GB2312"/>
          <w:color w:val="000000" w:themeColor="text1"/>
          <w:spacing w:val="17"/>
          <w:sz w:val="32"/>
          <w:szCs w:val="32"/>
          <w14:textFill>
            <w14:solidFill>
              <w14:schemeClr w14:val="tx1"/>
            </w14:solidFill>
          </w14:textFill>
        </w:rPr>
        <w:t>最终验收情况与年度绩效目标对比、预算资金执行情况等相关因素进行比较。</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（2）因素分析法</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eastAsia="仿宋_GB2312"/>
          <w:color w:val="000000" w:themeColor="text1"/>
          <w:spacing w:val="17"/>
          <w:sz w:val="32"/>
          <w:szCs w:val="32"/>
          <w14:textFill>
            <w14:solidFill>
              <w14:schemeClr w14:val="tx1"/>
            </w14:solidFill>
          </w14:textFill>
        </w:rPr>
        <w:t>通过综合分析影响绩效目标实现、实施效果的内外因素，评价绩效目标实现程度。通过对</w:t>
      </w:r>
      <w:r>
        <w:rPr>
          <w:rFonts w:eastAsia="仿宋_GB2312"/>
          <w:color w:val="000000" w:themeColor="text1"/>
          <w:sz w:val="32"/>
          <w:szCs w:val="32"/>
          <w14:textFill>
            <w14:solidFill>
              <w14:schemeClr w14:val="tx1"/>
            </w14:solidFill>
          </w14:textFill>
        </w:rPr>
        <w:t>项目</w:t>
      </w:r>
      <w:r>
        <w:rPr>
          <w:rFonts w:eastAsia="仿宋_GB2312"/>
          <w:color w:val="000000" w:themeColor="text1"/>
          <w:spacing w:val="17"/>
          <w:sz w:val="32"/>
          <w:szCs w:val="32"/>
          <w14:textFill>
            <w14:solidFill>
              <w14:schemeClr w14:val="tx1"/>
            </w14:solidFill>
          </w14:textFill>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14:textFill>
            <w14:solidFill>
              <w14:schemeClr w14:val="tx1"/>
            </w14:solidFill>
          </w14:textFill>
        </w:rPr>
      </w:pPr>
      <w:r>
        <w:rPr>
          <w:rFonts w:ascii="Times New Roman" w:hAnsi="Times New Roman" w:eastAsia="仿宋_GB2312"/>
          <w:b w:val="0"/>
          <w:bCs w:val="0"/>
          <w:color w:val="000000" w:themeColor="text1"/>
          <w14:textFill>
            <w14:solidFill>
              <w14:schemeClr w14:val="tx1"/>
            </w14:solidFill>
          </w14:textFill>
        </w:rPr>
        <w:t>4、评价标准</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r>
        <w:rPr>
          <w:rFonts w:hint="eastAsia" w:eastAsia="仿宋_GB2312"/>
          <w:color w:val="000000" w:themeColor="text1"/>
          <w:spacing w:val="17"/>
          <w:sz w:val="32"/>
          <w:szCs w:val="32"/>
          <w14:textFill>
            <w14:solidFill>
              <w14:schemeClr w14:val="tx1"/>
            </w14:solidFill>
          </w14:textFill>
        </w:rPr>
        <w:t>绩效评价标准通常包括计划标准、行业标准、历史标准等，用于对绩效指标完成情况进行比较、分析、评价。本次评价主要采用了计划标准。</w:t>
      </w:r>
    </w:p>
    <w:p>
      <w:pPr>
        <w:spacing w:line="560" w:lineRule="exact"/>
        <w:ind w:firstLine="708" w:firstLineChars="200"/>
        <w:rPr>
          <w:rFonts w:eastAsia="仿宋_GB2312"/>
          <w:color w:val="000000" w:themeColor="text1"/>
          <w:spacing w:val="17"/>
          <w:sz w:val="32"/>
          <w:szCs w:val="32"/>
          <w14:textFill>
            <w14:solidFill>
              <w14:schemeClr w14:val="tx1"/>
            </w14:solidFill>
          </w14:textFill>
        </w:rPr>
      </w:pPr>
      <w:bookmarkStart w:id="0" w:name="_Toc17882"/>
      <w:bookmarkStart w:id="1" w:name="_Toc31464"/>
      <w:r>
        <w:rPr>
          <w:rFonts w:hint="eastAsia" w:eastAsia="仿宋_GB2312"/>
          <w:color w:val="000000" w:themeColor="text1"/>
          <w:spacing w:val="17"/>
          <w:sz w:val="32"/>
          <w:szCs w:val="32"/>
          <w14:textFill>
            <w14:solidFill>
              <w14:schemeClr w14:val="tx1"/>
            </w14:solidFill>
          </w14:textFill>
        </w:rPr>
        <w:t>计划标准：指以预先制定的目标、计划、预算、定额等作为评价标准。</w:t>
      </w:r>
      <w:bookmarkEnd w:id="0"/>
      <w:bookmarkEnd w:id="1"/>
    </w:p>
    <w:p>
      <w:pPr>
        <w:spacing w:line="560" w:lineRule="exact"/>
        <w:ind w:firstLine="708" w:firstLineChars="200"/>
        <w:rPr>
          <w:rFonts w:eastAsia="仿宋_GB2312"/>
          <w:color w:val="000000" w:themeColor="text1"/>
          <w:spacing w:val="17"/>
          <w:sz w:val="32"/>
          <w:szCs w:val="32"/>
          <w14:textFill>
            <w14:solidFill>
              <w14:schemeClr w14:val="tx1"/>
            </w14:solidFill>
          </w14:textFill>
        </w:rPr>
      </w:pPr>
      <w:bookmarkStart w:id="2" w:name="_Toc5633"/>
      <w:bookmarkStart w:id="3" w:name="_Toc2318"/>
      <w:r>
        <w:rPr>
          <w:rFonts w:hint="eastAsia" w:eastAsia="仿宋_GB2312"/>
          <w:color w:val="000000" w:themeColor="text1"/>
          <w:spacing w:val="17"/>
          <w:sz w:val="32"/>
          <w:szCs w:val="32"/>
          <w14:textFill>
            <w14:solidFill>
              <w14:schemeClr w14:val="tx1"/>
            </w14:solidFill>
          </w14:textFill>
        </w:rPr>
        <w:t>行业标准：指参照国家公布的行业指标数据制定的评价标准。</w:t>
      </w:r>
      <w:bookmarkEnd w:id="2"/>
      <w:bookmarkEnd w:id="3"/>
    </w:p>
    <w:p>
      <w:pPr>
        <w:spacing w:line="560" w:lineRule="exact"/>
        <w:ind w:firstLine="708" w:firstLineChars="200"/>
        <w:rPr>
          <w:rFonts w:eastAsia="方正仿宋_GBK" w:cs="方正仿宋_GBK"/>
          <w:color w:val="000000" w:themeColor="text1"/>
          <w:sz w:val="32"/>
          <w:szCs w:val="32"/>
          <w14:textFill>
            <w14:solidFill>
              <w14:schemeClr w14:val="tx1"/>
            </w14:solidFill>
          </w14:textFill>
        </w:rPr>
      </w:pPr>
      <w:bookmarkStart w:id="4" w:name="_Toc16028"/>
      <w:bookmarkStart w:id="5" w:name="_Toc430"/>
      <w:r>
        <w:rPr>
          <w:rFonts w:hint="eastAsia" w:eastAsia="仿宋_GB2312"/>
          <w:color w:val="000000" w:themeColor="text1"/>
          <w:spacing w:val="17"/>
          <w:sz w:val="32"/>
          <w:szCs w:val="32"/>
          <w14:textFill>
            <w14:solidFill>
              <w14:schemeClr w14:val="tx1"/>
            </w14:solidFill>
          </w14:textFill>
        </w:rPr>
        <w:t>历史标准：指参照历史数据制定的评价标准，为体现绩效改进的原则，在可实现的条件下应当确定相对较高的评价标准。</w:t>
      </w:r>
      <w:bookmarkEnd w:id="4"/>
      <w:bookmarkEnd w:id="5"/>
    </w:p>
    <w:p>
      <w:pPr>
        <w:pStyle w:val="2"/>
        <w:numPr>
          <w:ilvl w:val="0"/>
          <w:numId w:val="3"/>
        </w:numPr>
        <w:spacing w:before="0" w:after="0" w:line="560" w:lineRule="exact"/>
        <w:ind w:firstLine="711" w:firstLineChars="200"/>
        <w:jc w:val="both"/>
        <w:rPr>
          <w:rFonts w:hint="eastAsia" w:ascii="楷体" w:hAnsi="楷体" w:eastAsia="楷体" w:cs="楷体"/>
          <w:color w:val="000000" w:themeColor="text1"/>
          <w:spacing w:val="17"/>
          <w14:textFill>
            <w14:solidFill>
              <w14:schemeClr w14:val="tx1"/>
            </w14:solidFill>
          </w14:textFill>
        </w:rPr>
      </w:pPr>
      <w:r>
        <w:rPr>
          <w:rFonts w:hint="eastAsia" w:ascii="楷体" w:hAnsi="楷体" w:eastAsia="楷体" w:cs="楷体"/>
          <w:color w:val="000000" w:themeColor="text1"/>
          <w:spacing w:val="17"/>
          <w14:textFill>
            <w14:solidFill>
              <w14:schemeClr w14:val="tx1"/>
            </w14:solidFill>
          </w14:textFill>
        </w:rPr>
        <w:t>绩效评价工作过程</w:t>
      </w:r>
    </w:p>
    <w:p>
      <w:pPr>
        <w:spacing w:line="560" w:lineRule="exact"/>
        <w:ind w:firstLine="640" w:firstLineChars="200"/>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1.前期准备。首先成立评价工作组，开展前期调研；其次明确项目绩效目标，设计绩效评价指标体系并确定绩效评价方法；接着确定现场和非现场评价范围，设计资料清单；最后制定评价实施方案并进行论证。</w:t>
      </w:r>
    </w:p>
    <w:p>
      <w:pPr>
        <w:spacing w:line="560" w:lineRule="exact"/>
        <w:ind w:firstLine="640" w:firstLineChars="200"/>
        <w:rPr>
          <w:rFonts w:eastAsia="仿宋_GB2312"/>
          <w:bCs/>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2.组织实施。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0" w:firstLineChars="200"/>
        <w:rPr>
          <w:color w:val="000000" w:themeColor="text1"/>
          <w:sz w:val="32"/>
          <w:szCs w:val="32"/>
          <w14:textFill>
            <w14:solidFill>
              <w14:schemeClr w14:val="tx1"/>
            </w14:solidFill>
          </w14:textFill>
        </w:rPr>
      </w:pPr>
      <w:r>
        <w:rPr>
          <w:rFonts w:hint="eastAsia" w:eastAsia="仿宋_GB2312"/>
          <w:bCs/>
          <w:color w:val="000000" w:themeColor="text1"/>
          <w:sz w:val="32"/>
          <w:szCs w:val="32"/>
          <w14:textFill>
            <w14:solidFill>
              <w14:schemeClr w14:val="tx1"/>
            </w14:solidFill>
          </w14:textFill>
        </w:rPr>
        <w:t>3.分析评价。根据收集梳理的资料围绕项目立项、资金落实、业务管理、财务管理、项目产出、项目效益等内容，对照已确定的绩效评价指标进行详细全面的分析评价，逐项打分并形成绩效评价最终结果。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4"/>
        </w:numPr>
        <w:spacing w:line="56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综合评价情况及评价结论（附相关评分表）</w:t>
      </w:r>
    </w:p>
    <w:p>
      <w:pPr>
        <w:pStyle w:val="2"/>
        <w:spacing w:before="0" w:after="0" w:line="560" w:lineRule="exact"/>
        <w:ind w:firstLine="643" w:firstLineChars="200"/>
        <w:jc w:val="both"/>
        <w:rPr>
          <w:rFonts w:ascii="Times New Roman" w:hAnsi="Times New Roman" w:eastAsia="楷体_GB2312"/>
          <w:color w:val="000000" w:themeColor="text1"/>
          <w14:textFill>
            <w14:solidFill>
              <w14:schemeClr w14:val="tx1"/>
            </w14:solidFill>
          </w14:textFill>
        </w:rPr>
      </w:pPr>
      <w:r>
        <w:rPr>
          <w:rFonts w:hint="eastAsia" w:ascii="Times New Roman" w:hAnsi="Times New Roman" w:eastAsia="楷体_GB2312"/>
          <w:color w:val="000000" w:themeColor="text1"/>
          <w14:textFill>
            <w14:solidFill>
              <w14:schemeClr w14:val="tx1"/>
            </w14:solidFill>
          </w14:textFill>
        </w:rPr>
        <w:t>（一）评价情况</w:t>
      </w:r>
    </w:p>
    <w:p>
      <w:pPr>
        <w:spacing w:line="600" w:lineRule="exact"/>
        <w:ind w:firstLine="640" w:firstLineChars="200"/>
        <w:outlineLvl w:val="0"/>
        <w:rPr>
          <w:rFonts w:eastAsia="仿宋_GB2312"/>
          <w:color w:val="000000" w:themeColor="text1"/>
          <w:kern w:val="28"/>
          <w:sz w:val="32"/>
          <w:szCs w:val="32"/>
          <w14:textFill>
            <w14:solidFill>
              <w14:schemeClr w14:val="tx1"/>
            </w14:solidFill>
          </w14:textFill>
        </w:rPr>
      </w:pPr>
      <w:r>
        <w:rPr>
          <w:rFonts w:hint="eastAsia" w:eastAsia="仿宋_GB2312"/>
          <w:color w:val="000000" w:themeColor="text1"/>
          <w:kern w:val="28"/>
          <w:sz w:val="32"/>
          <w:szCs w:val="32"/>
          <w14:textFill>
            <w14:solidFill>
              <w14:schemeClr w14:val="tx1"/>
            </w14:solidFill>
          </w14:textFill>
        </w:rPr>
        <w:t>项目总体组织规范，在项目实施过程中做到认真履职，监督到位。按照相关制度的要求，项目负责人对项目绩效监控执行情况进行跟踪监督，有效完成了本项目的工作目标，确保资金使用安全和最大效益地发挥，保障项目如期按要求完成。规范了项目档案资料的整理。项目的实施达到项目预期效果。</w:t>
      </w:r>
    </w:p>
    <w:p>
      <w:pPr>
        <w:pStyle w:val="2"/>
        <w:spacing w:before="0" w:after="0" w:line="560" w:lineRule="exact"/>
        <w:ind w:firstLine="643" w:firstLineChars="200"/>
        <w:jc w:val="both"/>
        <w:rPr>
          <w:rFonts w:ascii="Times New Roman" w:hAnsi="Times New Roman" w:eastAsia="楷体_GB2312"/>
          <w:color w:val="000000" w:themeColor="text1"/>
          <w14:textFill>
            <w14:solidFill>
              <w14:schemeClr w14:val="tx1"/>
            </w14:solidFill>
          </w14:textFill>
        </w:rPr>
      </w:pPr>
      <w:r>
        <w:rPr>
          <w:rFonts w:hint="eastAsia" w:ascii="Times New Roman" w:hAnsi="Times New Roman" w:eastAsia="楷体_GB2312"/>
          <w:color w:val="000000" w:themeColor="text1"/>
          <w14:textFill>
            <w14:solidFill>
              <w14:schemeClr w14:val="tx1"/>
            </w14:solidFill>
          </w14:textFill>
        </w:rPr>
        <w:t>（二）评价结论</w:t>
      </w:r>
    </w:p>
    <w:p>
      <w:pPr>
        <w:pStyle w:val="2"/>
        <w:widowControl w:val="0"/>
        <w:spacing w:before="0" w:after="0" w:line="560" w:lineRule="exact"/>
        <w:ind w:firstLine="640" w:firstLineChars="200"/>
        <w:jc w:val="both"/>
        <w:outlineLvl w:val="9"/>
        <w:rPr>
          <w:rFonts w:ascii="Times New Roman" w:hAnsi="Times New Roman" w:eastAsia="仿宋_GB2312"/>
          <w:b w:val="0"/>
          <w:bCs w:val="0"/>
          <w:color w:val="000000" w:themeColor="text1"/>
          <w:kern w:val="2"/>
          <w14:textFill>
            <w14:solidFill>
              <w14:schemeClr w14:val="tx1"/>
            </w14:solidFill>
          </w14:textFill>
        </w:rPr>
      </w:pPr>
      <w:r>
        <w:rPr>
          <w:rFonts w:hint="eastAsia" w:ascii="Times New Roman" w:hAnsi="Times New Roman" w:eastAsia="仿宋_GB2312"/>
          <w:b w:val="0"/>
          <w:bCs w:val="0"/>
          <w:color w:val="000000" w:themeColor="text1"/>
          <w:kern w:val="2"/>
          <w14:textFill>
            <w14:solidFill>
              <w14:schemeClr w14:val="tx1"/>
            </w14:solidFill>
          </w14:textFill>
        </w:rPr>
        <w:t>运用绩效评价组制定的评价指标体系以及财政部《项目支出绩效评价管理办法》（财预〔2020〕10号）文件的评分标准，通过数据采集、问卷调查及访谈等方式，对本项目进行客观评价，最终评分结果：总得分为99.89分，属于“优”。其中，项目决策类指标权重为20分，得分为20分，得分率为 100%。项目过程类指标权重为20分，得分为19.99分，得分率为 99.95%。项目产出类指标权重为40分，得分为39.9分，得分率为 99.75%。项目效益类指标权重为20分，得分为20分，得分率为100%。具体打分情况详见：附件1综合评分表。</w:t>
      </w:r>
    </w:p>
    <w:p>
      <w:pPr>
        <w:pStyle w:val="2"/>
        <w:spacing w:before="0" w:after="0"/>
        <w:rPr>
          <w:rFonts w:ascii="Times New Roman" w:hAnsi="Times New Roman" w:eastAsia="仿宋_GB2312"/>
          <w:color w:val="000000" w:themeColor="text1"/>
          <w:sz w:val="30"/>
          <w:szCs w:val="30"/>
          <w14:textFill>
            <w14:solidFill>
              <w14:schemeClr w14:val="tx1"/>
            </w14:solidFill>
          </w14:textFill>
        </w:rPr>
      </w:pPr>
      <w:r>
        <w:rPr>
          <w:rFonts w:ascii="Times New Roman" w:hAnsi="Times New Roman" w:eastAsia="仿宋_GB2312"/>
          <w:color w:val="000000" w:themeColor="text1"/>
          <w:sz w:val="30"/>
          <w:szCs w:val="30"/>
          <w14:textFill>
            <w14:solidFill>
              <w14:schemeClr w14:val="tx1"/>
            </w14:solidFill>
          </w14:textFill>
        </w:rPr>
        <w:t>表1综合评分表</w:t>
      </w:r>
    </w:p>
    <w:tbl>
      <w:tblPr>
        <w:tblStyle w:val="13"/>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19.99</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40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39.9</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themeColor="text1"/>
                <w:sz w:val="22"/>
                <w14:textFill>
                  <w14:solidFill>
                    <w14:schemeClr w14:val="tx1"/>
                  </w14:solidFill>
                </w14:textFill>
              </w:rPr>
            </w:pPr>
            <w:r>
              <w:rPr>
                <w:rFonts w:hint="eastAsia"/>
                <w:color w:val="000000" w:themeColor="text1"/>
                <w:sz w:val="22"/>
                <w14:textFill>
                  <w14:solidFill>
                    <w14:schemeClr w14:val="tx1"/>
                  </w14:solidFill>
                </w14:textFill>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themeColor="text1"/>
                <w:sz w:val="22"/>
                <w14:textFill>
                  <w14:solidFill>
                    <w14:schemeClr w14:val="tx1"/>
                  </w14:solidFill>
                </w14:textFill>
              </w:rPr>
            </w:pPr>
            <w:r>
              <w:rPr>
                <w:rFonts w:hint="eastAsia" w:cs="宋体"/>
                <w:b/>
                <w:bCs/>
                <w:color w:val="000000" w:themeColor="text1"/>
                <w:sz w:val="22"/>
                <w14:textFill>
                  <w14:solidFill>
                    <w14:schemeClr w14:val="tx1"/>
                  </w14:solidFill>
                </w14:textFill>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themeColor="text1"/>
                <w:sz w:val="22"/>
                <w14:textFill>
                  <w14:solidFill>
                    <w14:schemeClr w14:val="tx1"/>
                  </w14:solidFill>
                </w14:textFill>
              </w:rPr>
            </w:pPr>
            <w:r>
              <w:rPr>
                <w:rFonts w:hint="eastAsia"/>
                <w:b/>
                <w:bCs/>
                <w:color w:val="000000" w:themeColor="text1"/>
                <w:sz w:val="22"/>
                <w14:textFill>
                  <w14:solidFill>
                    <w14:schemeClr w14:val="tx1"/>
                  </w14:solidFill>
                </w14:textFill>
              </w:rPr>
              <w:t>99.89</w:t>
            </w:r>
          </w:p>
        </w:tc>
      </w:tr>
    </w:tbl>
    <w:p>
      <w:pPr>
        <w:spacing w:line="560" w:lineRule="exact"/>
        <w:ind w:firstLine="640" w:firstLineChars="200"/>
        <w:rPr>
          <w:rFonts w:eastAsia="黑体"/>
          <w:color w:val="000000" w:themeColor="text1"/>
          <w:sz w:val="32"/>
          <w:szCs w:val="32"/>
          <w14:textFill>
            <w14:solidFill>
              <w14:schemeClr w14:val="tx1"/>
            </w14:solidFill>
          </w14:textFill>
        </w:rPr>
      </w:pPr>
      <w:r>
        <w:rPr>
          <w:rFonts w:eastAsia="黑体"/>
          <w:color w:val="000000" w:themeColor="text1"/>
          <w:sz w:val="32"/>
          <w:szCs w:val="32"/>
          <w14:textFill>
            <w14:solidFill>
              <w14:schemeClr w14:val="tx1"/>
            </w14:solidFill>
          </w14:textFill>
        </w:rPr>
        <w:t>四、绩效评价指标分析</w:t>
      </w:r>
    </w:p>
    <w:p>
      <w:pPr>
        <w:pStyle w:val="2"/>
        <w:spacing w:before="0" w:after="0" w:line="560" w:lineRule="exact"/>
        <w:ind w:firstLine="643" w:firstLineChars="200"/>
        <w:jc w:val="both"/>
        <w:rPr>
          <w:rFonts w:ascii="Times New Roman" w:hAnsi="Times New Roman" w:eastAsia="楷体_GB2312"/>
          <w:color w:val="000000" w:themeColor="text1"/>
          <w14:textFill>
            <w14:solidFill>
              <w14:schemeClr w14:val="tx1"/>
            </w14:solidFill>
          </w14:textFill>
        </w:rPr>
      </w:pPr>
      <w:r>
        <w:rPr>
          <w:rFonts w:ascii="Times New Roman" w:hAnsi="Times New Roman" w:eastAsia="楷体_GB2312"/>
          <w:color w:val="000000" w:themeColor="text1"/>
          <w14:textFill>
            <w14:solidFill>
              <w14:schemeClr w14:val="tx1"/>
            </w14:solidFill>
          </w14:textFill>
        </w:rPr>
        <w:t>（一）项目决策情况</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项目决策类指标包括项目立项、绩效目标和资金投入三方面的内容，由6个三级指标构成，权重分值为20分，实际得分20分，得分率为100%。</w:t>
      </w:r>
    </w:p>
    <w:p>
      <w:pPr>
        <w:pStyle w:val="18"/>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1.项目立项</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（1）立项依据充分性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（2）立项程序规范性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项目申请、设立过程符合相关要求，</w:t>
      </w:r>
      <w:r>
        <w:rPr>
          <w:rFonts w:hint="eastAsia" w:ascii="仿宋_GB2312" w:hAnsi="仿宋_GB2312" w:eastAsia="仿宋_GB2312" w:cs="仿宋_GB2312"/>
          <w:color w:val="000000" w:themeColor="text1"/>
          <w:sz w:val="32"/>
          <w:szCs w:val="32"/>
          <w:lang w:eastAsia="zh-Hans"/>
          <w14:textFill>
            <w14:solidFill>
              <w14:schemeClr w14:val="tx1"/>
            </w14:solidFill>
          </w14:textFill>
        </w:rPr>
        <w:t>严格按照审批流程准备符合要求的文件、材料；</w:t>
      </w:r>
      <w:r>
        <w:rPr>
          <w:rFonts w:hint="eastAsia" w:ascii="仿宋_GB2312" w:hAnsi="仿宋_GB2312" w:eastAsia="仿宋_GB2312" w:cs="仿宋_GB2312"/>
          <w:color w:val="000000" w:themeColor="text1"/>
          <w:sz w:val="32"/>
          <w:szCs w:val="32"/>
          <w14:textFill>
            <w14:solidFill>
              <w14:schemeClr w14:val="tx1"/>
            </w14:solidFill>
          </w14:textFill>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8"/>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2.绩效目标</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（1）绩效目标合理性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Hans"/>
          <w14:textFill>
            <w14:solidFill>
              <w14:schemeClr w14:val="tx1"/>
            </w14:solidFill>
          </w14:textFill>
        </w:rPr>
        <w:t>年初结合实际工作内容</w:t>
      </w:r>
      <w:r>
        <w:rPr>
          <w:rFonts w:hint="eastAsia" w:ascii="仿宋_GB2312" w:hAnsi="仿宋_GB2312" w:eastAsia="仿宋_GB2312" w:cs="仿宋_GB2312"/>
          <w:color w:val="000000" w:themeColor="text1"/>
          <w:sz w:val="32"/>
          <w:szCs w:val="32"/>
          <w14:textFill>
            <w14:solidFill>
              <w14:schemeClr w14:val="tx1"/>
            </w14:solidFill>
          </w14:textFill>
        </w:rPr>
        <w:t>设定绩效目标</w:t>
      </w:r>
      <w:r>
        <w:rPr>
          <w:rFonts w:hint="eastAsia" w:ascii="仿宋_GB2312" w:hAnsi="仿宋_GB2312" w:eastAsia="仿宋_GB2312" w:cs="仿宋_GB2312"/>
          <w:color w:val="000000" w:themeColor="text1"/>
          <w:sz w:val="32"/>
          <w:szCs w:val="32"/>
          <w:lang w:eastAsia="zh-Hans"/>
          <w14:textFill>
            <w14:solidFill>
              <w14:schemeClr w14:val="tx1"/>
            </w14:solidFill>
          </w14:textFill>
        </w:rPr>
        <w:t>，绩效目标</w:t>
      </w:r>
      <w:r>
        <w:rPr>
          <w:rFonts w:hint="eastAsia" w:ascii="仿宋_GB2312" w:hAnsi="仿宋_GB2312" w:eastAsia="仿宋_GB2312" w:cs="仿宋_GB2312"/>
          <w:color w:val="000000" w:themeColor="text1"/>
          <w:sz w:val="32"/>
          <w:szCs w:val="32"/>
          <w14:textFill>
            <w14:solidFill>
              <w14:schemeClr w14:val="tx1"/>
            </w14:solidFill>
          </w14:textFill>
        </w:rPr>
        <w:t>依据充分，符合客观实际，能反映和考核项目绩效目标与项目实施的相符情况，依据绩效目标设定的绩效指标清晰、细化、可衡量，能反映和考核项目绩效目标的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（2）绩效指标明确性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项目设置了明确的预期产出效益和效果，将绩效目标细化分解为具体的绩效指标，绩效目标与项目目标任务数相对应，绩效目标设定的绩效指标清晰、细化、可衡量。</w:t>
      </w:r>
    </w:p>
    <w:p>
      <w:pPr>
        <w:pStyle w:val="18"/>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3.资金投入</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（1）预算编制科学性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预算编制经过科学论证，提供充分的测算依据佐证资料，预算内容与项目内容相匹配。项目投资额与工作任务相匹配。</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（2）资金分配合理性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资金分配额度与项目单位实际工作内容相适应，资金分配额度合理，资金分配依据充分。</w:t>
      </w:r>
    </w:p>
    <w:p>
      <w:pPr>
        <w:pStyle w:val="2"/>
        <w:numPr>
          <w:ilvl w:val="0"/>
          <w:numId w:val="5"/>
        </w:numPr>
        <w:spacing w:before="0" w:after="0" w:line="560" w:lineRule="exact"/>
        <w:ind w:firstLine="643"/>
        <w:jc w:val="both"/>
        <w:rPr>
          <w:rFonts w:hint="eastAsia" w:ascii="楷体" w:hAnsi="楷体" w:eastAsia="楷体" w:cs="楷体"/>
          <w:color w:val="000000" w:themeColor="text1"/>
          <w14:textFill>
            <w14:solidFill>
              <w14:schemeClr w14:val="tx1"/>
            </w14:solidFill>
          </w14:textFill>
        </w:rPr>
      </w:pPr>
      <w:r>
        <w:rPr>
          <w:rFonts w:hint="eastAsia" w:ascii="楷体" w:hAnsi="楷体" w:eastAsia="楷体" w:cs="楷体"/>
          <w:color w:val="000000" w:themeColor="text1"/>
          <w14:textFill>
            <w14:solidFill>
              <w14:schemeClr w14:val="tx1"/>
            </w14:solidFill>
          </w14:textFill>
        </w:rPr>
        <w:t>项目过程情况</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项目过程类指标包括资金管理和组织实施两方面的内容，由5个三级指标构成，权重分值为20分，实际得分19.99分，得分率为99.95%。</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1.资金管理</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（1）资金到位率</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本项目总投资152.45万元，财政资金及时足额到位，到位率100%，预算资金按计划进度执行。</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（2）预算执行率</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预算编制较为详细，项目资金支出总体能够按照预算执行，预算资金支出152.26万元，预算执行率为99.87%。</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（3）资金使用合规性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spacing w:line="560" w:lineRule="exact"/>
        <w:ind w:firstLine="640"/>
        <w:rPr>
          <w:rFonts w:hint="eastAsia" w:ascii="仿宋_GB2312" w:hAnsi="仿宋_GB2312" w:eastAsia="仿宋_GB2312" w:cs="仿宋_GB2312"/>
          <w:b/>
          <w:bCs/>
          <w:color w:val="000000" w:themeColor="text1"/>
          <w:sz w:val="32"/>
          <w:szCs w:val="32"/>
          <w14:textFill>
            <w14:solidFill>
              <w14:schemeClr w14:val="tx1"/>
            </w14:solidFill>
          </w14:textFill>
        </w:rPr>
      </w:pPr>
      <w:r>
        <w:rPr>
          <w:rFonts w:hint="eastAsia" w:ascii="仿宋_GB2312" w:hAnsi="仿宋_GB2312" w:eastAsia="仿宋_GB2312" w:cs="仿宋_GB2312"/>
          <w:b/>
          <w:bCs/>
          <w:color w:val="000000" w:themeColor="text1"/>
          <w:sz w:val="32"/>
          <w:szCs w:val="32"/>
          <w14:textFill>
            <w14:solidFill>
              <w14:schemeClr w14:val="tx1"/>
            </w14:solidFill>
          </w14:textFill>
        </w:rPr>
        <w:t>2.组织实施</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（1）管理制度健全性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（2）制度执行有效性</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5"/>
        </w:numPr>
        <w:spacing w:line="560" w:lineRule="exact"/>
        <w:ind w:firstLine="643" w:firstLineChars="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项目产出</w:t>
      </w:r>
      <w:r>
        <w:rPr>
          <w:rFonts w:hint="eastAsia" w:eastAsia="楷体_GB2312"/>
          <w:b/>
          <w:bCs/>
          <w:color w:val="000000" w:themeColor="text1"/>
          <w:sz w:val="32"/>
          <w:szCs w:val="32"/>
          <w14:textFill>
            <w14:solidFill>
              <w14:schemeClr w14:val="tx1"/>
            </w14:solidFill>
          </w14:textFill>
        </w:rPr>
        <w:t>情况</w:t>
      </w:r>
    </w:p>
    <w:p>
      <w:pPr>
        <w:spacing w:line="600" w:lineRule="exact"/>
        <w:ind w:firstLine="640" w:firstLineChars="200"/>
        <w:outlineLvl w:val="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项目产出类指标包括产出数量、产出质量、产出时效、产出成本四方面的内容，由5个三级指标构成，权重分为40分，实际得分39.9分，得分率为99.75%。具体产出指标完成情况如下：</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1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①</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数量指标：</w:t>
      </w:r>
    </w:p>
    <w:p>
      <w:pPr>
        <w:spacing w:line="600" w:lineRule="exact"/>
        <w:ind w:firstLine="640" w:firstLineChars="200"/>
        <w:outlineLvl w:val="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指标1：党报党刊征订份量（份），指标值：=5490份，实际完成值：=5490份，指标完成率100%。</w:t>
      </w:r>
    </w:p>
    <w:p>
      <w:pPr>
        <w:spacing w:line="600" w:lineRule="exact"/>
        <w:ind w:firstLine="640" w:firstLineChars="200"/>
        <w:outlineLvl w:val="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指标2：党报党刊种类，指标值：</w:t>
      </w:r>
      <w:r>
        <w:rPr>
          <w:rFonts w:hint="eastAsia" w:eastAsia="仿宋_GB2312"/>
          <w:color w:val="000000" w:themeColor="text1"/>
          <w:sz w:val="32"/>
          <w:szCs w:val="32"/>
          <w14:textFill>
            <w14:solidFill>
              <w14:schemeClr w14:val="tx1"/>
            </w14:solidFill>
          </w14:textFill>
        </w:rPr>
        <w:tab/>
      </w:r>
      <w:r>
        <w:rPr>
          <w:rFonts w:hint="eastAsia" w:eastAsia="仿宋_GB2312"/>
          <w:color w:val="000000" w:themeColor="text1"/>
          <w:sz w:val="32"/>
          <w:szCs w:val="32"/>
          <w14:textFill>
            <w14:solidFill>
              <w14:schemeClr w14:val="tx1"/>
            </w14:solidFill>
          </w14:textFill>
        </w:rPr>
        <w:t>&gt;=8种，实际完成值：=8种，指标完成率100%。</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2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②</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质量指标：</w:t>
      </w:r>
    </w:p>
    <w:p>
      <w:pPr>
        <w:spacing w:line="600" w:lineRule="exact"/>
        <w:ind w:firstLine="640" w:firstLineChars="200"/>
        <w:outlineLvl w:val="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指标1：党报党刊征订率，指标值：=100%，实际完成值：=100%，指标完成率100%。</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3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③</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时效指标：</w:t>
      </w:r>
    </w:p>
    <w:p>
      <w:pPr>
        <w:spacing w:line="600" w:lineRule="exact"/>
        <w:ind w:firstLine="640" w:firstLineChars="200"/>
        <w:outlineLvl w:val="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指标1：党报党刊征订完成及时率，指标值：=100%，实际完成值：=100%，指标完成率100%。</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fldChar w:fldCharType="begin"/>
      </w:r>
      <w:r>
        <w:rPr>
          <w:rFonts w:hint="eastAsia" w:ascii="仿宋_GB2312" w:hAnsi="仿宋_GB2312" w:eastAsia="仿宋_GB2312" w:cs="仿宋_GB2312"/>
          <w:color w:val="000000" w:themeColor="text1"/>
          <w:sz w:val="32"/>
          <w:szCs w:val="32"/>
          <w14:textFill>
            <w14:solidFill>
              <w14:schemeClr w14:val="tx1"/>
            </w14:solidFill>
          </w14:textFill>
        </w:rPr>
        <w:instrText xml:space="preserve"> = 4 \* GB3 </w:instrText>
      </w:r>
      <w:r>
        <w:rPr>
          <w:rFonts w:hint="eastAsia" w:ascii="仿宋_GB2312" w:hAnsi="仿宋_GB2312" w:eastAsia="仿宋_GB2312" w:cs="仿宋_GB2312"/>
          <w:color w:val="000000" w:themeColor="text1"/>
          <w:sz w:val="32"/>
          <w:szCs w:val="32"/>
          <w14:textFill>
            <w14:solidFill>
              <w14:schemeClr w14:val="tx1"/>
            </w14:solidFill>
          </w14:textFill>
        </w:rPr>
        <w:fldChar w:fldCharType="separate"/>
      </w:r>
      <w:r>
        <w:rPr>
          <w:rFonts w:hint="eastAsia" w:ascii="仿宋_GB2312" w:hAnsi="仿宋_GB2312" w:eastAsia="仿宋_GB2312" w:cs="仿宋_GB2312"/>
          <w:color w:val="000000" w:themeColor="text1"/>
          <w:sz w:val="32"/>
          <w:szCs w:val="32"/>
          <w14:textFill>
            <w14:solidFill>
              <w14:schemeClr w14:val="tx1"/>
            </w14:solidFill>
          </w14:textFill>
        </w:rPr>
        <w:t>④</w:t>
      </w:r>
      <w:r>
        <w:rPr>
          <w:rFonts w:hint="eastAsia" w:ascii="仿宋_GB2312" w:hAnsi="仿宋_GB2312" w:eastAsia="仿宋_GB2312" w:cs="仿宋_GB2312"/>
          <w:color w:val="000000" w:themeColor="text1"/>
          <w:sz w:val="32"/>
          <w:szCs w:val="32"/>
          <w14:textFill>
            <w14:solidFill>
              <w14:schemeClr w14:val="tx1"/>
            </w14:solidFill>
          </w14:textFill>
        </w:rPr>
        <w:fldChar w:fldCharType="end"/>
      </w:r>
      <w:r>
        <w:rPr>
          <w:rFonts w:hint="eastAsia" w:ascii="仿宋_GB2312" w:hAnsi="仿宋_GB2312" w:eastAsia="仿宋_GB2312" w:cs="仿宋_GB2312"/>
          <w:color w:val="000000" w:themeColor="text1"/>
          <w:sz w:val="32"/>
          <w:szCs w:val="32"/>
          <w14:textFill>
            <w14:solidFill>
              <w14:schemeClr w14:val="tx1"/>
            </w14:solidFill>
          </w14:textFill>
        </w:rPr>
        <w:t>成本指标：</w:t>
      </w:r>
    </w:p>
    <w:p>
      <w:pPr>
        <w:spacing w:line="600" w:lineRule="exact"/>
        <w:ind w:firstLine="640" w:firstLineChars="200"/>
        <w:outlineLvl w:val="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指标1：项目预算控制率，指标值：=100%，实际完成值：=99.87%，指标完成率99.87%。偏差原因：预算为152.45万元，实际支付152.26万元，有限传输局由单位经费完成支付，故差异率0.13%。</w:t>
      </w:r>
    </w:p>
    <w:p>
      <w:pPr>
        <w:pStyle w:val="11"/>
        <w:numPr>
          <w:ilvl w:val="0"/>
          <w:numId w:val="5"/>
        </w:numPr>
        <w:spacing w:line="560" w:lineRule="exact"/>
        <w:ind w:firstLine="643" w:firstLineChars="0"/>
        <w:rPr>
          <w:rFonts w:eastAsia="楷体_GB2312"/>
          <w:b/>
          <w:bCs/>
          <w:color w:val="000000" w:themeColor="text1"/>
          <w:sz w:val="32"/>
          <w:szCs w:val="32"/>
          <w14:textFill>
            <w14:solidFill>
              <w14:schemeClr w14:val="tx1"/>
            </w14:solidFill>
          </w14:textFill>
        </w:rPr>
      </w:pPr>
      <w:r>
        <w:rPr>
          <w:rFonts w:hint="eastAsia" w:eastAsia="楷体_GB2312"/>
          <w:b/>
          <w:bCs/>
          <w:color w:val="000000" w:themeColor="text1"/>
          <w:sz w:val="32"/>
          <w:szCs w:val="32"/>
          <w14:textFill>
            <w14:solidFill>
              <w14:schemeClr w14:val="tx1"/>
            </w14:solidFill>
          </w14:textFill>
        </w:rPr>
        <w:t>项目效益情况</w:t>
      </w:r>
    </w:p>
    <w:p>
      <w:pPr>
        <w:spacing w:line="600" w:lineRule="exact"/>
        <w:ind w:firstLine="640" w:firstLineChars="200"/>
        <w:outlineLvl w:val="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项目效益类指标包括项目实施效益和满意度两方面的内容，由2个三级指标构成，权重分为20分，实际得分20分，得分率为100%。具体效益指标及满意度指标完成情况如下：</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1.实施效益</w:t>
      </w:r>
    </w:p>
    <w:p>
      <w:pPr>
        <w:spacing w:line="600" w:lineRule="exact"/>
        <w:ind w:firstLine="640" w:firstLineChars="200"/>
        <w:outlineLvl w:val="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②社会效益指标：增强“四个意识”，坚定“四个自信”，指标值：显著提高，实际完成值：显著提高。指标完成率100%。</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2.满意度</w:t>
      </w:r>
    </w:p>
    <w:p>
      <w:pPr>
        <w:spacing w:line="600" w:lineRule="exact"/>
        <w:ind w:firstLine="640" w:firstLineChars="200"/>
        <w:outlineLvl w:val="0"/>
        <w:rPr>
          <w:rFonts w:eastAsia="仿宋_GB2312"/>
          <w:color w:val="000000" w:themeColor="text1"/>
          <w:sz w:val="32"/>
          <w:szCs w:val="32"/>
          <w14:textFill>
            <w14:solidFill>
              <w14:schemeClr w14:val="tx1"/>
            </w14:solidFill>
          </w14:textFill>
        </w:rPr>
      </w:pPr>
      <w:r>
        <w:rPr>
          <w:rFonts w:hint="eastAsia" w:eastAsia="仿宋_GB2312"/>
          <w:color w:val="000000" w:themeColor="text1"/>
          <w:sz w:val="32"/>
          <w:szCs w:val="32"/>
          <w14:textFill>
            <w14:solidFill>
              <w14:schemeClr w14:val="tx1"/>
            </w14:solidFill>
          </w14:textFill>
        </w:rPr>
        <w:t>满意度指标：单位满意度（%）指标值：≥95%。实际完成值：=95%。指标完成率100%。</w:t>
      </w:r>
    </w:p>
    <w:p>
      <w:pPr>
        <w:spacing w:line="600" w:lineRule="exact"/>
        <w:ind w:firstLine="640" w:firstLineChars="200"/>
        <w:outlineLvl w:val="0"/>
        <w:rPr>
          <w:rFonts w:eastAsia="黑体"/>
          <w:color w:val="000000" w:themeColor="text1"/>
          <w:sz w:val="32"/>
          <w:szCs w:val="32"/>
          <w:lang w:eastAsia="zh-Hans"/>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五、预算执行进度与绩效指标总体完成率偏差</w:t>
      </w:r>
    </w:p>
    <w:p>
      <w:pPr>
        <w:pStyle w:val="18"/>
        <w:spacing w:line="560" w:lineRule="exact"/>
        <w:ind w:firstLine="640"/>
        <w:rPr>
          <w:rFonts w:eastAsia="仿宋_GB2312"/>
          <w:color w:val="000000" w:themeColor="text1"/>
          <w:kern w:val="2"/>
          <w:sz w:val="32"/>
          <w:szCs w:val="32"/>
          <w14:textFill>
            <w14:solidFill>
              <w14:schemeClr w14:val="tx1"/>
            </w14:solidFill>
          </w14:textFill>
        </w:rPr>
      </w:pPr>
      <w:r>
        <w:rPr>
          <w:rFonts w:hint="eastAsia" w:eastAsia="仿宋_GB2312"/>
          <w:color w:val="000000" w:themeColor="text1"/>
          <w:kern w:val="2"/>
          <w:sz w:val="32"/>
          <w:szCs w:val="32"/>
          <w14:textFill>
            <w14:solidFill>
              <w14:schemeClr w14:val="tx1"/>
            </w14:solidFill>
          </w14:textFill>
        </w:rPr>
        <w:t>关于做好2024年度党报党刊发行工作严格规范报刊发行项目年初预算152.45万元，全年预算152.45万元，实际支出152.26万元，预算执行率为99.87%，项目绩效指标总体完成率为99.98%，</w:t>
      </w:r>
      <w:r>
        <w:rPr>
          <w:rFonts w:hint="eastAsia" w:eastAsia="仿宋_GB2312"/>
          <w:color w:val="000000" w:themeColor="text1"/>
          <w:kern w:val="2"/>
          <w:sz w:val="32"/>
          <w:szCs w:val="32"/>
          <w:lang w:eastAsia="zh-Hans"/>
          <w14:textFill>
            <w14:solidFill>
              <w14:schemeClr w14:val="tx1"/>
            </w14:solidFill>
          </w14:textFill>
        </w:rPr>
        <w:t>总体</w:t>
      </w:r>
      <w:r>
        <w:rPr>
          <w:rFonts w:hint="eastAsia" w:eastAsia="仿宋_GB2312"/>
          <w:color w:val="000000" w:themeColor="text1"/>
          <w:kern w:val="2"/>
          <w:sz w:val="32"/>
          <w:szCs w:val="32"/>
          <w14:textFill>
            <w14:solidFill>
              <w14:schemeClr w14:val="tx1"/>
            </w14:solidFill>
          </w14:textFill>
        </w:rPr>
        <w:t>偏差率为0.11%，</w:t>
      </w:r>
      <w:r>
        <w:rPr>
          <w:rFonts w:hint="eastAsia" w:eastAsia="仿宋_GB2312"/>
          <w:color w:val="000000" w:themeColor="text1"/>
          <w:kern w:val="2"/>
          <w:sz w:val="32"/>
          <w:szCs w:val="32"/>
          <w:lang w:eastAsia="zh-Hans"/>
          <w14:textFill>
            <w14:solidFill>
              <w14:schemeClr w14:val="tx1"/>
            </w14:solidFill>
          </w14:textFill>
        </w:rPr>
        <w:t>偏差</w:t>
      </w:r>
      <w:r>
        <w:rPr>
          <w:rFonts w:hint="eastAsia" w:eastAsia="仿宋_GB2312"/>
          <w:color w:val="000000" w:themeColor="text1"/>
          <w:kern w:val="2"/>
          <w:sz w:val="32"/>
          <w:szCs w:val="32"/>
          <w14:textFill>
            <w14:solidFill>
              <w14:schemeClr w14:val="tx1"/>
            </w14:solidFill>
          </w14:textFill>
        </w:rPr>
        <w:t>原因：预算为152.45万元，实际支付152.26万元，有限传输局由单位经费完成支付，故差异率0.11%，</w:t>
      </w:r>
      <w:r>
        <w:rPr>
          <w:rFonts w:hint="eastAsia" w:eastAsia="仿宋_GB2312"/>
          <w:color w:val="000000" w:themeColor="text1"/>
          <w:kern w:val="2"/>
          <w:sz w:val="32"/>
          <w:szCs w:val="32"/>
          <w:lang w:eastAsia="zh-Hans"/>
          <w14:textFill>
            <w14:solidFill>
              <w14:schemeClr w14:val="tx1"/>
            </w14:solidFill>
          </w14:textFill>
        </w:rPr>
        <w:t>改进</w:t>
      </w:r>
      <w:r>
        <w:rPr>
          <w:rFonts w:hint="eastAsia" w:eastAsia="仿宋_GB2312"/>
          <w:color w:val="000000" w:themeColor="text1"/>
          <w:kern w:val="2"/>
          <w:sz w:val="32"/>
          <w:szCs w:val="32"/>
          <w14:textFill>
            <w14:solidFill>
              <w14:schemeClr w14:val="tx1"/>
            </w14:solidFill>
          </w14:textFill>
        </w:rPr>
        <w:t>措施：进一步加强资金预算，提高预算执行率。</w:t>
      </w:r>
    </w:p>
    <w:p>
      <w:pPr>
        <w:spacing w:line="560" w:lineRule="exact"/>
        <w:ind w:firstLine="640" w:firstLineChars="200"/>
        <w:rPr>
          <w:rStyle w:val="17"/>
          <w:rFonts w:ascii="Times New Roman" w:hAnsi="Times New Roman" w:cs="Times New Roman"/>
          <w:color w:val="000000" w:themeColor="text1"/>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六</w:t>
      </w:r>
      <w:r>
        <w:rPr>
          <w:rFonts w:eastAsia="黑体"/>
          <w:color w:val="000000" w:themeColor="text1"/>
          <w:sz w:val="32"/>
          <w:szCs w:val="32"/>
          <w14:textFill>
            <w14:solidFill>
              <w14:schemeClr w14:val="tx1"/>
            </w14:solidFill>
          </w14:textFill>
        </w:rPr>
        <w:t>、主要经验及做法、存在的问题及原因分析</w:t>
      </w:r>
    </w:p>
    <w:p>
      <w:pPr>
        <w:spacing w:line="560" w:lineRule="exact"/>
        <w:ind w:firstLine="627" w:firstLineChars="200"/>
        <w:rPr>
          <w:rFonts w:eastAsia="楷体"/>
          <w:b/>
          <w:color w:val="000000" w:themeColor="text1"/>
          <w:spacing w:val="-4"/>
          <w:sz w:val="32"/>
          <w:szCs w:val="32"/>
          <w14:textFill>
            <w14:solidFill>
              <w14:schemeClr w14:val="tx1"/>
            </w14:solidFill>
          </w14:textFill>
        </w:rPr>
      </w:pPr>
      <w:r>
        <w:rPr>
          <w:rFonts w:eastAsia="楷体"/>
          <w:b/>
          <w:color w:val="000000" w:themeColor="text1"/>
          <w:spacing w:val="-4"/>
          <w:sz w:val="32"/>
          <w:szCs w:val="32"/>
          <w14:textFill>
            <w14:solidFill>
              <w14:schemeClr w14:val="tx1"/>
            </w14:solidFill>
          </w14:textFill>
        </w:rPr>
        <w:t>（一）主要经验及做法</w:t>
      </w:r>
    </w:p>
    <w:p>
      <w:pPr>
        <w:spacing w:line="560" w:lineRule="exact"/>
        <w:ind w:firstLine="640" w:firstLineChars="200"/>
        <w:rPr>
          <w:rFonts w:eastAsia="仿宋_GB2312"/>
          <w:color w:val="000000" w:themeColor="text1"/>
          <w:sz w:val="32"/>
          <w:szCs w:val="32"/>
          <w14:textFill>
            <w14:solidFill>
              <w14:schemeClr w14:val="tx1"/>
            </w14:solidFill>
          </w14:textFill>
        </w:rPr>
      </w:pPr>
      <w:r>
        <w:rPr>
          <w:rFonts w:eastAsia="仿宋_GB2312"/>
          <w:color w:val="000000" w:themeColor="text1"/>
          <w:sz w:val="32"/>
          <w:szCs w:val="32"/>
          <w14:textFill>
            <w14:solidFill>
              <w14:schemeClr w14:val="tx1"/>
            </w14:solidFill>
          </w14:textFill>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ascii="Times New Roman" w:hAnsi="Times New Roman" w:eastAsia="仿宋_GB2312"/>
          <w:b w:val="0"/>
          <w:bCs w:val="0"/>
          <w:color w:val="000000" w:themeColor="text1"/>
          <w:kern w:val="2"/>
          <w14:textFill>
            <w14:solidFill>
              <w14:schemeClr w14:val="tx1"/>
            </w14:solidFill>
          </w14:textFill>
        </w:rPr>
      </w:pPr>
      <w:r>
        <w:rPr>
          <w:rFonts w:ascii="Times New Roman" w:hAnsi="Times New Roman" w:eastAsia="仿宋_GB2312"/>
          <w:b w:val="0"/>
          <w:bCs w:val="0"/>
          <w:color w:val="000000" w:themeColor="text1"/>
          <w:kern w:val="2"/>
          <w14:textFill>
            <w14:solidFill>
              <w14:schemeClr w14:val="tx1"/>
            </w14:solidFill>
          </w14:textFill>
        </w:rPr>
        <w:t>严格坚持先做事、后验收、再拨付的原则，</w:t>
      </w:r>
      <w:r>
        <w:rPr>
          <w:rFonts w:hint="eastAsia" w:ascii="Times New Roman" w:hAnsi="Times New Roman" w:eastAsia="仿宋_GB2312"/>
          <w:b w:val="0"/>
          <w:bCs w:val="0"/>
          <w:color w:val="000000" w:themeColor="text1"/>
          <w:kern w:val="2"/>
          <w14:textFill>
            <w14:solidFill>
              <w14:schemeClr w14:val="tx1"/>
            </w14:solidFill>
          </w14:textFill>
        </w:rPr>
        <w:t>杜绝</w:t>
      </w:r>
      <w:r>
        <w:rPr>
          <w:rFonts w:ascii="Times New Roman" w:hAnsi="Times New Roman" w:eastAsia="仿宋_GB2312"/>
          <w:b w:val="0"/>
          <w:bCs w:val="0"/>
          <w:color w:val="000000" w:themeColor="text1"/>
          <w:kern w:val="2"/>
          <w14:textFill>
            <w14:solidFill>
              <w14:schemeClr w14:val="tx1"/>
            </w14:solidFill>
          </w14:textFill>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eastAsia="楷体_GB2312"/>
          <w:b/>
          <w:bCs/>
          <w:color w:val="000000" w:themeColor="text1"/>
          <w:sz w:val="32"/>
          <w:szCs w:val="32"/>
          <w14:textFill>
            <w14:solidFill>
              <w14:schemeClr w14:val="tx1"/>
            </w14:solidFill>
          </w14:textFill>
        </w:rPr>
      </w:pPr>
      <w:r>
        <w:rPr>
          <w:rFonts w:eastAsia="楷体_GB2312"/>
          <w:b/>
          <w:bCs/>
          <w:color w:val="000000" w:themeColor="text1"/>
          <w:sz w:val="32"/>
          <w:szCs w:val="32"/>
          <w14:textFill>
            <w14:solidFill>
              <w14:schemeClr w14:val="tx1"/>
            </w14:solidFill>
          </w14:textFill>
        </w:rPr>
        <w:t>存在的问题及原因分析</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2.财务人员培训学习管理有待加强。</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奇台县委宣传部单位建立健全了预算管理规章制度，各部门严格按预算编制的原则和要求做好当年预算编制工作，在预算绩效管理工作中，做到合理安排各项资金，重点保障基本支出，按轻重缓急顺序原则，优先安排了奇台县委宣传部单位事业发展中关系民生与稳定的项目，切实优化资源配置，提高了资金使用的效率和效果。</w:t>
      </w:r>
    </w:p>
    <w:p>
      <w:pPr>
        <w:spacing w:line="560" w:lineRule="exact"/>
        <w:ind w:firstLine="640" w:firstLineChars="200"/>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七、</w:t>
      </w:r>
      <w:r>
        <w:rPr>
          <w:rFonts w:eastAsia="黑体"/>
          <w:color w:val="000000" w:themeColor="text1"/>
          <w:sz w:val="32"/>
          <w:szCs w:val="32"/>
          <w14:textFill>
            <w14:solidFill>
              <w14:schemeClr w14:val="tx1"/>
            </w14:solidFill>
          </w14:textFill>
        </w:rPr>
        <w:t>有关建议</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2.专门设定对绩效工作人员定职、定岗、定责等相关制度措施，进一步提升我单位绩效管理工作业务水平，扎实做好绩效管理工作。</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600" w:lineRule="exact"/>
        <w:ind w:firstLine="640" w:firstLineChars="200"/>
        <w:outlineLvl w:val="0"/>
        <w:rPr>
          <w:color w:val="000000" w:themeColor="text1"/>
          <w:sz w:val="22"/>
          <w:szCs w:val="28"/>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000000" w:themeColor="text1"/>
          <w:sz w:val="36"/>
          <w:szCs w:val="32"/>
          <w14:textFill>
            <w14:solidFill>
              <w14:schemeClr w14:val="tx1"/>
            </w14:solidFill>
          </w14:textFill>
        </w:rPr>
        <w:t>。</w:t>
      </w:r>
    </w:p>
    <w:p>
      <w:pPr>
        <w:spacing w:line="600" w:lineRule="exact"/>
        <w:ind w:firstLine="640" w:firstLineChars="200"/>
        <w:outlineLvl w:val="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color w:val="000000" w:themeColor="text1"/>
          <w:sz w:val="32"/>
          <w:szCs w:val="32"/>
          <w14:textFill>
            <w14:solidFill>
              <w14:schemeClr w14:val="tx1"/>
            </w14:solidFill>
          </w14:textFill>
        </w:rPr>
      </w:pPr>
      <w:r>
        <w:rPr>
          <w:rFonts w:hint="eastAsia" w:eastAsia="黑体"/>
          <w:color w:val="000000" w:themeColor="text1"/>
          <w:sz w:val="32"/>
          <w:szCs w:val="32"/>
          <w:lang w:eastAsia="zh-Hans"/>
          <w14:textFill>
            <w14:solidFill>
              <w14:schemeClr w14:val="tx1"/>
            </w14:solidFill>
          </w14:textFill>
        </w:rPr>
        <w:t>八、</w:t>
      </w:r>
      <w:r>
        <w:rPr>
          <w:rFonts w:eastAsia="黑体"/>
          <w:color w:val="000000" w:themeColor="text1"/>
          <w:sz w:val="32"/>
          <w:szCs w:val="32"/>
          <w14:textFill>
            <w14:solidFill>
              <w14:schemeClr w14:val="tx1"/>
            </w14:solidFill>
          </w14:textFill>
        </w:rPr>
        <w:t>其他需要说</w:t>
      </w:r>
      <w:bookmarkStart w:id="6" w:name="page8"/>
      <w:bookmarkEnd w:id="6"/>
      <w:r>
        <w:rPr>
          <w:rFonts w:eastAsia="黑体"/>
          <w:color w:val="000000" w:themeColor="text1"/>
          <w:sz w:val="32"/>
          <w:szCs w:val="32"/>
          <w14:textFill>
            <w14:solidFill>
              <w14:schemeClr w14:val="tx1"/>
            </w14:solidFill>
          </w14:textFill>
        </w:rPr>
        <w:t>明的问题</w:t>
      </w:r>
    </w:p>
    <w:p>
      <w:pPr>
        <w:pStyle w:val="12"/>
        <w:spacing w:after="0" w:line="560" w:lineRule="exact"/>
        <w:ind w:left="0" w:leftChars="0" w:firstLine="640"/>
        <w:rPr>
          <w:rFonts w:hint="eastAsia"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lang w:eastAsia="zh-Hans"/>
          <w14:textFill>
            <w14:solidFill>
              <w14:schemeClr w14:val="tx1"/>
            </w14:solidFill>
          </w14:textFill>
        </w:rPr>
        <w:t>本项目无其他需说明的问题。</w:t>
      </w:r>
    </w:p>
    <w:p>
      <w:pPr>
        <w:pStyle w:val="12"/>
        <w:spacing w:after="0" w:line="560" w:lineRule="exact"/>
        <w:ind w:left="0" w:leftChars="0" w:firstLine="640"/>
        <w:rPr>
          <w:rFonts w:hint="eastAsia" w:ascii="仿宋_GB2312" w:hAnsi="仿宋_GB2312" w:eastAsia="仿宋_GB2312" w:cs="仿宋_GB2312"/>
          <w:color w:val="000000" w:themeColor="text1"/>
          <w:sz w:val="32"/>
          <w:szCs w:val="32"/>
          <w14:textFill>
            <w14:solidFill>
              <w14:schemeClr w14:val="tx1"/>
            </w14:solidFill>
          </w14:textFill>
        </w:rPr>
      </w:pPr>
    </w:p>
    <w:p>
      <w:pPr>
        <w:rPr>
          <w:color w:val="000000" w:themeColor="text1"/>
          <w14:textFill>
            <w14:solidFill>
              <w14:schemeClr w14:val="tx1"/>
            </w14:solidFill>
          </w14:textFill>
        </w:rPr>
        <w:sectPr>
          <w:pgSz w:w="11906" w:h="16838"/>
          <w:pgMar w:top="1440" w:right="1558" w:bottom="1440" w:left="1800" w:header="851" w:footer="992" w:gutter="0"/>
          <w:cols w:space="425" w:num="1"/>
          <w:docGrid w:type="lines" w:linePitch="312" w:charSpace="0"/>
        </w:sectPr>
      </w:pPr>
    </w:p>
    <w:tbl>
      <w:tblPr>
        <w:tblStyle w:val="13"/>
        <w:tblW w:w="13725" w:type="dxa"/>
        <w:tblInd w:w="93" w:type="dxa"/>
        <w:tblLayout w:type="fixed"/>
        <w:tblCellMar>
          <w:top w:w="0" w:type="dxa"/>
          <w:left w:w="108" w:type="dxa"/>
          <w:bottom w:w="0" w:type="dxa"/>
          <w:right w:w="108" w:type="dxa"/>
        </w:tblCellMar>
      </w:tblPr>
      <w:tblGrid>
        <w:gridCol w:w="976"/>
        <w:gridCol w:w="976"/>
        <w:gridCol w:w="998"/>
        <w:gridCol w:w="1494"/>
        <w:gridCol w:w="1417"/>
        <w:gridCol w:w="705"/>
        <w:gridCol w:w="1388"/>
        <w:gridCol w:w="1269"/>
        <w:gridCol w:w="759"/>
        <w:gridCol w:w="714"/>
        <w:gridCol w:w="778"/>
        <w:gridCol w:w="599"/>
        <w:gridCol w:w="645"/>
        <w:gridCol w:w="1007"/>
      </w:tblGrid>
      <w:tr>
        <w:tblPrEx>
          <w:tblLayout w:type="fixed"/>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pPr>
              <w:widowControl/>
              <w:jc w:val="center"/>
              <w:textAlignment w:val="center"/>
              <w:rPr>
                <w:rFonts w:hint="eastAsia" w:ascii="宋体" w:hAnsi="宋体" w:cs="宋体"/>
                <w:b/>
                <w:bCs/>
                <w:color w:val="000000" w:themeColor="text1"/>
                <w:sz w:val="32"/>
                <w:szCs w:val="32"/>
                <w14:textFill>
                  <w14:solidFill>
                    <w14:schemeClr w14:val="tx1"/>
                  </w14:solidFill>
                </w14:textFill>
              </w:rPr>
            </w:pPr>
            <w:r>
              <w:rPr>
                <w:rFonts w:hint="eastAsia" w:ascii="宋体" w:hAnsi="宋体" w:cs="宋体"/>
                <w:b/>
                <w:bCs/>
                <w:color w:val="000000" w:themeColor="text1"/>
                <w:kern w:val="0"/>
                <w:sz w:val="32"/>
                <w:szCs w:val="32"/>
                <w:lang w:bidi="ar"/>
                <w14:textFill>
                  <w14:solidFill>
                    <w14:schemeClr w14:val="tx1"/>
                  </w14:solidFill>
                </w14:textFill>
              </w:rPr>
              <w:t>项目支出绩效自评表</w:t>
            </w:r>
          </w:p>
        </w:tc>
      </w:tr>
      <w:tr>
        <w:tblPrEx>
          <w:tblLayout w:type="fixed"/>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(2023年度)</w:t>
            </w:r>
          </w:p>
        </w:tc>
      </w:tr>
      <w:tr>
        <w:tblPrEx>
          <w:tblLayout w:type="fixed"/>
          <w:tblCellMar>
            <w:top w:w="0" w:type="dxa"/>
            <w:left w:w="108" w:type="dxa"/>
            <w:bottom w:w="0" w:type="dxa"/>
            <w:right w:w="108" w:type="dxa"/>
          </w:tblCellMar>
        </w:tblPrEx>
        <w:trPr>
          <w:trHeight w:val="270" w:hRule="atLeast"/>
        </w:trPr>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项目名称</w:t>
            </w:r>
          </w:p>
        </w:tc>
        <w:tc>
          <w:tcPr>
            <w:tcW w:w="11773"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做好2024年度党报党刊发行工作严格规范报刊发行秩序</w:t>
            </w:r>
          </w:p>
        </w:tc>
      </w:tr>
      <w:tr>
        <w:tblPrEx>
          <w:tblLayout w:type="fixed"/>
          <w:tblCellMar>
            <w:top w:w="0" w:type="dxa"/>
            <w:left w:w="108" w:type="dxa"/>
            <w:bottom w:w="0" w:type="dxa"/>
            <w:right w:w="108" w:type="dxa"/>
          </w:tblCellMar>
        </w:tblPrEx>
        <w:trPr>
          <w:trHeight w:val="270" w:hRule="atLeast"/>
        </w:trPr>
        <w:tc>
          <w:tcPr>
            <w:tcW w:w="19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主管部门</w:t>
            </w:r>
          </w:p>
        </w:tc>
        <w:tc>
          <w:tcPr>
            <w:tcW w:w="60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中国共产党奇台县委员会宣传部</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实施单位</w:t>
            </w:r>
          </w:p>
        </w:tc>
        <w:tc>
          <w:tcPr>
            <w:tcW w:w="374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中国共产党奇台县委员会宣传部</w:t>
            </w:r>
          </w:p>
        </w:tc>
      </w:tr>
      <w:tr>
        <w:tblPrEx>
          <w:tblLayout w:type="fixed"/>
          <w:tblCellMar>
            <w:top w:w="0" w:type="dxa"/>
            <w:left w:w="108" w:type="dxa"/>
            <w:bottom w:w="0" w:type="dxa"/>
            <w:right w:w="108" w:type="dxa"/>
          </w:tblCellMar>
        </w:tblPrEx>
        <w:trPr>
          <w:trHeight w:val="480" w:hRule="atLeast"/>
        </w:trPr>
        <w:tc>
          <w:tcPr>
            <w:tcW w:w="19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项目资金</w:t>
            </w:r>
            <w:r>
              <w:rPr>
                <w:rFonts w:hint="eastAsia" w:ascii="宋体" w:hAnsi="宋体" w:cs="宋体"/>
                <w:color w:val="000000" w:themeColor="text1"/>
                <w:kern w:val="0"/>
                <w:sz w:val="20"/>
                <w:szCs w:val="20"/>
                <w:lang w:bidi="ar"/>
                <w14:textFill>
                  <w14:solidFill>
                    <w14:schemeClr w14:val="tx1"/>
                  </w14:solidFill>
                </w14:textFill>
              </w:rPr>
              <w:br w:type="textWrapping"/>
            </w:r>
            <w:r>
              <w:rPr>
                <w:rFonts w:hint="eastAsia" w:ascii="宋体" w:hAnsi="宋体" w:cs="宋体"/>
                <w:color w:val="000000" w:themeColor="text1"/>
                <w:kern w:val="0"/>
                <w:sz w:val="20"/>
                <w:szCs w:val="20"/>
                <w:lang w:bidi="ar"/>
                <w14:textFill>
                  <w14:solidFill>
                    <w14:schemeClr w14:val="tx1"/>
                  </w14:solidFill>
                </w14:textFill>
              </w:rPr>
              <w:t>（万元）</w:t>
            </w:r>
          </w:p>
        </w:tc>
        <w:tc>
          <w:tcPr>
            <w:tcW w:w="2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年初预算数</w:t>
            </w:r>
          </w:p>
        </w:tc>
        <w:tc>
          <w:tcPr>
            <w:tcW w:w="2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全年预算数</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全年执行数</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分值</w:t>
            </w:r>
          </w:p>
        </w:tc>
        <w:tc>
          <w:tcPr>
            <w:tcW w:w="1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执行率</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得分</w:t>
            </w:r>
          </w:p>
        </w:tc>
      </w:tr>
      <w:tr>
        <w:tblPrEx>
          <w:tblLayout w:type="fixed"/>
          <w:tblCellMar>
            <w:top w:w="0" w:type="dxa"/>
            <w:left w:w="108" w:type="dxa"/>
            <w:bottom w:w="0" w:type="dxa"/>
            <w:right w:w="108" w:type="dxa"/>
          </w:tblCellMar>
        </w:tblPrEx>
        <w:trPr>
          <w:trHeight w:val="440" w:hRule="atLeast"/>
        </w:trPr>
        <w:tc>
          <w:tcPr>
            <w:tcW w:w="19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年度资金总额</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152.45</w:t>
            </w:r>
          </w:p>
        </w:tc>
        <w:tc>
          <w:tcPr>
            <w:tcW w:w="2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152.45</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152.26</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99.88%</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9.99分</w:t>
            </w:r>
          </w:p>
        </w:tc>
      </w:tr>
      <w:tr>
        <w:tblPrEx>
          <w:tblLayout w:type="fixed"/>
          <w:tblCellMar>
            <w:top w:w="0" w:type="dxa"/>
            <w:left w:w="108" w:type="dxa"/>
            <w:bottom w:w="0" w:type="dxa"/>
            <w:right w:w="108" w:type="dxa"/>
          </w:tblCellMar>
        </w:tblPrEx>
        <w:trPr>
          <w:trHeight w:val="440" w:hRule="atLeast"/>
        </w:trPr>
        <w:tc>
          <w:tcPr>
            <w:tcW w:w="19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其中：当年财政拨款</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152.45</w:t>
            </w:r>
          </w:p>
        </w:tc>
        <w:tc>
          <w:tcPr>
            <w:tcW w:w="2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152.45</w:t>
            </w: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152.26</w:t>
            </w: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r>
      <w:tr>
        <w:tblPrEx>
          <w:tblLayout w:type="fixed"/>
          <w:tblCellMar>
            <w:top w:w="0" w:type="dxa"/>
            <w:left w:w="108" w:type="dxa"/>
            <w:bottom w:w="0" w:type="dxa"/>
            <w:right w:w="108" w:type="dxa"/>
          </w:tblCellMar>
        </w:tblPrEx>
        <w:trPr>
          <w:trHeight w:val="440" w:hRule="atLeast"/>
        </w:trPr>
        <w:tc>
          <w:tcPr>
            <w:tcW w:w="19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 xml:space="preserve">      上年结转资金</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r>
      <w:tr>
        <w:tblPrEx>
          <w:tblLayout w:type="fixed"/>
          <w:tblCellMar>
            <w:top w:w="0" w:type="dxa"/>
            <w:left w:w="108" w:type="dxa"/>
            <w:bottom w:w="0" w:type="dxa"/>
            <w:right w:w="108" w:type="dxa"/>
          </w:tblCellMar>
        </w:tblPrEx>
        <w:trPr>
          <w:trHeight w:val="440" w:hRule="atLeast"/>
        </w:trPr>
        <w:tc>
          <w:tcPr>
            <w:tcW w:w="19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 xml:space="preserve">  其他资金</w:t>
            </w:r>
          </w:p>
        </w:tc>
        <w:tc>
          <w:tcPr>
            <w:tcW w:w="14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09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20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4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24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c>
          <w:tcPr>
            <w:tcW w:w="100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w:t>
            </w:r>
          </w:p>
        </w:tc>
      </w:tr>
      <w:tr>
        <w:tblPrEx>
          <w:tblLayout w:type="fixed"/>
          <w:tblCellMar>
            <w:top w:w="0" w:type="dxa"/>
            <w:left w:w="108" w:type="dxa"/>
            <w:bottom w:w="0" w:type="dxa"/>
            <w:right w:w="108" w:type="dxa"/>
          </w:tblCellMar>
        </w:tblPrEx>
        <w:trPr>
          <w:trHeight w:val="270" w:hRule="atLeast"/>
        </w:trPr>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年度总体目标</w:t>
            </w:r>
          </w:p>
        </w:tc>
        <w:tc>
          <w:tcPr>
            <w:tcW w:w="697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预期目标</w:t>
            </w:r>
          </w:p>
        </w:tc>
        <w:tc>
          <w:tcPr>
            <w:tcW w:w="5771"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实际完成情况</w:t>
            </w:r>
          </w:p>
        </w:tc>
      </w:tr>
      <w:tr>
        <w:tblPrEx>
          <w:tblLayout w:type="fixed"/>
          <w:tblCellMar>
            <w:top w:w="0" w:type="dxa"/>
            <w:left w:w="108" w:type="dxa"/>
            <w:bottom w:w="0" w:type="dxa"/>
            <w:right w:w="108" w:type="dxa"/>
          </w:tblCellMar>
        </w:tblPrEx>
        <w:trPr>
          <w:trHeight w:val="540"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6978" w:type="dxa"/>
            <w:gridSpan w:val="6"/>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本项目拟投入152.24万元用于完成2022年党报党刊征订工作，主要实施内容为：征订党报党刊5490份，保质保量完成年度征订工作，于2023年12月31日前完工，通过本项目的实施，增强“四个意识”，坚定“四个自信”，自觉承担起聚旗帜、聚民心、育新人、兴文化、展形象的使命任务，提供坚强思想保证和强大精神动力，使受益部门满意度达到100%绩效目标信息</w:t>
            </w:r>
          </w:p>
        </w:tc>
        <w:tc>
          <w:tcPr>
            <w:tcW w:w="5771" w:type="dxa"/>
            <w:gridSpan w:val="7"/>
            <w:tcBorders>
              <w:top w:val="single" w:color="000000" w:sz="4" w:space="0"/>
              <w:left w:val="single" w:color="000000" w:sz="4" w:space="0"/>
              <w:bottom w:val="single" w:color="000000" w:sz="4" w:space="0"/>
              <w:right w:val="single" w:color="000000" w:sz="4" w:space="0"/>
            </w:tcBorders>
            <w:shd w:val="clear" w:color="auto" w:fill="auto"/>
          </w:tcPr>
          <w:p>
            <w:pPr>
              <w:widowControl/>
              <w:jc w:val="left"/>
              <w:textAlignment w:val="top"/>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项目拟投入152.26万元用于完成2022年党报党刊征订工作，主要实施内容为：征订党报党刊5490份，保质保量完成年度征订工作，于2023年12月31日前完工，通过本项目的实施，增强“四个意识”，坚定“四个自信”，自觉承担起聚旗帜、聚民心、育新人、兴文化、展形象的使命任务，提供坚强思想保证和强大精神动力，使受益部门满意度达到100%绩效目标信息</w:t>
            </w:r>
          </w:p>
        </w:tc>
      </w:tr>
      <w:tr>
        <w:tblPrEx>
          <w:tblLayout w:type="fixed"/>
          <w:tblCellMar>
            <w:top w:w="0" w:type="dxa"/>
            <w:left w:w="108" w:type="dxa"/>
            <w:bottom w:w="0" w:type="dxa"/>
            <w:right w:w="108" w:type="dxa"/>
          </w:tblCellMar>
        </w:tblPrEx>
        <w:trPr>
          <w:trHeight w:val="312" w:hRule="atLeast"/>
        </w:trPr>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一级指标</w:t>
            </w:r>
          </w:p>
        </w:tc>
        <w:tc>
          <w:tcPr>
            <w:tcW w:w="9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二级指标</w:t>
            </w:r>
          </w:p>
        </w:tc>
        <w:tc>
          <w:tcPr>
            <w:tcW w:w="361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三级指标</w:t>
            </w:r>
          </w:p>
        </w:tc>
        <w:tc>
          <w:tcPr>
            <w:tcW w:w="138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年度指标值</w:t>
            </w:r>
          </w:p>
        </w:tc>
        <w:tc>
          <w:tcPr>
            <w:tcW w:w="126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实际完成值</w:t>
            </w:r>
          </w:p>
        </w:tc>
        <w:tc>
          <w:tcPr>
            <w:tcW w:w="147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分值</w:t>
            </w:r>
          </w:p>
        </w:tc>
        <w:tc>
          <w:tcPr>
            <w:tcW w:w="1377"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得分</w:t>
            </w:r>
          </w:p>
        </w:tc>
        <w:tc>
          <w:tcPr>
            <w:tcW w:w="1652"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偏差原因分析及改进措施</w:t>
            </w:r>
          </w:p>
        </w:tc>
      </w:tr>
      <w:tr>
        <w:tblPrEx>
          <w:tblLayout w:type="fixed"/>
          <w:tblCellMar>
            <w:top w:w="0" w:type="dxa"/>
            <w:left w:w="108" w:type="dxa"/>
            <w:bottom w:w="0" w:type="dxa"/>
            <w:right w:w="108" w:type="dxa"/>
          </w:tblCellMar>
        </w:tblPrEx>
        <w:trPr>
          <w:trHeight w:val="312"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36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38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26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47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377"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652"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年度绩效指标完成情况</w:t>
            </w: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产出指标</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数量指标</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党报党刊征订份量（份）</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=5490份</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=5490份</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数量指标</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党报党刊种类</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&gt;=8种</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=8种</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质量指标</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党报党刊征订率</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时效指标</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党报党刊征订完成及时率</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成本指标</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经济成本指标</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项目预算控制率</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=99.87%</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20</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19.94</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预算为152.45万元，实际支付152.26万元，有限传输局由单位经费完成支付，故差异率0.13%</w:t>
            </w:r>
          </w:p>
        </w:tc>
      </w:tr>
      <w:tr>
        <w:tblPrEx>
          <w:tblLayout w:type="fixed"/>
          <w:tblCellMar>
            <w:top w:w="0" w:type="dxa"/>
            <w:left w:w="108" w:type="dxa"/>
            <w:bottom w:w="0" w:type="dxa"/>
            <w:right w:w="108" w:type="dxa"/>
          </w:tblCellMar>
        </w:tblPrEx>
        <w:trPr>
          <w:trHeight w:val="400"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社会成本指标</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color w:val="000000" w:themeColor="text1"/>
                <w:sz w:val="20"/>
                <w:szCs w:val="20"/>
                <w14:textFill>
                  <w14:solidFill>
                    <w14:schemeClr w14:val="tx1"/>
                  </w14:solidFill>
                </w14:textFill>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生态环境成本指标</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color w:val="000000" w:themeColor="text1"/>
                <w:sz w:val="20"/>
                <w:szCs w:val="20"/>
                <w14:textFill>
                  <w14:solidFill>
                    <w14:schemeClr w14:val="tx1"/>
                  </w14:solidFill>
                </w14:textFill>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7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效益指标</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经济效益指标</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color w:val="000000" w:themeColor="text1"/>
                <w:sz w:val="20"/>
                <w:szCs w:val="20"/>
                <w14:textFill>
                  <w14:solidFill>
                    <w14:schemeClr w14:val="tx1"/>
                  </w14:solidFill>
                </w14:textFill>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社会效益指标</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增强“四个意识”，坚定“四个自信”</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显著提高</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显著提高</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20</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20</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生态效益指标</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cs="宋体"/>
                <w:color w:val="000000" w:themeColor="text1"/>
                <w:sz w:val="20"/>
                <w:szCs w:val="20"/>
                <w14:textFill>
                  <w14:solidFill>
                    <w14:schemeClr w14:val="tx1"/>
                  </w14:solidFill>
                </w14:textFill>
              </w:rPr>
            </w:pP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400" w:hRule="atLeast"/>
        </w:trPr>
        <w:tc>
          <w:tcPr>
            <w:tcW w:w="97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c>
          <w:tcPr>
            <w:tcW w:w="9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满意度指标</w:t>
            </w:r>
          </w:p>
        </w:tc>
        <w:tc>
          <w:tcPr>
            <w:tcW w:w="99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满意度指标</w:t>
            </w:r>
          </w:p>
        </w:tc>
        <w:tc>
          <w:tcPr>
            <w:tcW w:w="3616"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单位满意度（%）</w:t>
            </w:r>
          </w:p>
        </w:tc>
        <w:tc>
          <w:tcPr>
            <w:tcW w:w="138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&gt;=95%</w:t>
            </w:r>
          </w:p>
        </w:tc>
        <w:tc>
          <w:tcPr>
            <w:tcW w:w="126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=95%</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r>
        <w:tblPrEx>
          <w:tblLayout w:type="fixed"/>
          <w:tblCellMar>
            <w:top w:w="0" w:type="dxa"/>
            <w:left w:w="108" w:type="dxa"/>
            <w:bottom w:w="0" w:type="dxa"/>
            <w:right w:w="108" w:type="dxa"/>
          </w:tblCellMar>
        </w:tblPrEx>
        <w:trPr>
          <w:trHeight w:val="270" w:hRule="atLeast"/>
        </w:trPr>
        <w:tc>
          <w:tcPr>
            <w:tcW w:w="922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总分</w:t>
            </w:r>
          </w:p>
        </w:tc>
        <w:tc>
          <w:tcPr>
            <w:tcW w:w="147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100</w:t>
            </w:r>
          </w:p>
        </w:tc>
        <w:tc>
          <w:tcPr>
            <w:tcW w:w="137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宋体" w:hAnsi="宋体" w:cs="宋体"/>
                <w:color w:val="000000" w:themeColor="text1"/>
                <w:sz w:val="20"/>
                <w:szCs w:val="20"/>
                <w14:textFill>
                  <w14:solidFill>
                    <w14:schemeClr w14:val="tx1"/>
                  </w14:solidFill>
                </w14:textFill>
              </w:rPr>
            </w:pPr>
            <w:r>
              <w:rPr>
                <w:rFonts w:hint="eastAsia" w:ascii="宋体" w:hAnsi="宋体" w:cs="宋体"/>
                <w:color w:val="000000" w:themeColor="text1"/>
                <w:kern w:val="0"/>
                <w:sz w:val="20"/>
                <w:szCs w:val="20"/>
                <w:lang w:bidi="ar"/>
                <w14:textFill>
                  <w14:solidFill>
                    <w14:schemeClr w14:val="tx1"/>
                  </w14:solidFill>
                </w14:textFill>
              </w:rPr>
              <w:t>99.93分</w:t>
            </w:r>
          </w:p>
        </w:tc>
        <w:tc>
          <w:tcPr>
            <w:tcW w:w="165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cs="宋体"/>
                <w:color w:val="000000" w:themeColor="text1"/>
                <w:sz w:val="20"/>
                <w:szCs w:val="20"/>
                <w14:textFill>
                  <w14:solidFill>
                    <w14:schemeClr w14:val="tx1"/>
                  </w14:solidFill>
                </w14:textFill>
              </w:rPr>
            </w:pPr>
          </w:p>
        </w:tc>
      </w:tr>
    </w:tbl>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rFonts w:hint="eastAsia" w:ascii="黑体" w:hAnsi="黑体" w:eastAsia="黑体" w:cs="黑体"/>
          <w:bCs/>
          <w:color w:val="000000" w:themeColor="text1"/>
          <w:sz w:val="32"/>
          <w:szCs w:val="32"/>
          <w14:textFill>
            <w14:solidFill>
              <w14:schemeClr w14:val="tx1"/>
            </w14:solidFill>
          </w14:textFill>
        </w:rPr>
      </w:pPr>
    </w:p>
    <w:p>
      <w:pPr>
        <w:spacing w:line="600" w:lineRule="exact"/>
        <w:rPr>
          <w:b/>
          <w:bCs/>
          <w:color w:val="000000" w:themeColor="text1"/>
          <w:kern w:val="0"/>
          <w:sz w:val="28"/>
          <w:szCs w:val="40"/>
          <w14:textFill>
            <w14:solidFill>
              <w14:schemeClr w14:val="tx1"/>
            </w14:solidFill>
          </w14:textFill>
        </w:rPr>
      </w:pPr>
      <w:r>
        <w:rPr>
          <w:rFonts w:hint="eastAsia" w:ascii="黑体" w:hAnsi="黑体" w:eastAsia="黑体" w:cs="黑体"/>
          <w:bCs/>
          <w:color w:val="000000" w:themeColor="text1"/>
          <w:sz w:val="32"/>
          <w:szCs w:val="32"/>
          <w14:textFill>
            <w14:solidFill>
              <w14:schemeClr w14:val="tx1"/>
            </w14:solidFill>
          </w14:textFill>
        </w:rPr>
        <w:t>附件1</w:t>
      </w:r>
    </w:p>
    <w:p>
      <w:pPr>
        <w:pStyle w:val="18"/>
        <w:ind w:firstLine="562"/>
        <w:jc w:val="center"/>
        <w:rPr>
          <w:color w:val="000000" w:themeColor="text1"/>
          <w:sz w:val="28"/>
          <w:szCs w:val="40"/>
          <w14:textFill>
            <w14:solidFill>
              <w14:schemeClr w14:val="tx1"/>
            </w14:solidFill>
          </w14:textFill>
        </w:rPr>
      </w:pPr>
      <w:bookmarkStart w:id="7" w:name="_Toc26499_WPSOffice_Level2"/>
      <w:bookmarkStart w:id="8" w:name="_Toc30064_WPSOffice_Level1"/>
      <w:r>
        <w:rPr>
          <w:rFonts w:hint="eastAsia"/>
          <w:b/>
          <w:bCs/>
          <w:color w:val="000000" w:themeColor="text1"/>
          <w:sz w:val="28"/>
          <w:szCs w:val="40"/>
          <w14:textFill>
            <w14:solidFill>
              <w14:schemeClr w14:val="tx1"/>
            </w14:solidFill>
          </w14:textFill>
        </w:rPr>
        <w:t>关于做好2024年度党报党刊发行工作严格规范报刊发行秩序的通知项目绩效评价指标体系及综合评分表</w:t>
      </w:r>
      <w:bookmarkEnd w:id="7"/>
      <w:bookmarkEnd w:id="8"/>
    </w:p>
    <w:tbl>
      <w:tblPr>
        <w:tblStyle w:val="13"/>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3"/>
        <w:gridCol w:w="765"/>
        <w:gridCol w:w="873"/>
        <w:gridCol w:w="2354"/>
        <w:gridCol w:w="5197"/>
        <w:gridCol w:w="1299"/>
        <w:gridCol w:w="136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692" w:hRule="atLeast"/>
          <w:tblHeader/>
          <w:jc w:val="center"/>
        </w:trPr>
        <w:tc>
          <w:tcPr>
            <w:tcW w:w="833"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一级指标</w:t>
            </w:r>
          </w:p>
        </w:tc>
        <w:tc>
          <w:tcPr>
            <w:tcW w:w="765"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二级指标</w:t>
            </w:r>
          </w:p>
        </w:tc>
        <w:tc>
          <w:tcPr>
            <w:tcW w:w="873"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三级指标</w:t>
            </w:r>
          </w:p>
        </w:tc>
        <w:tc>
          <w:tcPr>
            <w:tcW w:w="2354"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指标解释</w:t>
            </w:r>
          </w:p>
        </w:tc>
        <w:tc>
          <w:tcPr>
            <w:tcW w:w="5197"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指标说明</w:t>
            </w:r>
          </w:p>
        </w:tc>
        <w:tc>
          <w:tcPr>
            <w:tcW w:w="1299"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权重</w:t>
            </w:r>
          </w:p>
        </w:tc>
        <w:tc>
          <w:tcPr>
            <w:tcW w:w="1362"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919" w:hRule="atLeast"/>
          <w:jc w:val="center"/>
        </w:trPr>
        <w:tc>
          <w:tcPr>
            <w:tcW w:w="833"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p>
            <w:pPr>
              <w:widowControl/>
              <w:spacing w:line="0" w:lineRule="atLeast"/>
              <w:jc w:val="center"/>
              <w:rPr>
                <w:color w:val="000000" w:themeColor="text1"/>
                <w:kern w:val="0"/>
                <w:sz w:val="22"/>
                <w:szCs w:val="22"/>
                <w14:textFill>
                  <w14:solidFill>
                    <w14:schemeClr w14:val="tx1"/>
                  </w14:solidFill>
                </w14:textFill>
              </w:rPr>
            </w:pPr>
          </w:p>
          <w:p>
            <w:pPr>
              <w:widowControl/>
              <w:spacing w:line="0" w:lineRule="atLeast"/>
              <w:jc w:val="center"/>
              <w:rPr>
                <w:color w:val="000000" w:themeColor="text1"/>
                <w:kern w:val="0"/>
                <w:sz w:val="22"/>
                <w:szCs w:val="22"/>
                <w14:textFill>
                  <w14:solidFill>
                    <w14:schemeClr w14:val="tx1"/>
                  </w14:solidFill>
                </w14:textFill>
              </w:rPr>
            </w:pPr>
          </w:p>
          <w:p>
            <w:pPr>
              <w:widowControl/>
              <w:spacing w:line="0" w:lineRule="atLeast"/>
              <w:jc w:val="center"/>
              <w:rPr>
                <w:color w:val="000000" w:themeColor="text1"/>
                <w:kern w:val="0"/>
                <w:sz w:val="22"/>
                <w:szCs w:val="22"/>
                <w14:textFill>
                  <w14:solidFill>
                    <w14:schemeClr w14:val="tx1"/>
                  </w14:solidFill>
                </w14:textFill>
              </w:rPr>
            </w:pPr>
          </w:p>
          <w:p>
            <w:pPr>
              <w:widowControl/>
              <w:spacing w:line="0" w:lineRule="atLeast"/>
              <w:jc w:val="center"/>
              <w:rPr>
                <w:color w:val="000000" w:themeColor="text1"/>
                <w:kern w:val="0"/>
                <w:sz w:val="22"/>
                <w:szCs w:val="22"/>
                <w14:textFill>
                  <w14:solidFill>
                    <w14:schemeClr w14:val="tx1"/>
                  </w14:solidFill>
                </w14:textFill>
              </w:rPr>
            </w:pPr>
          </w:p>
          <w:p>
            <w:pPr>
              <w:widowControl/>
              <w:spacing w:line="0" w:lineRule="atLeast"/>
              <w:jc w:val="center"/>
              <w:rPr>
                <w:color w:val="000000" w:themeColor="text1"/>
                <w:kern w:val="0"/>
                <w:sz w:val="22"/>
                <w:szCs w:val="22"/>
                <w14:textFill>
                  <w14:solidFill>
                    <w14:schemeClr w14:val="tx1"/>
                  </w14:solidFill>
                </w14:textFill>
              </w:rPr>
            </w:pP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决策　</w:t>
            </w:r>
          </w:p>
        </w:tc>
        <w:tc>
          <w:tcPr>
            <w:tcW w:w="765"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项目立项　</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立项依据</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充分性</w:t>
            </w:r>
          </w:p>
        </w:tc>
        <w:tc>
          <w:tcPr>
            <w:tcW w:w="2354"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项目立项是否符合法律法规、相关政策、发展规划以及部门职责，用以反映和考核项目立项依据情况。</w:t>
            </w:r>
          </w:p>
        </w:tc>
        <w:tc>
          <w:tcPr>
            <w:tcW w:w="5197" w:type="dxa"/>
            <w:shd w:val="clear" w:color="auto" w:fill="FFFFFF"/>
            <w:vAlign w:val="center"/>
          </w:tcPr>
          <w:p>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①项目立项是否符合国家法律法规、国民经济发展规划和相关政策；</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②项目立项是否符合行业发展规划和政策要求；</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③项目立项是否与部门职责范围相符，属于部门履职所需；</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④项目是否属于公共财政支持范围，是否符合中央、地方事权支出责任划分原则；</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⑤项目是否与相关部门同类项目或部门内部相关项目重复。</w:t>
            </w:r>
          </w:p>
        </w:tc>
        <w:tc>
          <w:tcPr>
            <w:tcW w:w="1299"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2"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3"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5"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立项程序</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规范性</w:t>
            </w:r>
          </w:p>
        </w:tc>
        <w:tc>
          <w:tcPr>
            <w:tcW w:w="2354"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项目申请、设立过程是否符合相关要求，用以反映和考核项目立项的规范情况。</w:t>
            </w:r>
          </w:p>
        </w:tc>
        <w:tc>
          <w:tcPr>
            <w:tcW w:w="5197" w:type="dxa"/>
            <w:shd w:val="clear" w:color="auto" w:fill="FFFFFF"/>
            <w:vAlign w:val="center"/>
          </w:tcPr>
          <w:p>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①项目是否按照规定的程序申请设立；</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②审批文件、材料是否符合相关要求；</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③事前是否已经过必要的可行性研究、专家论证、风险评估、绩效评估、集体决策。</w:t>
            </w:r>
          </w:p>
        </w:tc>
        <w:tc>
          <w:tcPr>
            <w:tcW w:w="1299"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2"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90" w:hRule="atLeast"/>
          <w:jc w:val="center"/>
        </w:trPr>
        <w:tc>
          <w:tcPr>
            <w:tcW w:w="833"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5"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绩效目标　</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绩效目标</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合理性</w:t>
            </w:r>
          </w:p>
        </w:tc>
        <w:tc>
          <w:tcPr>
            <w:tcW w:w="2354"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项目所设定的绩效目标是否依据充分，是否符合客观实际，用以反映和考核项目绩效目标与项目实施的相符情况。</w:t>
            </w:r>
          </w:p>
        </w:tc>
        <w:tc>
          <w:tcPr>
            <w:tcW w:w="5197" w:type="dxa"/>
            <w:shd w:val="clear" w:color="000000" w:fill="FFFFFF"/>
            <w:vAlign w:val="center"/>
          </w:tcPr>
          <w:p>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（如未设定预算绩效目标，也可考核其他工作任务目标）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①项目是否有绩效目标；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②项目绩效目标与实际工作内容是否具有相关性；</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③项目预期产出效益和效果是否符合正常的业绩水平；</w:t>
            </w:r>
          </w:p>
          <w:p>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④是否与预算确定的项目投资额或资金量相匹配。</w:t>
            </w:r>
          </w:p>
        </w:tc>
        <w:tc>
          <w:tcPr>
            <w:tcW w:w="1299"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2"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64" w:hRule="atLeast"/>
          <w:jc w:val="center"/>
        </w:trPr>
        <w:tc>
          <w:tcPr>
            <w:tcW w:w="833"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765"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绩效指标</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明确性</w:t>
            </w:r>
          </w:p>
        </w:tc>
        <w:tc>
          <w:tcPr>
            <w:tcW w:w="2354"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依据绩效目标设定的绩效指标是否清晰、细化、可衡量等，用以反映和考核项目绩效目标的明细化情况。</w:t>
            </w:r>
          </w:p>
        </w:tc>
        <w:tc>
          <w:tcPr>
            <w:tcW w:w="5197"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①是否将项目绩效目标细化分解为具体的绩效指标；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②是否通过清晰、可衡量的指标值予以体现；</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③是否与项目目标任务数或计划数相对应。</w:t>
            </w:r>
            <w:r>
              <w:rPr>
                <w:color w:val="000000" w:themeColor="text1"/>
                <w:kern w:val="0"/>
                <w:sz w:val="22"/>
                <w:szCs w:val="22"/>
                <w14:textFill>
                  <w14:solidFill>
                    <w14:schemeClr w14:val="tx1"/>
                  </w14:solidFill>
                </w14:textFill>
              </w:rPr>
              <w:br w:type="textWrapping"/>
            </w:r>
          </w:p>
        </w:tc>
        <w:tc>
          <w:tcPr>
            <w:tcW w:w="1299"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3</w:t>
            </w:r>
          </w:p>
        </w:tc>
        <w:tc>
          <w:tcPr>
            <w:tcW w:w="1362"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42" w:hRule="atLeast"/>
          <w:jc w:val="center"/>
        </w:trPr>
        <w:tc>
          <w:tcPr>
            <w:tcW w:w="833"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5"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资金投入</w:t>
            </w:r>
          </w:p>
          <w:p>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预算编制</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科学性</w:t>
            </w:r>
          </w:p>
        </w:tc>
        <w:tc>
          <w:tcPr>
            <w:tcW w:w="2354"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项目预算编制是否经过科学论证、有明确标准，资金额度与年度目标是否相适应，用以反映和考核项目预算编制的科学性、合理性情况。</w:t>
            </w:r>
          </w:p>
        </w:tc>
        <w:tc>
          <w:tcPr>
            <w:tcW w:w="5197"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①预算编制是否经过科学论证；</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②预算内容与项目内容是否匹配；</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③预算额度测算依据是否充分，是否按照标准编制；</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④预算确定的项目投资额或资金量是否与工作任务相匹配。</w:t>
            </w:r>
          </w:p>
        </w:tc>
        <w:tc>
          <w:tcPr>
            <w:tcW w:w="1299"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2"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06" w:hRule="atLeast"/>
          <w:jc w:val="center"/>
        </w:trPr>
        <w:tc>
          <w:tcPr>
            <w:tcW w:w="833"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765"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资金分配</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合理性</w:t>
            </w:r>
          </w:p>
        </w:tc>
        <w:tc>
          <w:tcPr>
            <w:tcW w:w="2354"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项目预算资金分配是否有测算依据，与补助单位或地方实际是否相适应，用以反映和考核项目预算资金分配的科学性、合理性情况。</w:t>
            </w:r>
          </w:p>
        </w:tc>
        <w:tc>
          <w:tcPr>
            <w:tcW w:w="5197"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①预算资金分配依据是否充分；</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②资金分配额度是否合理，与项目单位或地方实际是否相适应。</w:t>
            </w:r>
          </w:p>
        </w:tc>
        <w:tc>
          <w:tcPr>
            <w:tcW w:w="1299"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2"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415" w:hRule="atLeast"/>
          <w:jc w:val="center"/>
        </w:trPr>
        <w:tc>
          <w:tcPr>
            <w:tcW w:w="833" w:type="dxa"/>
            <w:vMerge w:val="restart"/>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p>
          <w:p>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过程</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765"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资金管理</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资金到位率</w:t>
            </w:r>
          </w:p>
        </w:tc>
        <w:tc>
          <w:tcPr>
            <w:tcW w:w="2354"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实际到位资金与预算资金的比率，用以反映和考核资金落实情况对项目实施的总体保障程度。</w:t>
            </w:r>
          </w:p>
        </w:tc>
        <w:tc>
          <w:tcPr>
            <w:tcW w:w="5197"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资金到位率=（实际到位资金/预算资金）×100%。</w:t>
            </w:r>
          </w:p>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实际到位资金：一定时期（本年度或项目期）内落实到具体项目的资金。</w:t>
            </w:r>
          </w:p>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预算资金：一定时期（本年度或项目期）内预算安排到具体项目的资金。</w:t>
            </w:r>
          </w:p>
        </w:tc>
        <w:tc>
          <w:tcPr>
            <w:tcW w:w="1299"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2"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320" w:hRule="atLeast"/>
          <w:jc w:val="center"/>
        </w:trPr>
        <w:tc>
          <w:tcPr>
            <w:tcW w:w="833"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5"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预算执行率</w:t>
            </w:r>
          </w:p>
        </w:tc>
        <w:tc>
          <w:tcPr>
            <w:tcW w:w="2354"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项目预算资金是否按照计划执行，用以反映或考核项目预算执行情况。</w:t>
            </w:r>
          </w:p>
        </w:tc>
        <w:tc>
          <w:tcPr>
            <w:tcW w:w="5197"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预算执行率=（实际支出资金/实际到位资金）×100%。</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实际支出资金：一定时期（本年度或项目期）内项目实际拨付的资金。</w:t>
            </w:r>
          </w:p>
        </w:tc>
        <w:tc>
          <w:tcPr>
            <w:tcW w:w="1299"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2"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3.99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3"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5"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资金管理</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资金使用</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合规性</w:t>
            </w:r>
          </w:p>
        </w:tc>
        <w:tc>
          <w:tcPr>
            <w:tcW w:w="2354"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项目资金使用是否符合相关的财务管理制度规定，用以反映和考核项目资金的规范运行情况。</w:t>
            </w:r>
          </w:p>
        </w:tc>
        <w:tc>
          <w:tcPr>
            <w:tcW w:w="5197"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①是否符合国家财经法规和财务管理制度以及有关专项资金管理办法的规定；</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②资金的拨付是否有完整的审批程序和手续；</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③是否符合项目预算批复或合同规定的用途；</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④是否存在截留、挤占、挪用、虚列支出等情况。</w:t>
            </w:r>
          </w:p>
        </w:tc>
        <w:tc>
          <w:tcPr>
            <w:tcW w:w="1299"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2"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97" w:hRule="atLeast"/>
          <w:jc w:val="center"/>
        </w:trPr>
        <w:tc>
          <w:tcPr>
            <w:tcW w:w="833"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5"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组织实施</w:t>
            </w:r>
          </w:p>
          <w:p>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　</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管理制度</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健全性</w:t>
            </w:r>
          </w:p>
        </w:tc>
        <w:tc>
          <w:tcPr>
            <w:tcW w:w="2354"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项目实施单位的财务和业务管理制度是否健全，用以反映和考核财务和业务管理制度对项目顺利实施的保障情况。</w:t>
            </w:r>
          </w:p>
        </w:tc>
        <w:tc>
          <w:tcPr>
            <w:tcW w:w="5197"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①是否已制定或具有相应的财务和业务管理制度；</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②财务和业务管理制度是否合法、合规、完整。</w:t>
            </w:r>
          </w:p>
        </w:tc>
        <w:tc>
          <w:tcPr>
            <w:tcW w:w="1299"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2"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69" w:hRule="atLeast"/>
          <w:jc w:val="center"/>
        </w:trPr>
        <w:tc>
          <w:tcPr>
            <w:tcW w:w="833"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765"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制度执行</w:t>
            </w:r>
          </w:p>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有效性</w:t>
            </w:r>
          </w:p>
        </w:tc>
        <w:tc>
          <w:tcPr>
            <w:tcW w:w="2354"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项目实施是否符合相关管理规定，用以反映和考核相关管理制度的有效执行情况。</w:t>
            </w:r>
          </w:p>
        </w:tc>
        <w:tc>
          <w:tcPr>
            <w:tcW w:w="5197"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评价要点：</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①是否遵守相关法律法规和相关管理规定；</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②项目调整及支出调整手续是否完备；</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③项目合同书、验收报告、技术鉴定等资料是否齐全并及时归档；</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④项目实施的人员条件、场地设备、信息支撑等是否落实到位。</w:t>
            </w:r>
          </w:p>
        </w:tc>
        <w:tc>
          <w:tcPr>
            <w:tcW w:w="1299"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4</w:t>
            </w:r>
          </w:p>
        </w:tc>
        <w:tc>
          <w:tcPr>
            <w:tcW w:w="1362"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917" w:hRule="atLeast"/>
          <w:jc w:val="center"/>
        </w:trPr>
        <w:tc>
          <w:tcPr>
            <w:tcW w:w="833"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w:t>
            </w:r>
          </w:p>
        </w:tc>
        <w:tc>
          <w:tcPr>
            <w:tcW w:w="765"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产出数量</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实际完成率</w:t>
            </w:r>
          </w:p>
        </w:tc>
        <w:tc>
          <w:tcPr>
            <w:tcW w:w="2354"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项目实施的实际产出数与计划产出数的比率，用以反映和考核项目产出数量目标的实现程度。</w:t>
            </w:r>
          </w:p>
        </w:tc>
        <w:tc>
          <w:tcPr>
            <w:tcW w:w="5197"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实际完成率=（实际产出数/计划产出数）×100%。</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实际产出数：一定时期（本年度或项目期）内项目实际产出的产品或提供的服务数量。</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计划产出数：项目绩效目标确定的在一定时期（本年度或项目期）内计划产出的产品或提供的服务数量。</w:t>
            </w:r>
          </w:p>
        </w:tc>
        <w:tc>
          <w:tcPr>
            <w:tcW w:w="1299"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2"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718" w:hRule="atLeast"/>
          <w:jc w:val="center"/>
        </w:trPr>
        <w:tc>
          <w:tcPr>
            <w:tcW w:w="833"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765"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产出质量</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质量达标率</w:t>
            </w:r>
          </w:p>
        </w:tc>
        <w:tc>
          <w:tcPr>
            <w:tcW w:w="2354"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项目完成的质量达标产出数与实际产出数的比率，用以反映和考核项目产出质量目标的实现程度。</w:t>
            </w:r>
          </w:p>
        </w:tc>
        <w:tc>
          <w:tcPr>
            <w:tcW w:w="5197"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质量达标率=（质量达标产出数/实际产出数）×100%。</w:t>
            </w:r>
          </w:p>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99"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2"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506" w:hRule="atLeast"/>
          <w:jc w:val="center"/>
        </w:trPr>
        <w:tc>
          <w:tcPr>
            <w:tcW w:w="833" w:type="dxa"/>
            <w:vMerge w:val="continue"/>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p>
        </w:tc>
        <w:tc>
          <w:tcPr>
            <w:tcW w:w="765" w:type="dxa"/>
            <w:shd w:val="clear" w:color="auto" w:fill="FFFFFF"/>
            <w:vAlign w:val="center"/>
          </w:tcPr>
          <w:p>
            <w:pPr>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产出时效</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完成及时性</w:t>
            </w:r>
          </w:p>
        </w:tc>
        <w:tc>
          <w:tcPr>
            <w:tcW w:w="2354"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项目实际完成时间与计划完成时间的比较，用以反映和考核项目产出时效目标的实现程度。</w:t>
            </w:r>
          </w:p>
        </w:tc>
        <w:tc>
          <w:tcPr>
            <w:tcW w:w="5197"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实际完成时间：项目实施单位完成该项目实际所耗用的时间。</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计划完成时间：按照项目实施计划或相关规定完成该项目所需的时间。</w:t>
            </w:r>
          </w:p>
        </w:tc>
        <w:tc>
          <w:tcPr>
            <w:tcW w:w="1299"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2"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2076" w:hRule="atLeast"/>
          <w:jc w:val="center"/>
        </w:trPr>
        <w:tc>
          <w:tcPr>
            <w:tcW w:w="833"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765"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产出成本</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成本节约率</w:t>
            </w:r>
          </w:p>
        </w:tc>
        <w:tc>
          <w:tcPr>
            <w:tcW w:w="2354"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完成项目计划工作目标的实际节约成本与计划成本的比率，用以反映和考核项目的成本节约程度。</w:t>
            </w:r>
          </w:p>
        </w:tc>
        <w:tc>
          <w:tcPr>
            <w:tcW w:w="5197"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成本节约率=[（计划成本-实际成本）/计划成本]×100%。</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实际成本：项目实施单位如期、保质、保量完成既定工作目标实际所耗费的支出。</w:t>
            </w:r>
            <w:r>
              <w:rPr>
                <w:color w:val="000000" w:themeColor="text1"/>
                <w:kern w:val="0"/>
                <w:sz w:val="22"/>
                <w:szCs w:val="22"/>
                <w14:textFill>
                  <w14:solidFill>
                    <w14:schemeClr w14:val="tx1"/>
                  </w14:solidFill>
                </w14:textFill>
              </w:rPr>
              <w:br w:type="textWrapping"/>
            </w:r>
            <w:r>
              <w:rPr>
                <w:color w:val="000000" w:themeColor="text1"/>
                <w:kern w:val="0"/>
                <w:sz w:val="22"/>
                <w:szCs w:val="22"/>
                <w14:textFill>
                  <w14:solidFill>
                    <w14:schemeClr w14:val="tx1"/>
                  </w14:solidFill>
                </w14:textFill>
              </w:rPr>
              <w:t>计划成本：项目实施单位为完成工作目标计划安排的支出，一般以项目预算为参考。</w:t>
            </w:r>
          </w:p>
        </w:tc>
        <w:tc>
          <w:tcPr>
            <w:tcW w:w="1299"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2"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889" w:hRule="atLeast"/>
          <w:jc w:val="center"/>
        </w:trPr>
        <w:tc>
          <w:tcPr>
            <w:tcW w:w="833"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效益　</w:t>
            </w:r>
          </w:p>
        </w:tc>
        <w:tc>
          <w:tcPr>
            <w:tcW w:w="765" w:type="dxa"/>
            <w:vMerge w:val="restart"/>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项目效益　</w:t>
            </w: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实施效益</w:t>
            </w:r>
          </w:p>
        </w:tc>
        <w:tc>
          <w:tcPr>
            <w:tcW w:w="2354" w:type="dxa"/>
            <w:shd w:val="clear" w:color="auto" w:fill="FFFFFF"/>
            <w:vAlign w:val="center"/>
          </w:tcPr>
          <w:p>
            <w:pPr>
              <w:widowControl/>
              <w:spacing w:line="0" w:lineRule="atLeast"/>
              <w:jc w:val="lef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项目实施所产生的效益。</w:t>
            </w:r>
          </w:p>
        </w:tc>
        <w:tc>
          <w:tcPr>
            <w:tcW w:w="5197" w:type="dxa"/>
            <w:shd w:val="clear" w:color="auto"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项目实施所产生的社会效益、经济效益、生态效益、可持续影响等。可根据项目实际情况有选择地设置和细化。</w:t>
            </w:r>
          </w:p>
        </w:tc>
        <w:tc>
          <w:tcPr>
            <w:tcW w:w="1299"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2" w:type="dxa"/>
            <w:shd w:val="clear" w:color="auto"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Ex>
        <w:trPr>
          <w:trHeight w:val="1137" w:hRule="atLeast"/>
          <w:jc w:val="center"/>
        </w:trPr>
        <w:tc>
          <w:tcPr>
            <w:tcW w:w="833"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765" w:type="dxa"/>
            <w:vMerge w:val="continue"/>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p>
        </w:tc>
        <w:tc>
          <w:tcPr>
            <w:tcW w:w="873" w:type="dxa"/>
            <w:shd w:val="clear" w:color="auto" w:fill="FFFFFF"/>
            <w:vAlign w:val="center"/>
          </w:tcPr>
          <w:p>
            <w:pPr>
              <w:widowControl/>
              <w:spacing w:line="0" w:lineRule="atLeast"/>
              <w:jc w:val="center"/>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满意度</w:t>
            </w:r>
          </w:p>
        </w:tc>
        <w:tc>
          <w:tcPr>
            <w:tcW w:w="2354"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社会公众或服务对象对项目实施效果的满意程度。</w:t>
            </w:r>
          </w:p>
        </w:tc>
        <w:tc>
          <w:tcPr>
            <w:tcW w:w="5197" w:type="dxa"/>
            <w:shd w:val="clear" w:color="000000" w:fill="FFFFFF"/>
            <w:vAlign w:val="center"/>
          </w:tcPr>
          <w:p>
            <w:pPr>
              <w:widowControl/>
              <w:spacing w:line="0" w:lineRule="atLeast"/>
              <w:rPr>
                <w:color w:val="000000" w:themeColor="text1"/>
                <w:kern w:val="0"/>
                <w:sz w:val="22"/>
                <w:szCs w:val="22"/>
                <w14:textFill>
                  <w14:solidFill>
                    <w14:schemeClr w14:val="tx1"/>
                  </w14:solidFill>
                </w14:textFill>
              </w:rPr>
            </w:pPr>
            <w:r>
              <w:rPr>
                <w:color w:val="000000" w:themeColor="text1"/>
                <w:kern w:val="0"/>
                <w:sz w:val="22"/>
                <w:szCs w:val="22"/>
                <w14:textFill>
                  <w14:solidFill>
                    <w14:schemeClr w14:val="tx1"/>
                  </w14:solidFill>
                </w14:textFill>
              </w:rPr>
              <w:t>社会公众或服务对象是指因该项目实施而受到影响的部门（单位）、群体或个人。一般采取社会调查的方式。</w:t>
            </w:r>
          </w:p>
        </w:tc>
        <w:tc>
          <w:tcPr>
            <w:tcW w:w="1299"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b/>
                <w:bCs/>
                <w:color w:val="000000" w:themeColor="text1"/>
                <w:kern w:val="0"/>
                <w:sz w:val="22"/>
                <w:szCs w:val="22"/>
                <w14:textFill>
                  <w14:solidFill>
                    <w14:schemeClr w14:val="tx1"/>
                  </w14:solidFill>
                </w14:textFill>
              </w:rPr>
              <w:t>10</w:t>
            </w:r>
          </w:p>
        </w:tc>
        <w:tc>
          <w:tcPr>
            <w:tcW w:w="1362" w:type="dxa"/>
            <w:shd w:val="clear" w:color="000000" w:fill="FFFFFF"/>
            <w:vAlign w:val="center"/>
          </w:tcPr>
          <w:p>
            <w:pPr>
              <w:widowControl/>
              <w:spacing w:line="0" w:lineRule="atLeast"/>
              <w:jc w:val="center"/>
              <w:rPr>
                <w:b/>
                <w:bCs/>
                <w:color w:val="000000" w:themeColor="text1"/>
                <w:kern w:val="0"/>
                <w:sz w:val="22"/>
                <w:szCs w:val="22"/>
                <w14:textFill>
                  <w14:solidFill>
                    <w14:schemeClr w14:val="tx1"/>
                  </w14:solidFill>
                </w14:textFill>
              </w:rPr>
            </w:pPr>
            <w:r>
              <w:rPr>
                <w:rFonts w:hint="eastAsia"/>
                <w:b/>
                <w:bCs/>
                <w:color w:val="000000" w:themeColor="text1"/>
                <w:kern w:val="0"/>
                <w:sz w:val="22"/>
                <w:szCs w:val="22"/>
                <w14:textFill>
                  <w14:solidFill>
                    <w14:schemeClr w14:val="tx1"/>
                  </w14:solidFill>
                </w14:textFill>
              </w:rPr>
              <w:t>10</w:t>
            </w:r>
          </w:p>
        </w:tc>
      </w:tr>
    </w:tbl>
    <w:p>
      <w:pPr>
        <w:rPr>
          <w:color w:val="000000" w:themeColor="text1"/>
          <w14:textFill>
            <w14:solidFill>
              <w14:schemeClr w14:val="tx1"/>
            </w14:solidFill>
          </w14:textFill>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2000000000000000000"/>
    <w:charset w:val="86"/>
    <w:family w:val="script"/>
    <w:pitch w:val="default"/>
    <w:sig w:usb0="A00002BF" w:usb1="38CF7CFA" w:usb2="00082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pPr>
        <w:ind w:left="-223"/>
      </w:pPr>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ZjE3NmFjMDI4MGYzZjRhODNkNjIwOGRjYzVhMWMifQ=="/>
  </w:docVars>
  <w:rsids>
    <w:rsidRoot w:val="FF6C4049"/>
    <w:rsid w:val="003713FD"/>
    <w:rsid w:val="00422BCB"/>
    <w:rsid w:val="006920EF"/>
    <w:rsid w:val="006F7242"/>
    <w:rsid w:val="00754B4E"/>
    <w:rsid w:val="007B168A"/>
    <w:rsid w:val="008322BB"/>
    <w:rsid w:val="008B2CFE"/>
    <w:rsid w:val="00C80287"/>
    <w:rsid w:val="00E03AD8"/>
    <w:rsid w:val="00F26FF6"/>
    <w:rsid w:val="018A0EBB"/>
    <w:rsid w:val="01943828"/>
    <w:rsid w:val="019C73F2"/>
    <w:rsid w:val="01D11587"/>
    <w:rsid w:val="029D33DC"/>
    <w:rsid w:val="036657CD"/>
    <w:rsid w:val="056E70EC"/>
    <w:rsid w:val="06277B8D"/>
    <w:rsid w:val="07397B77"/>
    <w:rsid w:val="08176138"/>
    <w:rsid w:val="0823774A"/>
    <w:rsid w:val="08406DC2"/>
    <w:rsid w:val="08BF1B69"/>
    <w:rsid w:val="096D6B92"/>
    <w:rsid w:val="0AC22BB4"/>
    <w:rsid w:val="0B2B60DF"/>
    <w:rsid w:val="0B77641A"/>
    <w:rsid w:val="0B8D3582"/>
    <w:rsid w:val="0C143455"/>
    <w:rsid w:val="0EEE4D95"/>
    <w:rsid w:val="10906AB5"/>
    <w:rsid w:val="116021A5"/>
    <w:rsid w:val="12342A38"/>
    <w:rsid w:val="13471461"/>
    <w:rsid w:val="13823AF7"/>
    <w:rsid w:val="13B90F01"/>
    <w:rsid w:val="155F0F50"/>
    <w:rsid w:val="17312649"/>
    <w:rsid w:val="17CD02A2"/>
    <w:rsid w:val="181066D2"/>
    <w:rsid w:val="190F30AC"/>
    <w:rsid w:val="1A907FA2"/>
    <w:rsid w:val="1C671E73"/>
    <w:rsid w:val="1C87265B"/>
    <w:rsid w:val="1CF04538"/>
    <w:rsid w:val="1EDD6BE3"/>
    <w:rsid w:val="1F880587"/>
    <w:rsid w:val="20D10954"/>
    <w:rsid w:val="215628E3"/>
    <w:rsid w:val="21EC2E00"/>
    <w:rsid w:val="23DB76DF"/>
    <w:rsid w:val="24F07227"/>
    <w:rsid w:val="257847A2"/>
    <w:rsid w:val="26D14610"/>
    <w:rsid w:val="2769302F"/>
    <w:rsid w:val="28190D59"/>
    <w:rsid w:val="28AA1267"/>
    <w:rsid w:val="28B117E3"/>
    <w:rsid w:val="2975419D"/>
    <w:rsid w:val="2A06253E"/>
    <w:rsid w:val="2A701794"/>
    <w:rsid w:val="2E0C7407"/>
    <w:rsid w:val="2F981129"/>
    <w:rsid w:val="2FB56378"/>
    <w:rsid w:val="2FCA6176"/>
    <w:rsid w:val="31533147"/>
    <w:rsid w:val="315F3BAC"/>
    <w:rsid w:val="3185578F"/>
    <w:rsid w:val="31C03EF6"/>
    <w:rsid w:val="32302268"/>
    <w:rsid w:val="3482441C"/>
    <w:rsid w:val="34BC2C0D"/>
    <w:rsid w:val="365A7DDE"/>
    <w:rsid w:val="36644ED3"/>
    <w:rsid w:val="366755FC"/>
    <w:rsid w:val="374F6B75"/>
    <w:rsid w:val="379655A3"/>
    <w:rsid w:val="38CA40DD"/>
    <w:rsid w:val="395F2B56"/>
    <w:rsid w:val="39F2298B"/>
    <w:rsid w:val="3A521AC7"/>
    <w:rsid w:val="3A887EF3"/>
    <w:rsid w:val="3AD024BC"/>
    <w:rsid w:val="3BAF4782"/>
    <w:rsid w:val="3BECE841"/>
    <w:rsid w:val="3BF43FC5"/>
    <w:rsid w:val="3C0E3A55"/>
    <w:rsid w:val="3CCC32AA"/>
    <w:rsid w:val="3DB66D17"/>
    <w:rsid w:val="3E3D23DE"/>
    <w:rsid w:val="3EEE266A"/>
    <w:rsid w:val="3FF7797D"/>
    <w:rsid w:val="401753E8"/>
    <w:rsid w:val="401C2A08"/>
    <w:rsid w:val="413B5006"/>
    <w:rsid w:val="415D1E78"/>
    <w:rsid w:val="417D267E"/>
    <w:rsid w:val="41D25BC6"/>
    <w:rsid w:val="43426B34"/>
    <w:rsid w:val="436F43FF"/>
    <w:rsid w:val="441B2960"/>
    <w:rsid w:val="4816302C"/>
    <w:rsid w:val="48D6101E"/>
    <w:rsid w:val="49BD40EC"/>
    <w:rsid w:val="4AE2447F"/>
    <w:rsid w:val="4D64241B"/>
    <w:rsid w:val="4E801181"/>
    <w:rsid w:val="4F363719"/>
    <w:rsid w:val="50825066"/>
    <w:rsid w:val="511552D2"/>
    <w:rsid w:val="52534A95"/>
    <w:rsid w:val="53780542"/>
    <w:rsid w:val="55093E11"/>
    <w:rsid w:val="59DA7C1A"/>
    <w:rsid w:val="5AF94575"/>
    <w:rsid w:val="5BFF6039"/>
    <w:rsid w:val="5D76A616"/>
    <w:rsid w:val="5D7F20B9"/>
    <w:rsid w:val="5D8F30D2"/>
    <w:rsid w:val="5DAC7D0E"/>
    <w:rsid w:val="5E1C7866"/>
    <w:rsid w:val="5E5F1000"/>
    <w:rsid w:val="5F98B5AF"/>
    <w:rsid w:val="5FB859A2"/>
    <w:rsid w:val="5FFE8511"/>
    <w:rsid w:val="5FFEACE2"/>
    <w:rsid w:val="607D2A42"/>
    <w:rsid w:val="60AA0AF7"/>
    <w:rsid w:val="62F675F7"/>
    <w:rsid w:val="63220D96"/>
    <w:rsid w:val="632502A2"/>
    <w:rsid w:val="63D0156C"/>
    <w:rsid w:val="643EE26D"/>
    <w:rsid w:val="64AB7435"/>
    <w:rsid w:val="65CD333E"/>
    <w:rsid w:val="65E32DAD"/>
    <w:rsid w:val="67331C0B"/>
    <w:rsid w:val="69A31723"/>
    <w:rsid w:val="6B8E6209"/>
    <w:rsid w:val="6D572E2F"/>
    <w:rsid w:val="6D78549C"/>
    <w:rsid w:val="6EF74CAA"/>
    <w:rsid w:val="6F5C41AC"/>
    <w:rsid w:val="6FAF6C78"/>
    <w:rsid w:val="704D2A3C"/>
    <w:rsid w:val="7118551D"/>
    <w:rsid w:val="722B17DF"/>
    <w:rsid w:val="72EE6E2F"/>
    <w:rsid w:val="7317C656"/>
    <w:rsid w:val="734ED73F"/>
    <w:rsid w:val="748C4C32"/>
    <w:rsid w:val="75DA2EA2"/>
    <w:rsid w:val="77FD8BE9"/>
    <w:rsid w:val="793C0810"/>
    <w:rsid w:val="795450A1"/>
    <w:rsid w:val="79A9BD3F"/>
    <w:rsid w:val="7AA57C46"/>
    <w:rsid w:val="7AD21A0F"/>
    <w:rsid w:val="7BFFFDD0"/>
    <w:rsid w:val="7C1E2229"/>
    <w:rsid w:val="7C336E5F"/>
    <w:rsid w:val="7D677171"/>
    <w:rsid w:val="7D7A5F86"/>
    <w:rsid w:val="7DD722F0"/>
    <w:rsid w:val="7DDB187D"/>
    <w:rsid w:val="7DE53191"/>
    <w:rsid w:val="7EC53F9B"/>
    <w:rsid w:val="7F37BB4E"/>
    <w:rsid w:val="7FA36FC3"/>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1701</Words>
  <Characters>9702</Characters>
  <Lines>80</Lines>
  <Paragraphs>22</Paragraphs>
  <TotalTime>17</TotalTime>
  <ScaleCrop>false</ScaleCrop>
  <LinksUpToDate>false</LinksUpToDate>
  <CharactersWithSpaces>11381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2024-10-15T04:34:16Z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634001D924E746369D048129A725E443_13</vt:lpwstr>
  </property>
</Properties>
</file>