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bookmarkStart w:id="9" w:name="_GoBack"/>
      <w:bookmarkEnd w:id="9"/>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rPr>
        <w:t>中央防控财力补助资金——移动核酸检测车、防疫经费</w:t>
      </w:r>
      <w:r>
        <w:rPr>
          <w:rFonts w:eastAsia="方正小标宋_GBK"/>
          <w:kern w:val="0"/>
          <w:sz w:val="48"/>
          <w:szCs w:val="48"/>
        </w:rPr>
        <w:t>项目支出绩效</w:t>
      </w:r>
    </w:p>
    <w:p>
      <w:pPr>
        <w:spacing w:line="540" w:lineRule="exact"/>
        <w:jc w:val="center"/>
        <w:rPr>
          <w:rFonts w:eastAsia="方正小标宋_GBK"/>
          <w:kern w:val="0"/>
          <w:sz w:val="48"/>
          <w:szCs w:val="48"/>
        </w:rPr>
      </w:pPr>
      <w:r>
        <w:rPr>
          <w:rFonts w:eastAsia="方正小标宋_GBK"/>
          <w:kern w:val="0"/>
          <w:sz w:val="48"/>
          <w:szCs w:val="48"/>
        </w:rPr>
        <w:t>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9"/>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rPr>
        <w:t>中央防控财力补助资金——移动核酸检测车、防疫经费</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奇台县人民医院</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奇台县卫生健康委员会</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刘晓亮</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rPr>
        <w:t>2024</w:t>
      </w:r>
      <w:r>
        <w:rPr>
          <w:rFonts w:eastAsia="仿宋_GB2312"/>
          <w:kern w:val="0"/>
          <w:sz w:val="36"/>
          <w:szCs w:val="36"/>
        </w:rPr>
        <w:t>年</w:t>
      </w:r>
      <w:r>
        <w:rPr>
          <w:rFonts w:hint="eastAsia" w:eastAsia="仿宋_GB2312"/>
          <w:kern w:val="0"/>
          <w:sz w:val="36"/>
          <w:szCs w:val="36"/>
        </w:rPr>
        <w:t>4</w:t>
      </w:r>
      <w:r>
        <w:rPr>
          <w:rFonts w:eastAsia="仿宋_GB2312"/>
          <w:kern w:val="0"/>
          <w:sz w:val="36"/>
          <w:szCs w:val="36"/>
        </w:rPr>
        <w:t>月</w:t>
      </w:r>
      <w:r>
        <w:rPr>
          <w:rFonts w:hint="eastAsia" w:eastAsia="仿宋_GB2312"/>
          <w:kern w:val="0"/>
          <w:sz w:val="36"/>
          <w:szCs w:val="36"/>
        </w:rPr>
        <w:t>17</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Fonts w:eastAsia="仿宋_GB2312"/>
          <w:sz w:val="32"/>
          <w:szCs w:val="32"/>
        </w:rPr>
      </w:pPr>
      <w:r>
        <w:rPr>
          <w:rFonts w:hint="eastAsia" w:eastAsia="仿宋_GB2312"/>
          <w:sz w:val="32"/>
          <w:szCs w:val="32"/>
        </w:rPr>
        <w:t>根据，国务院联防联控机制综合组制定了《新冠肺炎防控核酸检测实施办法》《新冠肺炎风险区划定及管控方案》《新冠肺炎居家隔离医学观察指南》《新冠肺炎居家健康监测指南》,切实做好新型冠状病毒感染肺炎防控工作，提高新型冠状病毒的防治水平和应对能力，及时、有效地采取防控措施，控制的传播、蔓延，保障广大群众的身体健康和生命安全。安排的资金主要用于方舱医院购买医疗设备、防疫物资、</w:t>
      </w:r>
      <w:r>
        <w:rPr>
          <w:rFonts w:hint="eastAsia" w:eastAsia="仿宋_GB2312"/>
          <w:sz w:val="32"/>
          <w:szCs w:val="32"/>
          <w:lang w:eastAsia="zh-CN"/>
        </w:rPr>
        <w:t>核酸检测</w:t>
      </w:r>
      <w:r>
        <w:rPr>
          <w:rFonts w:hint="eastAsia" w:eastAsia="仿宋_GB2312"/>
          <w:sz w:val="32"/>
          <w:szCs w:val="32"/>
        </w:rPr>
        <w:t>车。</w:t>
      </w:r>
    </w:p>
    <w:p>
      <w:pPr>
        <w:pStyle w:val="9"/>
        <w:numPr>
          <w:ilvl w:val="0"/>
          <w:numId w:val="1"/>
        </w:numPr>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40" w:firstLineChars="200"/>
        <w:rPr>
          <w:rFonts w:eastAsia="仿宋_GB2312"/>
          <w:sz w:val="32"/>
          <w:szCs w:val="32"/>
        </w:rPr>
      </w:pPr>
      <w:r>
        <w:rPr>
          <w:rFonts w:hint="eastAsia" w:eastAsia="仿宋_GB2312"/>
          <w:sz w:val="32"/>
          <w:szCs w:val="32"/>
        </w:rPr>
        <w:t>项目主要内容：因需要设备、防疫物资、</w:t>
      </w:r>
      <w:r>
        <w:rPr>
          <w:rFonts w:hint="eastAsia" w:eastAsia="仿宋_GB2312"/>
          <w:sz w:val="32"/>
          <w:szCs w:val="32"/>
          <w:lang w:eastAsia="zh-CN"/>
        </w:rPr>
        <w:t>核酸检测</w:t>
      </w:r>
      <w:r>
        <w:rPr>
          <w:rFonts w:hint="eastAsia" w:eastAsia="仿宋_GB2312"/>
          <w:sz w:val="32"/>
          <w:szCs w:val="32"/>
        </w:rPr>
        <w:t>车等为患者提供服务，启动防控资金项目，对于保障医院正常运行，提高防控能力，为人民身体健康保驾护航有巨大的促进作用。所以拨付中央防控财力补助资金，用于方舱医院购买医疗设备、防疫物资、</w:t>
      </w:r>
      <w:r>
        <w:rPr>
          <w:rFonts w:hint="eastAsia" w:eastAsia="仿宋_GB2312"/>
          <w:sz w:val="32"/>
          <w:szCs w:val="32"/>
          <w:lang w:eastAsia="zh-CN"/>
        </w:rPr>
        <w:t>核酸检测</w:t>
      </w:r>
      <w:r>
        <w:rPr>
          <w:rFonts w:hint="eastAsia" w:eastAsia="仿宋_GB2312"/>
          <w:sz w:val="32"/>
          <w:szCs w:val="32"/>
        </w:rPr>
        <w:t>车。</w:t>
      </w:r>
    </w:p>
    <w:p>
      <w:pPr>
        <w:spacing w:line="560" w:lineRule="exact"/>
        <w:ind w:firstLine="640" w:firstLineChars="200"/>
        <w:rPr>
          <w:rFonts w:eastAsia="仿宋_GB2312"/>
          <w:sz w:val="32"/>
          <w:szCs w:val="32"/>
        </w:rPr>
      </w:pPr>
      <w:r>
        <w:rPr>
          <w:rFonts w:eastAsia="仿宋_GB2312"/>
          <w:sz w:val="32"/>
          <w:szCs w:val="32"/>
        </w:rPr>
        <w:t>项目实施情况：</w:t>
      </w:r>
      <w:r>
        <w:rPr>
          <w:rFonts w:hint="eastAsia" w:eastAsia="仿宋_GB2312"/>
          <w:sz w:val="32"/>
          <w:szCs w:val="32"/>
        </w:rPr>
        <w:t>奇台县人民医院为深入贯彻中央防控财力补助资金——移动核酸检测车、防疫经费的文件精神，制定了项目实施方案、绩效考核方案和资金管理办法,内容与上级精神相统一。院内成立项目领导小组，领导小组下设办公室，主任由何丽主任担任。工作人员根据工作需要从领导小组成员部门抽取。领导小组办公室按照事前审核、事中监控、事后检查的要求，确保项目资金专款专用，专户管理，专账核算。</w:t>
      </w: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（1）资金投入情况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该项目年初预算数353.14万元，全年预算数353.14万元，实际总投入353.14万元，该项目资金已全部落实到位，资金来源为</w:t>
      </w:r>
      <w:r>
        <w:rPr>
          <w:rFonts w:hint="eastAsia" w:eastAsia="仿宋_GB2312"/>
          <w:sz w:val="32"/>
          <w:szCs w:val="32"/>
        </w:rPr>
        <w:t>上级直达资金</w:t>
      </w:r>
      <w:r>
        <w:rPr>
          <w:rFonts w:hint="eastAsia" w:ascii="仿宋_GB2312" w:hAnsi="仿宋_GB2312" w:eastAsia="仿宋_GB2312" w:cs="仿宋_GB2312"/>
          <w:sz w:val="32"/>
          <w:szCs w:val="32"/>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（2）资金使用情况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该项目年初预算数353.14万元，全年预算数353.14万元,全年执行数353.14万元，预算执行率为100%，主要用于：因需要设备、防疫物资、</w:t>
      </w:r>
      <w:r>
        <w:rPr>
          <w:rFonts w:hint="eastAsia" w:ascii="仿宋_GB2312" w:hAnsi="仿宋_GB2312" w:eastAsia="仿宋_GB2312" w:cs="仿宋_GB2312"/>
          <w:sz w:val="32"/>
          <w:szCs w:val="32"/>
          <w:lang w:eastAsia="zh-CN"/>
        </w:rPr>
        <w:t>核酸检测</w:t>
      </w:r>
      <w:r>
        <w:rPr>
          <w:rFonts w:hint="eastAsia" w:ascii="仿宋_GB2312" w:hAnsi="仿宋_GB2312" w:eastAsia="仿宋_GB2312" w:cs="仿宋_GB2312"/>
          <w:sz w:val="32"/>
          <w:szCs w:val="32"/>
        </w:rPr>
        <w:t>车等为患者提供服务，启动防控资金项目，拨付中央防控财力补助资金，用于购买所需医疗设备，防护物资及维修改造费用，保障医院正常运行，提高防控能力，为人民身体健康保驾护航。</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本项目投入353.14万元用于化解期间购买医疗设备、防疫物资、核酸检测车等项目，以达到缓解我院运行压力，保障我院良好信用的效果。</w:t>
      </w:r>
    </w:p>
    <w:p>
      <w:pPr>
        <w:spacing w:line="560" w:lineRule="exact"/>
        <w:ind w:firstLine="640" w:firstLineChars="200"/>
        <w:rPr>
          <w:rFonts w:hint="eastAsia" w:ascii="仿宋_GB2312" w:hAnsi="仿宋_GB2312" w:eastAsia="仿宋_GB2312" w:cs="仿宋_GB2312"/>
          <w:sz w:val="30"/>
          <w:szCs w:val="30"/>
        </w:rPr>
      </w:pPr>
      <w:r>
        <w:rPr>
          <w:rFonts w:eastAsia="仿宋_GB2312"/>
          <w:sz w:val="32"/>
          <w:szCs w:val="32"/>
        </w:rPr>
        <w:t>2、阶段性目标</w:t>
      </w:r>
    </w:p>
    <w:p>
      <w:pPr>
        <w:spacing w:line="560" w:lineRule="exact"/>
        <w:ind w:firstLine="640" w:firstLineChars="200"/>
        <w:rPr>
          <w:rFonts w:hint="eastAsia" w:ascii="仿宋_GB2312" w:hAnsi="仿宋_GB2312" w:eastAsia="仿宋_GB2312" w:cs="仿宋_GB2312"/>
          <w:sz w:val="32"/>
          <w:szCs w:val="32"/>
        </w:rPr>
      </w:pPr>
      <w:r>
        <w:rPr>
          <w:rFonts w:hint="eastAsia" w:eastAsia="仿宋_GB2312"/>
          <w:sz w:val="32"/>
          <w:szCs w:val="32"/>
        </w:rPr>
        <w:t>因需要设备、防疫物资、</w:t>
      </w:r>
      <w:r>
        <w:rPr>
          <w:rFonts w:hint="eastAsia" w:eastAsia="仿宋_GB2312"/>
          <w:sz w:val="32"/>
          <w:szCs w:val="32"/>
          <w:lang w:eastAsia="zh-CN"/>
        </w:rPr>
        <w:t>核酸检测</w:t>
      </w:r>
      <w:r>
        <w:rPr>
          <w:rFonts w:hint="eastAsia" w:eastAsia="仿宋_GB2312"/>
          <w:sz w:val="32"/>
          <w:szCs w:val="32"/>
        </w:rPr>
        <w:t>车等为患者提供服务，启动防控资金项目，我院于此项目期间完成</w:t>
      </w:r>
      <w:r>
        <w:rPr>
          <w:rFonts w:hint="eastAsia" w:ascii="仿宋_GB2312" w:hAnsi="仿宋_GB2312" w:eastAsia="仿宋_GB2312" w:cs="仿宋_GB2312"/>
          <w:sz w:val="32"/>
          <w:szCs w:val="32"/>
        </w:rPr>
        <w:t>移动核酸车及相关设备物资的采购入库，</w:t>
      </w:r>
      <w:r>
        <w:rPr>
          <w:rFonts w:hint="eastAsia" w:eastAsia="仿宋_GB2312"/>
          <w:sz w:val="32"/>
          <w:szCs w:val="32"/>
        </w:rPr>
        <w:t>对于保障医院正常运行，</w:t>
      </w:r>
      <w:r>
        <w:rPr>
          <w:rFonts w:hint="eastAsia" w:ascii="仿宋_GB2312" w:hAnsi="仿宋_GB2312" w:eastAsia="仿宋_GB2312" w:cs="仿宋_GB2312"/>
          <w:sz w:val="32"/>
          <w:szCs w:val="32"/>
        </w:rPr>
        <w:t>有效提升了防控能力，降低社会影响，保障公众健康，提高医疗卫生服务质量。</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40" w:firstLineChars="200"/>
        <w:rPr>
          <w:rFonts w:eastAsia="仿宋_GB2312"/>
          <w:kern w:val="0"/>
          <w:sz w:val="32"/>
          <w:szCs w:val="32"/>
        </w:rPr>
      </w:pPr>
      <w:r>
        <w:rPr>
          <w:rFonts w:hint="eastAsia" w:eastAsia="仿宋_GB2312"/>
          <w:kern w:val="0"/>
          <w:sz w:val="32"/>
          <w:szCs w:val="32"/>
        </w:rPr>
        <w:t>中央防控财力补助资金——移动核酸检测车、防疫经费项目所包含的全部项目内容。</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3、绩效评价的范围</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eastAsia="仿宋_GB2312"/>
          <w:kern w:val="0"/>
          <w:sz w:val="32"/>
          <w:szCs w:val="32"/>
        </w:rPr>
        <w:t>中央防控财力补助资金——移动核酸检测车、防疫经费项目</w:t>
      </w:r>
      <w:r>
        <w:rPr>
          <w:rFonts w:hint="eastAsia" w:ascii="仿宋_GB2312" w:hAnsi="仿宋_GB2312" w:eastAsia="仿宋_GB2312" w:cs="仿宋_GB2312"/>
          <w:sz w:val="32"/>
          <w:szCs w:val="32"/>
        </w:rPr>
        <w:t>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sz w:val="32"/>
          <w:szCs w:val="32"/>
        </w:rPr>
      </w:pPr>
      <w:r>
        <w:rPr>
          <w:rFonts w:eastAsia="仿宋_GB2312"/>
          <w:sz w:val="32"/>
          <w:szCs w:val="32"/>
        </w:rPr>
        <w:t>本次项目绩效评价遵循以下基本原则：</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9"/>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spacing w:val="17"/>
          <w:sz w:val="32"/>
          <w:szCs w:val="32"/>
        </w:rPr>
      </w:pPr>
      <w:r>
        <w:rPr>
          <w:rFonts w:eastAsia="仿宋_GB2312"/>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spacing w:val="17"/>
          <w:sz w:val="32"/>
          <w:szCs w:val="32"/>
        </w:rPr>
      </w:pPr>
      <w:r>
        <w:rPr>
          <w:rFonts w:eastAsia="仿宋_GB2312"/>
          <w:spacing w:val="17"/>
          <w:sz w:val="32"/>
          <w:szCs w:val="32"/>
        </w:rPr>
        <w:t>（1）确定评价指标</w:t>
      </w:r>
    </w:p>
    <w:p>
      <w:pPr>
        <w:spacing w:line="560" w:lineRule="exact"/>
        <w:ind w:firstLine="708" w:firstLineChars="200"/>
        <w:rPr>
          <w:rFonts w:eastAsia="仿宋_GB2312"/>
          <w:spacing w:val="17"/>
          <w:sz w:val="32"/>
          <w:szCs w:val="32"/>
        </w:rPr>
      </w:pPr>
      <w:r>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spacing w:val="17"/>
          <w:sz w:val="32"/>
          <w:szCs w:val="32"/>
        </w:rPr>
      </w:pPr>
      <w:r>
        <w:rPr>
          <w:rFonts w:eastAsia="仿宋_GB2312"/>
          <w:spacing w:val="17"/>
          <w:sz w:val="32"/>
          <w:szCs w:val="32"/>
        </w:rPr>
        <w:t>（2）确定权重</w:t>
      </w:r>
    </w:p>
    <w:p>
      <w:pPr>
        <w:spacing w:line="560" w:lineRule="exact"/>
        <w:ind w:firstLine="708" w:firstLineChars="200"/>
        <w:rPr>
          <w:rFonts w:eastAsia="仿宋_GB2312"/>
          <w:spacing w:val="17"/>
          <w:sz w:val="32"/>
          <w:szCs w:val="32"/>
        </w:rPr>
      </w:pPr>
      <w:r>
        <w:rPr>
          <w:rFonts w:eastAsia="仿宋_GB2312"/>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spacing w:val="17"/>
          <w:sz w:val="32"/>
          <w:szCs w:val="32"/>
        </w:rPr>
      </w:pPr>
      <w:r>
        <w:rPr>
          <w:rFonts w:eastAsia="仿宋_GB2312"/>
          <w:spacing w:val="17"/>
          <w:sz w:val="32"/>
          <w:szCs w:val="32"/>
        </w:rPr>
        <w:t>（3）确定指标标准值</w:t>
      </w:r>
    </w:p>
    <w:p>
      <w:pPr>
        <w:spacing w:line="560" w:lineRule="exact"/>
        <w:ind w:firstLine="708" w:firstLineChars="200"/>
        <w:rPr>
          <w:rFonts w:eastAsia="仿宋_GB2312"/>
          <w:spacing w:val="17"/>
          <w:sz w:val="32"/>
          <w:szCs w:val="32"/>
        </w:rPr>
      </w:pPr>
      <w:r>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pPr>
        <w:pStyle w:val="9"/>
        <w:spacing w:before="0" w:after="0" w:line="560" w:lineRule="exact"/>
        <w:ind w:firstLine="708" w:firstLineChars="200"/>
        <w:jc w:val="both"/>
        <w:rPr>
          <w:rFonts w:ascii="Times New Roman" w:hAnsi="Times New Roman" w:eastAsia="仿宋_GB2312"/>
          <w:b w:val="0"/>
          <w:bCs w:val="0"/>
          <w:spacing w:val="17"/>
          <w:kern w:val="2"/>
        </w:rPr>
      </w:pPr>
      <w:r>
        <w:rPr>
          <w:rFonts w:ascii="Times New Roman" w:hAnsi="Times New Roman" w:eastAsia="仿宋_GB2312"/>
          <w:b w:val="0"/>
          <w:bCs w:val="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9"/>
        <w:widowControl w:val="0"/>
        <w:spacing w:before="0" w:after="0" w:line="560" w:lineRule="exact"/>
        <w:ind w:firstLine="708" w:firstLineChars="200"/>
        <w:jc w:val="both"/>
        <w:outlineLvl w:val="9"/>
        <w:rPr>
          <w:rFonts w:ascii="Times New Roman" w:hAnsi="Times New Roman" w:eastAsia="仿宋_GB2312"/>
          <w:b w:val="0"/>
          <w:bCs w:val="0"/>
          <w:spacing w:val="17"/>
        </w:rPr>
      </w:pPr>
      <w:r>
        <w:rPr>
          <w:rFonts w:ascii="Times New Roman" w:hAnsi="Times New Roman" w:eastAsia="仿宋_GB2312"/>
          <w:b w:val="0"/>
          <w:bCs w:val="0"/>
          <w:spacing w:val="17"/>
        </w:rPr>
        <w:t>具体评价指标体系详情见附件1</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spacing w:val="17"/>
          <w:sz w:val="32"/>
          <w:szCs w:val="32"/>
        </w:rPr>
      </w:pPr>
      <w:r>
        <w:rPr>
          <w:rFonts w:eastAsia="仿宋_GB2312"/>
          <w:spacing w:val="17"/>
          <w:sz w:val="32"/>
          <w:szCs w:val="32"/>
        </w:rPr>
        <w:t>绩效评价从项目决策、项目过程、项目产出、项目效益四个维度进行评价。评价对象为项目目标实施情况，评价核心为资金的支出完成情况和项目的产出效益。</w:t>
      </w:r>
    </w:p>
    <w:p>
      <w:pPr>
        <w:spacing w:line="560" w:lineRule="exact"/>
        <w:ind w:firstLine="708" w:firstLineChars="200"/>
        <w:rPr>
          <w:rFonts w:eastAsia="仿宋_GB2312"/>
          <w:spacing w:val="17"/>
          <w:sz w:val="32"/>
          <w:szCs w:val="32"/>
        </w:rPr>
      </w:pPr>
      <w:r>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spacing w:val="17"/>
          <w:sz w:val="32"/>
          <w:szCs w:val="32"/>
        </w:rPr>
      </w:pPr>
      <w:r>
        <w:rPr>
          <w:rFonts w:eastAsia="仿宋_GB2312"/>
          <w:spacing w:val="17"/>
          <w:sz w:val="32"/>
          <w:szCs w:val="32"/>
        </w:rPr>
        <w:t>（1）比较法</w:t>
      </w:r>
    </w:p>
    <w:p>
      <w:pPr>
        <w:spacing w:line="560" w:lineRule="exact"/>
        <w:ind w:firstLine="708" w:firstLineChars="200"/>
        <w:rPr>
          <w:rFonts w:eastAsia="仿宋_GB2312"/>
          <w:spacing w:val="17"/>
          <w:sz w:val="32"/>
          <w:szCs w:val="32"/>
        </w:rPr>
      </w:pPr>
      <w:r>
        <w:rPr>
          <w:rFonts w:eastAsia="仿宋_GB2312"/>
          <w:spacing w:val="17"/>
          <w:sz w:val="32"/>
          <w:szCs w:val="32"/>
        </w:rPr>
        <w:t>通过对绩效目标与实施效果、历史与当期情况，综合分析绩效目标实现程度。对</w:t>
      </w:r>
      <w:r>
        <w:rPr>
          <w:rFonts w:eastAsia="仿宋_GB2312"/>
          <w:sz w:val="32"/>
          <w:szCs w:val="32"/>
        </w:rPr>
        <w:t>项目</w:t>
      </w:r>
      <w:r>
        <w:rPr>
          <w:rFonts w:eastAsia="仿宋_GB2312"/>
          <w:spacing w:val="17"/>
          <w:sz w:val="32"/>
          <w:szCs w:val="32"/>
        </w:rPr>
        <w:t>最终验收情况与年度绩效目标对比、预算资金执行情况等相关因素进行比较。</w:t>
      </w:r>
    </w:p>
    <w:p>
      <w:pPr>
        <w:spacing w:line="560" w:lineRule="exact"/>
        <w:ind w:firstLine="708" w:firstLineChars="200"/>
        <w:rPr>
          <w:rFonts w:eastAsia="仿宋_GB2312"/>
          <w:spacing w:val="17"/>
          <w:sz w:val="32"/>
          <w:szCs w:val="32"/>
        </w:rPr>
      </w:pPr>
      <w:r>
        <w:rPr>
          <w:rFonts w:eastAsia="仿宋_GB2312"/>
          <w:spacing w:val="17"/>
          <w:sz w:val="32"/>
          <w:szCs w:val="32"/>
        </w:rPr>
        <w:t>（2）因素分析法</w:t>
      </w:r>
    </w:p>
    <w:p>
      <w:pPr>
        <w:spacing w:line="560" w:lineRule="exact"/>
        <w:ind w:firstLine="708" w:firstLineChars="200"/>
        <w:rPr>
          <w:rFonts w:eastAsia="仿宋_GB2312"/>
          <w:spacing w:val="17"/>
          <w:sz w:val="32"/>
          <w:szCs w:val="32"/>
        </w:rPr>
      </w:pPr>
      <w:r>
        <w:rPr>
          <w:rFonts w:eastAsia="仿宋_GB2312"/>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spacing w:val="17"/>
          <w:sz w:val="32"/>
          <w:szCs w:val="32"/>
        </w:rPr>
        <w:t>的开展情况、项目产出数量、成本控制、资金拨付文件及自评报告等相关资料的收集和审核，综合分析各因素对绩效目标实现的影响。</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spacing w:val="17"/>
          <w:sz w:val="32"/>
          <w:szCs w:val="32"/>
        </w:rPr>
      </w:pPr>
      <w:r>
        <w:rPr>
          <w:rFonts w:hint="eastAsia" w:eastAsia="仿宋_GB2312"/>
          <w:spacing w:val="17"/>
          <w:sz w:val="32"/>
          <w:szCs w:val="32"/>
        </w:rPr>
        <w:t>绩效评价标准通常包括计划标准、行业标准、历史标准等，用于对绩效指标完成情况进行比较、分析、评价。本次评价主要采用了计划标准。</w:t>
      </w:r>
    </w:p>
    <w:p>
      <w:pPr>
        <w:spacing w:line="560" w:lineRule="exact"/>
        <w:ind w:firstLine="708" w:firstLineChars="200"/>
        <w:rPr>
          <w:rFonts w:eastAsia="仿宋_GB2312"/>
          <w:spacing w:val="17"/>
          <w:sz w:val="32"/>
          <w:szCs w:val="32"/>
        </w:rPr>
      </w:pPr>
      <w:bookmarkStart w:id="0" w:name="_Toc17882"/>
      <w:bookmarkStart w:id="1" w:name="_Toc31464"/>
      <w:r>
        <w:rPr>
          <w:rFonts w:hint="eastAsia" w:eastAsia="仿宋_GB2312"/>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spacing w:val="17"/>
          <w:sz w:val="32"/>
          <w:szCs w:val="32"/>
        </w:rPr>
      </w:pPr>
      <w:bookmarkStart w:id="2" w:name="_Toc2318"/>
      <w:bookmarkStart w:id="3" w:name="_Toc5633"/>
      <w:r>
        <w:rPr>
          <w:rFonts w:hint="eastAsia" w:eastAsia="仿宋_GB2312"/>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spacing w:val="17"/>
          <w:sz w:val="32"/>
          <w:szCs w:val="32"/>
        </w:rPr>
        <w:t>历史标准：指参照历史数据制定的评价标准，为体现绩效改进的原则，在可实现的条件下应当确定相对较高的评价标准。</w:t>
      </w:r>
      <w:bookmarkEnd w:id="4"/>
      <w:bookmarkEnd w:id="5"/>
    </w:p>
    <w:p>
      <w:pPr>
        <w:pStyle w:val="9"/>
        <w:numPr>
          <w:ilvl w:val="0"/>
          <w:numId w:val="3"/>
        </w:numPr>
        <w:spacing w:before="0" w:after="0" w:line="560" w:lineRule="exact"/>
        <w:ind w:firstLine="711" w:firstLineChars="200"/>
        <w:jc w:val="both"/>
        <w:rPr>
          <w:rFonts w:hint="eastAsia" w:ascii="楷体" w:hAnsi="楷体" w:eastAsia="楷体" w:cs="楷体"/>
          <w:spacing w:val="17"/>
        </w:rPr>
      </w:pPr>
      <w:r>
        <w:rPr>
          <w:rFonts w:hint="eastAsia" w:ascii="楷体" w:hAnsi="楷体" w:eastAsia="楷体" w:cs="楷体"/>
          <w:spacing w:val="17"/>
        </w:rPr>
        <w:t>绩效评价工作过程</w:t>
      </w:r>
    </w:p>
    <w:p>
      <w:pPr>
        <w:spacing w:line="560" w:lineRule="exact"/>
        <w:ind w:firstLine="640" w:firstLineChars="200"/>
        <w:rPr>
          <w:rFonts w:eastAsia="仿宋_GB2312"/>
          <w:bCs/>
          <w:sz w:val="32"/>
          <w:szCs w:val="32"/>
        </w:rPr>
      </w:pPr>
      <w:r>
        <w:rPr>
          <w:rFonts w:hint="eastAsia" w:eastAsia="仿宋_GB2312"/>
          <w:bCs/>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sz w:val="32"/>
          <w:szCs w:val="32"/>
        </w:rPr>
      </w:pPr>
      <w:r>
        <w:rPr>
          <w:rFonts w:hint="eastAsia" w:eastAsia="仿宋_GB2312"/>
          <w:bCs/>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sz w:val="32"/>
          <w:szCs w:val="32"/>
        </w:rPr>
      </w:pPr>
      <w:r>
        <w:rPr>
          <w:rFonts w:hint="eastAsia" w:eastAsia="仿宋_GB2312"/>
          <w:bCs/>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（一）评价情况</w:t>
      </w:r>
    </w:p>
    <w:p>
      <w:pPr>
        <w:spacing w:line="600" w:lineRule="exact"/>
        <w:ind w:firstLine="640" w:firstLineChars="200"/>
        <w:outlineLvl w:val="0"/>
        <w:rPr>
          <w:rFonts w:eastAsia="仿宋_GB2312"/>
          <w:kern w:val="28"/>
          <w:sz w:val="32"/>
          <w:szCs w:val="32"/>
        </w:rPr>
      </w:pPr>
      <w:r>
        <w:rPr>
          <w:rFonts w:hint="eastAsia" w:eastAsia="仿宋_GB2312"/>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9"/>
        <w:spacing w:before="0" w:after="0" w:line="560" w:lineRule="exact"/>
        <w:ind w:firstLine="643" w:firstLineChars="200"/>
        <w:jc w:val="both"/>
        <w:rPr>
          <w:rFonts w:ascii="Times New Roman" w:hAnsi="Times New Roman" w:eastAsia="楷体_GB2312"/>
        </w:rPr>
      </w:pPr>
      <w:r>
        <w:rPr>
          <w:rFonts w:hint="eastAsia" w:ascii="Times New Roman" w:hAnsi="Times New Roman" w:eastAsia="楷体_GB2312"/>
        </w:rPr>
        <w:t>（二）评价结论</w:t>
      </w:r>
    </w:p>
    <w:p>
      <w:pPr>
        <w:pStyle w:val="9"/>
        <w:widowControl w:val="0"/>
        <w:spacing w:before="0" w:after="0" w:line="560" w:lineRule="exact"/>
        <w:ind w:firstLine="640" w:firstLineChars="200"/>
        <w:jc w:val="both"/>
        <w:outlineLvl w:val="9"/>
        <w:rPr>
          <w:rFonts w:ascii="Times New Roman" w:hAnsi="Times New Roman" w:eastAsia="仿宋_GB2312"/>
          <w:b w:val="0"/>
          <w:bCs w:val="0"/>
        </w:rPr>
      </w:pPr>
      <w:r>
        <w:rPr>
          <w:rFonts w:hint="eastAsia"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pPr>
        <w:pStyle w:val="9"/>
        <w:spacing w:before="0" w:after="0"/>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sz w:val="22"/>
              </w:rPr>
            </w:pPr>
            <w:r>
              <w:rPr>
                <w:rFonts w:hint="eastAsia"/>
                <w:b/>
                <w:bCs/>
                <w:sz w:val="2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40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sz w:val="22"/>
              </w:rPr>
            </w:pPr>
            <w:r>
              <w:rPr>
                <w:rFonts w:hint="eastAsia"/>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c>
          <w:tcPr>
            <w:tcW w:w="2278" w:type="dxa"/>
            <w:tcBorders>
              <w:top w:val="nil"/>
              <w:left w:val="nil"/>
              <w:bottom w:val="single" w:color="auto" w:sz="4" w:space="0"/>
              <w:right w:val="single" w:color="auto" w:sz="4" w:space="0"/>
            </w:tcBorders>
            <w:shd w:val="clear" w:color="auto" w:fill="auto"/>
            <w:vAlign w:val="center"/>
          </w:tcPr>
          <w:p>
            <w:pPr>
              <w:jc w:val="center"/>
              <w:rPr>
                <w:sz w:val="22"/>
              </w:rPr>
            </w:pPr>
            <w:r>
              <w:rPr>
                <w:rFonts w:hint="eastAsia"/>
                <w:sz w:val="2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sz w:val="22"/>
              </w:rPr>
            </w:pPr>
            <w:r>
              <w:rPr>
                <w:rFonts w:hint="eastAsia" w:cs="宋体"/>
                <w:b/>
                <w:bCs/>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sz w:val="22"/>
              </w:rPr>
            </w:pPr>
            <w:r>
              <w:rPr>
                <w:rFonts w:hint="eastAsia"/>
                <w:b/>
                <w:bCs/>
                <w:sz w:val="22"/>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9"/>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项目决策类指标包括项目立项、绩效目标和资金投入三方面的内容，由6个三级指标构成，权重分值为20分，实际得分20分，得分率为90%。</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1.项目立项</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2.绩效目标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年初结合实际工作内容</w:t>
      </w:r>
      <w:r>
        <w:rPr>
          <w:rFonts w:hint="eastAsia" w:ascii="仿宋_GB2312" w:hAnsi="仿宋_GB2312" w:eastAsia="仿宋_GB2312" w:cs="仿宋_GB2312"/>
          <w:sz w:val="32"/>
          <w:szCs w:val="32"/>
        </w:rPr>
        <w:t>设定绩效目标</w:t>
      </w:r>
      <w:r>
        <w:rPr>
          <w:rFonts w:hint="eastAsia" w:ascii="仿宋_GB2312" w:hAnsi="仿宋_GB2312" w:eastAsia="仿宋_GB2312" w:cs="仿宋_GB2312"/>
          <w:sz w:val="32"/>
          <w:szCs w:val="32"/>
          <w:lang w:eastAsia="zh-Hans"/>
        </w:rPr>
        <w:t>，绩效目标</w:t>
      </w:r>
      <w:r>
        <w:rPr>
          <w:rFonts w:hint="eastAsia" w:ascii="仿宋_GB2312" w:hAnsi="仿宋_GB2312" w:eastAsia="仿宋_GB2312" w:cs="仿宋_GB2312"/>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3.资金投入</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资金分配额度与项目单位实际工作内容相适应，资金分配额度合理，资金分配依据充分。</w:t>
      </w:r>
    </w:p>
    <w:p>
      <w:pPr>
        <w:pStyle w:val="9"/>
        <w:numPr>
          <w:ilvl w:val="0"/>
          <w:numId w:val="5"/>
        </w:numPr>
        <w:spacing w:before="0" w:after="0" w:line="560" w:lineRule="exact"/>
        <w:ind w:firstLine="643" w:firstLineChars="200"/>
        <w:jc w:val="both"/>
        <w:rPr>
          <w:rFonts w:hint="eastAsia" w:ascii="楷体" w:hAnsi="楷体" w:eastAsia="楷体" w:cs="楷体"/>
        </w:rPr>
      </w:pPr>
      <w:r>
        <w:rPr>
          <w:rFonts w:hint="eastAsia" w:ascii="楷体" w:hAnsi="楷体" w:eastAsia="楷体" w:cs="楷体"/>
        </w:rPr>
        <w:t>项目过程情况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项目过程类指标包括资金管理和组织实施两方面的内容，由5个三级指标构成，权重分值为20分，实际得分20分，得分率为100%。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1.资金管理</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本项目总投资353.14万元，财政资金及时足额到位，到位率100%，预算资金按计划进度执行。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预算编制较为详细，项目资金支出总体能够按照预算执行，预算资金支出353.14万元，预算执行率为100%。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2.组织实施</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rPr>
        <w:t>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项目产出类指标包括产出数量、产出质量、产出时效、产出成本四方面的内容，由5个三级指标构成，权重分为40分，实际得分40分，得分率为100%。具体产出指标完成情况如下：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1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①</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数量指标：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指标1：债务支付笔数，指标值：</w:t>
      </w:r>
      <w:r>
        <w:rPr>
          <w:rFonts w:hint="eastAsia"/>
        </w:rPr>
        <w:t>≥</w:t>
      </w:r>
      <w:r>
        <w:rPr>
          <w:rFonts w:hint="eastAsia" w:ascii="仿宋_GB2312" w:hAnsi="仿宋_GB2312" w:eastAsia="仿宋_GB2312" w:cs="仿宋_GB2312"/>
          <w:sz w:val="32"/>
          <w:szCs w:val="32"/>
        </w:rPr>
        <w:t>33笔，实际完成值：33笔，指标完成率100%。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2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②</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质量指标：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指标1：债务资金支付完成率，指标值：</w:t>
      </w:r>
      <w:r>
        <w:rPr>
          <w:rFonts w:hint="eastAsia"/>
        </w:rPr>
        <w:t>＝</w:t>
      </w:r>
      <w:r>
        <w:rPr>
          <w:rFonts w:hint="eastAsia" w:ascii="仿宋_GB2312" w:hAnsi="仿宋_GB2312" w:eastAsia="仿宋_GB2312" w:cs="仿宋_GB2312"/>
          <w:sz w:val="32"/>
          <w:szCs w:val="32"/>
        </w:rPr>
        <w:t>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指标2：债务还款准确率，指标值：</w:t>
      </w:r>
      <w:r>
        <w:rPr>
          <w:rFonts w:hint="eastAsia"/>
        </w:rPr>
        <w:t>＝</w:t>
      </w:r>
      <w:r>
        <w:rPr>
          <w:rFonts w:hint="eastAsia" w:ascii="仿宋_GB2312" w:hAnsi="仿宋_GB2312" w:eastAsia="仿宋_GB2312" w:cs="仿宋_GB2312"/>
          <w:sz w:val="32"/>
          <w:szCs w:val="32"/>
        </w:rPr>
        <w:t>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3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③</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时效指标：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指标1：债务资金按时支付率，指标值：</w:t>
      </w:r>
      <w:r>
        <w:rPr>
          <w:rFonts w:hint="eastAsia"/>
        </w:rPr>
        <w:t>＝</w:t>
      </w:r>
      <w:r>
        <w:rPr>
          <w:rFonts w:hint="eastAsia" w:ascii="仿宋_GB2312" w:hAnsi="仿宋_GB2312" w:eastAsia="仿宋_GB2312" w:cs="仿宋_GB2312"/>
          <w:sz w:val="32"/>
          <w:szCs w:val="32"/>
        </w:rPr>
        <w:t>100%，实际完成值：100%，指标完成率100%。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 4 \* GB3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④</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成本指标：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指标1：债务资金支付率，指标值：</w:t>
      </w:r>
      <w:r>
        <w:rPr>
          <w:rFonts w:hint="eastAsia"/>
        </w:rPr>
        <w:t>＝</w:t>
      </w:r>
      <w:r>
        <w:rPr>
          <w:rFonts w:hint="eastAsia" w:ascii="仿宋_GB2312" w:hAnsi="仿宋_GB2312" w:eastAsia="仿宋_GB2312" w:cs="仿宋_GB2312"/>
          <w:sz w:val="32"/>
          <w:szCs w:val="32"/>
        </w:rPr>
        <w:t>100%，实际完成值：100%，指标完成率100%。</w:t>
      </w:r>
    </w:p>
    <w:p>
      <w:pPr>
        <w:pStyle w:val="11"/>
        <w:numPr>
          <w:ilvl w:val="0"/>
          <w:numId w:val="5"/>
        </w:numPr>
        <w:spacing w:line="560" w:lineRule="exact"/>
        <w:ind w:firstLine="643"/>
        <w:rPr>
          <w:rFonts w:eastAsia="楷体_GB2312"/>
          <w:b/>
          <w:bCs/>
          <w:sz w:val="32"/>
          <w:szCs w:val="32"/>
        </w:rPr>
      </w:pPr>
      <w:r>
        <w:rPr>
          <w:rFonts w:hint="eastAsia" w:eastAsia="楷体_GB2312"/>
          <w:b/>
          <w:bCs/>
          <w:sz w:val="32"/>
          <w:szCs w:val="32"/>
        </w:rPr>
        <w:t>项目效益情况</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1.实施效益</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社会效益指标：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指标1：保障单位良好信用，指标值：有效保障，实际完成值：有效保障，指标完成率100%。</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2.满意度</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满意度指标：</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指标1：支付对象满意度，指标值：≥90%，实际完成值：100%，指标完成率111.11%。偏差原因：因为支付对象满意度较好，超出预期值。故存在偏差。改进措施：下年度合理预测目标值。</w:t>
      </w:r>
    </w:p>
    <w:p>
      <w:pPr>
        <w:spacing w:line="560" w:lineRule="exact"/>
        <w:ind w:firstLine="640" w:firstLineChars="200"/>
        <w:rPr>
          <w:rFonts w:eastAsia="黑体"/>
          <w:sz w:val="32"/>
          <w:szCs w:val="32"/>
          <w:lang w:eastAsia="zh-Hans"/>
        </w:rPr>
      </w:pPr>
      <w:r>
        <w:rPr>
          <w:rFonts w:hint="eastAsia" w:eastAsia="黑体"/>
          <w:sz w:val="32"/>
          <w:szCs w:val="32"/>
          <w:lang w:eastAsia="zh-Hans"/>
        </w:rPr>
        <w:t>五、预算执行进度与绩效指标总体完成率偏差</w:t>
      </w:r>
    </w:p>
    <w:p>
      <w:pPr>
        <w:pStyle w:val="18"/>
        <w:spacing w:line="560" w:lineRule="exact"/>
        <w:ind w:firstLine="640"/>
        <w:rPr>
          <w:rFonts w:eastAsia="仿宋_GB2312"/>
          <w:kern w:val="2"/>
          <w:sz w:val="32"/>
          <w:szCs w:val="32"/>
        </w:rPr>
      </w:pPr>
      <w:r>
        <w:rPr>
          <w:rFonts w:hint="eastAsia" w:eastAsia="仿宋_GB2312"/>
          <w:kern w:val="2"/>
          <w:sz w:val="32"/>
          <w:szCs w:val="32"/>
        </w:rPr>
        <w:t>中央防控财力补助--防疫物资项目年初预算353.14万元，全年预算353.14万元，实际支出353.14万元，预算执行率为100%，项目绩效指标总体完成率为101.59%，</w:t>
      </w:r>
      <w:r>
        <w:rPr>
          <w:rFonts w:hint="eastAsia" w:eastAsia="仿宋_GB2312"/>
          <w:kern w:val="2"/>
          <w:sz w:val="32"/>
          <w:szCs w:val="32"/>
          <w:lang w:eastAsia="zh-Hans"/>
        </w:rPr>
        <w:t>总体</w:t>
      </w:r>
      <w:r>
        <w:rPr>
          <w:rFonts w:hint="eastAsia" w:eastAsia="仿宋_GB2312"/>
          <w:kern w:val="2"/>
          <w:sz w:val="32"/>
          <w:szCs w:val="32"/>
        </w:rPr>
        <w:t>偏差率为1.59%,</w:t>
      </w:r>
      <w:r>
        <w:rPr>
          <w:rFonts w:hint="eastAsia" w:eastAsia="仿宋_GB2312"/>
          <w:kern w:val="2"/>
          <w:sz w:val="32"/>
          <w:szCs w:val="32"/>
          <w:lang w:eastAsia="zh-Hans"/>
        </w:rPr>
        <w:t>偏差</w:t>
      </w:r>
      <w:r>
        <w:rPr>
          <w:rFonts w:hint="eastAsia" w:eastAsia="仿宋_GB2312"/>
          <w:kern w:val="2"/>
          <w:sz w:val="32"/>
          <w:szCs w:val="32"/>
        </w:rPr>
        <w:t>原因因为支付对象满意度较好，超出预期值。故存在偏差。改进措施：下年度合理预测目标值。</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9"/>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2.因轮岗、调动、等因素使我单位绩效工作人员流动频繁，造成了工作衔接不到位的情况。</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hint="eastAsia" w:ascii="仿宋_GB2312" w:hAnsi="仿宋_GB2312" w:eastAsia="仿宋_GB2312" w:cs="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pacing w:line="600" w:lineRule="exact"/>
        <w:ind w:firstLine="640"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640"/>
        <w:rPr>
          <w:rFonts w:hint="eastAsia" w:ascii="仿宋_GB2312" w:hAnsi="仿宋_GB2312" w:eastAsia="仿宋_GB2312" w:cs="仿宋_GB2312"/>
          <w:sz w:val="32"/>
          <w:szCs w:val="32"/>
        </w:rPr>
      </w:pPr>
    </w:p>
    <w:p>
      <w:pPr>
        <w:pStyle w:val="12"/>
        <w:spacing w:after="0" w:line="560" w:lineRule="exact"/>
        <w:ind w:left="0" w:leftChars="0" w:firstLine="0" w:firstLineChars="0"/>
        <w:rPr>
          <w:rFonts w:hint="eastAsia"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footerReference r:id="rId3" w:type="default"/>
          <w:pgSz w:w="11906" w:h="16838"/>
          <w:pgMar w:top="1440" w:right="1558" w:bottom="1440" w:left="1800" w:header="851" w:footer="992" w:gutter="0"/>
          <w:cols w:space="425" w:num="1"/>
          <w:docGrid w:type="lines" w:linePitch="312" w:charSpace="0"/>
        </w:sectPr>
      </w:pPr>
    </w:p>
    <w:p>
      <w:pPr>
        <w:pStyle w:val="9"/>
        <w:jc w:val="both"/>
        <w:rPr>
          <w:rFonts w:ascii="Times New Roman" w:hAnsi="Times New Roman" w:eastAsia="黑体"/>
          <w:b w:val="0"/>
          <w:bCs w:val="0"/>
        </w:rPr>
      </w:pPr>
    </w:p>
    <w:tbl>
      <w:tblPr>
        <w:tblStyle w:val="13"/>
        <w:tblW w:w="8655" w:type="dxa"/>
        <w:tblInd w:w="93" w:type="dxa"/>
        <w:tblLayout w:type="fixed"/>
        <w:tblCellMar>
          <w:top w:w="0" w:type="dxa"/>
          <w:left w:w="108" w:type="dxa"/>
          <w:bottom w:w="0" w:type="dxa"/>
          <w:right w:w="108" w:type="dxa"/>
        </w:tblCellMar>
      </w:tblPr>
      <w:tblGrid>
        <w:gridCol w:w="806"/>
        <w:gridCol w:w="683"/>
        <w:gridCol w:w="750"/>
        <w:gridCol w:w="499"/>
        <w:gridCol w:w="980"/>
        <w:gridCol w:w="592"/>
        <w:gridCol w:w="831"/>
        <w:gridCol w:w="842"/>
        <w:gridCol w:w="339"/>
        <w:gridCol w:w="270"/>
        <w:gridCol w:w="431"/>
        <w:gridCol w:w="377"/>
        <w:gridCol w:w="539"/>
        <w:gridCol w:w="716"/>
      </w:tblGrid>
      <w:tr>
        <w:tblPrEx>
          <w:tblLayout w:type="fixed"/>
          <w:tblCellMar>
            <w:top w:w="0" w:type="dxa"/>
            <w:left w:w="108" w:type="dxa"/>
            <w:bottom w:w="0" w:type="dxa"/>
            <w:right w:w="108" w:type="dxa"/>
          </w:tblCellMar>
        </w:tblPrEx>
        <w:trPr>
          <w:trHeight w:val="405" w:hRule="atLeast"/>
        </w:trPr>
        <w:tc>
          <w:tcPr>
            <w:tcW w:w="865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b/>
                <w:bCs/>
                <w:sz w:val="32"/>
                <w:szCs w:val="32"/>
              </w:rPr>
            </w:pPr>
            <w:r>
              <w:rPr>
                <w:rFonts w:hint="eastAsia" w:ascii="宋体" w:hAnsi="宋体" w:cs="宋体"/>
                <w:b/>
                <w:bCs/>
                <w:kern w:val="0"/>
                <w:sz w:val="32"/>
                <w:szCs w:val="32"/>
                <w:lang w:bidi="ar"/>
              </w:rPr>
              <w:t>项目支出绩效自评表</w:t>
            </w:r>
          </w:p>
        </w:tc>
      </w:tr>
      <w:tr>
        <w:tblPrEx>
          <w:tblLayout w:type="fixed"/>
          <w:tblCellMar>
            <w:top w:w="0" w:type="dxa"/>
            <w:left w:w="108" w:type="dxa"/>
            <w:bottom w:w="0" w:type="dxa"/>
            <w:right w:w="108" w:type="dxa"/>
          </w:tblCellMar>
        </w:tblPrEx>
        <w:trPr>
          <w:trHeight w:val="270" w:hRule="atLeast"/>
        </w:trPr>
        <w:tc>
          <w:tcPr>
            <w:tcW w:w="865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(2023年度)</w:t>
            </w:r>
          </w:p>
        </w:tc>
      </w:tr>
      <w:tr>
        <w:tblPrEx>
          <w:tblLayout w:type="fixed"/>
          <w:tblCellMar>
            <w:top w:w="0" w:type="dxa"/>
            <w:left w:w="108" w:type="dxa"/>
            <w:bottom w:w="0" w:type="dxa"/>
            <w:right w:w="108" w:type="dxa"/>
          </w:tblCellMar>
        </w:tblPrEx>
        <w:trPr>
          <w:trHeight w:val="270" w:hRule="atLeast"/>
        </w:trPr>
        <w:tc>
          <w:tcPr>
            <w:tcW w:w="14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项目名称</w:t>
            </w:r>
          </w:p>
        </w:tc>
        <w:tc>
          <w:tcPr>
            <w:tcW w:w="716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中央防控财力补助资金——移动核酸检测车、防疫经费</w:t>
            </w:r>
          </w:p>
        </w:tc>
      </w:tr>
      <w:tr>
        <w:tblPrEx>
          <w:tblLayout w:type="fixed"/>
          <w:tblCellMar>
            <w:top w:w="0" w:type="dxa"/>
            <w:left w:w="108" w:type="dxa"/>
            <w:bottom w:w="0" w:type="dxa"/>
            <w:right w:w="108" w:type="dxa"/>
          </w:tblCellMar>
        </w:tblPrEx>
        <w:trPr>
          <w:trHeight w:val="270" w:hRule="atLeast"/>
        </w:trPr>
        <w:tc>
          <w:tcPr>
            <w:tcW w:w="14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主管部门</w:t>
            </w:r>
          </w:p>
        </w:tc>
        <w:tc>
          <w:tcPr>
            <w:tcW w:w="36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奇台县人民医院</w:t>
            </w:r>
          </w:p>
        </w:tc>
        <w:tc>
          <w:tcPr>
            <w:tcW w:w="1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实施单位</w:t>
            </w:r>
          </w:p>
        </w:tc>
        <w:tc>
          <w:tcPr>
            <w:tcW w:w="233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奇台县人民医院</w:t>
            </w:r>
          </w:p>
        </w:tc>
      </w:tr>
      <w:tr>
        <w:tblPrEx>
          <w:tblLayout w:type="fixed"/>
          <w:tblCellMar>
            <w:top w:w="0" w:type="dxa"/>
            <w:left w:w="108" w:type="dxa"/>
            <w:bottom w:w="0" w:type="dxa"/>
            <w:right w:w="108" w:type="dxa"/>
          </w:tblCellMar>
        </w:tblPrEx>
        <w:trPr>
          <w:trHeight w:val="480" w:hRule="atLeast"/>
        </w:trPr>
        <w:tc>
          <w:tcPr>
            <w:tcW w:w="148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项目资金</w:t>
            </w:r>
            <w:r>
              <w:rPr>
                <w:rFonts w:hint="eastAsia" w:ascii="宋体" w:hAnsi="宋体" w:cs="宋体"/>
                <w:kern w:val="0"/>
                <w:sz w:val="20"/>
                <w:szCs w:val="20"/>
                <w:lang w:bidi="ar"/>
              </w:rPr>
              <w:br w:type="textWrapping"/>
            </w:r>
            <w:r>
              <w:rPr>
                <w:rFonts w:hint="eastAsia" w:ascii="宋体" w:hAnsi="宋体" w:cs="宋体"/>
                <w:kern w:val="0"/>
                <w:sz w:val="20"/>
                <w:szCs w:val="20"/>
                <w:lang w:bidi="ar"/>
              </w:rPr>
              <w:t>（万元）</w:t>
            </w:r>
          </w:p>
        </w:tc>
        <w:tc>
          <w:tcPr>
            <w:tcW w:w="1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年初预算数</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全年预算数</w:t>
            </w:r>
          </w:p>
        </w:tc>
        <w:tc>
          <w:tcPr>
            <w:tcW w:w="1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全年执行数</w:t>
            </w:r>
          </w:p>
        </w:tc>
        <w:tc>
          <w:tcPr>
            <w:tcW w:w="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执行率</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r>
      <w:tr>
        <w:tblPrEx>
          <w:tblLayout w:type="fixed"/>
          <w:tblCellMar>
            <w:top w:w="0" w:type="dxa"/>
            <w:left w:w="108" w:type="dxa"/>
            <w:bottom w:w="0" w:type="dxa"/>
            <w:right w:w="108" w:type="dxa"/>
          </w:tblCellMar>
        </w:tblPrEx>
        <w:trPr>
          <w:trHeight w:val="440" w:hRule="atLeast"/>
        </w:trPr>
        <w:tc>
          <w:tcPr>
            <w:tcW w:w="14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年度资金总额</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353.14</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353.14</w:t>
            </w:r>
          </w:p>
        </w:tc>
        <w:tc>
          <w:tcPr>
            <w:tcW w:w="1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353.14</w:t>
            </w:r>
          </w:p>
        </w:tc>
        <w:tc>
          <w:tcPr>
            <w:tcW w:w="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100.00%</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10.00分</w:t>
            </w:r>
          </w:p>
        </w:tc>
      </w:tr>
      <w:tr>
        <w:tblPrEx>
          <w:tblLayout w:type="fixed"/>
          <w:tblCellMar>
            <w:top w:w="0" w:type="dxa"/>
            <w:left w:w="108" w:type="dxa"/>
            <w:bottom w:w="0" w:type="dxa"/>
            <w:right w:w="108" w:type="dxa"/>
          </w:tblCellMar>
        </w:tblPrEx>
        <w:trPr>
          <w:trHeight w:val="440" w:hRule="atLeast"/>
        </w:trPr>
        <w:tc>
          <w:tcPr>
            <w:tcW w:w="14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其中：当年财政拨款</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353.14</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353.14</w:t>
            </w:r>
          </w:p>
        </w:tc>
        <w:tc>
          <w:tcPr>
            <w:tcW w:w="1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353.14</w:t>
            </w:r>
          </w:p>
        </w:tc>
        <w:tc>
          <w:tcPr>
            <w:tcW w:w="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trHeight w:val="440" w:hRule="atLeast"/>
        </w:trPr>
        <w:tc>
          <w:tcPr>
            <w:tcW w:w="14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上年结转资金</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trHeight w:val="440" w:hRule="atLeast"/>
        </w:trPr>
        <w:tc>
          <w:tcPr>
            <w:tcW w:w="148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 xml:space="preserve">  其他资金</w:t>
            </w:r>
          </w:p>
        </w:tc>
        <w:tc>
          <w:tcPr>
            <w:tcW w:w="98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0</w:t>
            </w:r>
          </w:p>
        </w:tc>
        <w:tc>
          <w:tcPr>
            <w:tcW w:w="142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0</w:t>
            </w:r>
          </w:p>
        </w:tc>
        <w:tc>
          <w:tcPr>
            <w:tcW w:w="11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91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c>
          <w:tcPr>
            <w:tcW w:w="71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w:t>
            </w:r>
          </w:p>
        </w:tc>
      </w:tr>
      <w:tr>
        <w:tblPrEx>
          <w:tblLayout w:type="fixed"/>
          <w:tblCellMar>
            <w:top w:w="0" w:type="dxa"/>
            <w:left w:w="108" w:type="dxa"/>
            <w:bottom w:w="0" w:type="dxa"/>
            <w:right w:w="108" w:type="dxa"/>
          </w:tblCellMar>
        </w:tblPrEx>
        <w:trPr>
          <w:trHeight w:val="270" w:hRule="atLeast"/>
        </w:trPr>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年度总体目标</w:t>
            </w:r>
          </w:p>
        </w:tc>
        <w:tc>
          <w:tcPr>
            <w:tcW w:w="43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预期目标</w:t>
            </w:r>
          </w:p>
        </w:tc>
        <w:tc>
          <w:tcPr>
            <w:tcW w:w="351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实际完成情况</w:t>
            </w:r>
          </w:p>
        </w:tc>
      </w:tr>
      <w:tr>
        <w:tblPrEx>
          <w:tblLayout w:type="fixed"/>
          <w:tblCellMar>
            <w:top w:w="0" w:type="dxa"/>
            <w:left w:w="108" w:type="dxa"/>
            <w:bottom w:w="0" w:type="dxa"/>
            <w:right w:w="108" w:type="dxa"/>
          </w:tblCellMar>
        </w:tblPrEx>
        <w:trPr>
          <w:trHeight w:val="54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4335"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sz w:val="20"/>
                <w:szCs w:val="20"/>
              </w:rPr>
            </w:pPr>
            <w:r>
              <w:rPr>
                <w:rFonts w:hint="eastAsia" w:ascii="宋体" w:hAnsi="宋体" w:cs="宋体"/>
                <w:kern w:val="0"/>
                <w:sz w:val="20"/>
                <w:szCs w:val="20"/>
                <w:lang w:bidi="ar"/>
              </w:rPr>
              <w:t>本项目支付债务33笔，债务资金支付完成率100%以上，债务还款准确率100%以上，债务资金按期支付率100%以上，债务资金支付率100%以上，有效保障了我院的良好信用，有效提升防控能力，降低社会影响，保障公众健康，提高医疗卫生服务质量，使支付对象满意度达到90%及以上。</w:t>
            </w:r>
          </w:p>
        </w:tc>
        <w:tc>
          <w:tcPr>
            <w:tcW w:w="3514" w:type="dxa"/>
            <w:gridSpan w:val="7"/>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sz w:val="20"/>
                <w:szCs w:val="20"/>
              </w:rPr>
            </w:pPr>
            <w:r>
              <w:rPr>
                <w:rFonts w:hint="eastAsia" w:ascii="宋体" w:hAnsi="宋体" w:cs="宋体"/>
                <w:kern w:val="0"/>
                <w:sz w:val="20"/>
                <w:szCs w:val="20"/>
                <w:lang w:bidi="ar"/>
              </w:rPr>
              <w:t>债务支付笔数：33笔；债务资金支付完成率：100%；债务还款准确率：100%；债务资金按时支付率：100%；债务资金支付率：100%；保障单位良好信用：有效保障；支付对象满意度：90%</w:t>
            </w:r>
          </w:p>
        </w:tc>
      </w:tr>
      <w:tr>
        <w:tblPrEx>
          <w:tblLayout w:type="fixed"/>
          <w:tblCellMar>
            <w:top w:w="0" w:type="dxa"/>
            <w:left w:w="108" w:type="dxa"/>
            <w:bottom w:w="0" w:type="dxa"/>
            <w:right w:w="108" w:type="dxa"/>
          </w:tblCellMar>
        </w:tblPrEx>
        <w:trPr>
          <w:trHeight w:val="312" w:hRule="atLeast"/>
        </w:trPr>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一级指标</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二级指标</w:t>
            </w:r>
          </w:p>
        </w:tc>
        <w:tc>
          <w:tcPr>
            <w:tcW w:w="207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三级指标</w:t>
            </w:r>
          </w:p>
        </w:tc>
        <w:tc>
          <w:tcPr>
            <w:tcW w:w="8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年度指标值</w:t>
            </w:r>
          </w:p>
        </w:tc>
        <w:tc>
          <w:tcPr>
            <w:tcW w:w="8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实际完成值</w:t>
            </w:r>
          </w:p>
        </w:tc>
        <w:tc>
          <w:tcPr>
            <w:tcW w:w="609"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分值</w:t>
            </w:r>
          </w:p>
        </w:tc>
        <w:tc>
          <w:tcPr>
            <w:tcW w:w="80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得分</w:t>
            </w:r>
          </w:p>
        </w:tc>
        <w:tc>
          <w:tcPr>
            <w:tcW w:w="12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偏差原因分析及改进措施</w:t>
            </w:r>
          </w:p>
        </w:tc>
      </w:tr>
      <w:tr>
        <w:tblPrEx>
          <w:tblLayout w:type="fixed"/>
          <w:tblCellMar>
            <w:top w:w="0" w:type="dxa"/>
            <w:left w:w="108" w:type="dxa"/>
            <w:bottom w:w="0" w:type="dxa"/>
            <w:right w:w="108" w:type="dxa"/>
          </w:tblCellMar>
        </w:tblPrEx>
        <w:trPr>
          <w:trHeight w:val="312"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207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8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8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09"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80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12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80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年度绩效指标完成情况</w:t>
            </w:r>
          </w:p>
        </w:tc>
        <w:tc>
          <w:tcPr>
            <w:tcW w:w="6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产出指标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数量指标</w:t>
            </w:r>
          </w:p>
        </w:tc>
        <w:tc>
          <w:tcPr>
            <w:tcW w:w="20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债务支付笔数</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&gt;=33笔</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=33笔</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质量指标</w:t>
            </w:r>
          </w:p>
        </w:tc>
        <w:tc>
          <w:tcPr>
            <w:tcW w:w="20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债务资金支付完成率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质量指标</w:t>
            </w:r>
          </w:p>
        </w:tc>
        <w:tc>
          <w:tcPr>
            <w:tcW w:w="20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债务还款准确率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时效指标</w:t>
            </w:r>
          </w:p>
        </w:tc>
        <w:tc>
          <w:tcPr>
            <w:tcW w:w="20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债务资金按时支付率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成本指标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经济成本指标</w:t>
            </w:r>
          </w:p>
        </w:tc>
        <w:tc>
          <w:tcPr>
            <w:tcW w:w="20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债务资金支付率</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效益指标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社会效益指标</w:t>
            </w:r>
          </w:p>
        </w:tc>
        <w:tc>
          <w:tcPr>
            <w:tcW w:w="20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保障单位良好信用</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有效保障</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有效保障</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20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r>
        <w:tblPrEx>
          <w:tblLayout w:type="fixed"/>
          <w:tblCellMar>
            <w:top w:w="0" w:type="dxa"/>
            <w:left w:w="108" w:type="dxa"/>
            <w:bottom w:w="0" w:type="dxa"/>
            <w:right w:w="108" w:type="dxa"/>
          </w:tblCellMar>
        </w:tblPrEx>
        <w:trPr>
          <w:trHeight w:val="400" w:hRule="atLeast"/>
        </w:trPr>
        <w:tc>
          <w:tcPr>
            <w:tcW w:w="80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c>
          <w:tcPr>
            <w:tcW w:w="68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满意度指标</w:t>
            </w:r>
          </w:p>
        </w:tc>
        <w:tc>
          <w:tcPr>
            <w:tcW w:w="2071"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sz w:val="20"/>
                <w:szCs w:val="20"/>
              </w:rPr>
            </w:pPr>
            <w:r>
              <w:rPr>
                <w:rFonts w:hint="eastAsia" w:ascii="宋体" w:hAnsi="宋体" w:cs="宋体"/>
                <w:kern w:val="0"/>
                <w:sz w:val="20"/>
                <w:szCs w:val="20"/>
                <w:lang w:bidi="ar"/>
              </w:rPr>
              <w:t>支付对象满意度</w:t>
            </w:r>
          </w:p>
        </w:tc>
        <w:tc>
          <w:tcPr>
            <w:tcW w:w="83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&gt;=90%</w:t>
            </w:r>
          </w:p>
        </w:tc>
        <w:tc>
          <w:tcPr>
            <w:tcW w:w="84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因为支付对象满意度较好，超出预期值。故存在偏差。改进措施：下年度合理预测目标值。</w:t>
            </w:r>
          </w:p>
        </w:tc>
      </w:tr>
      <w:tr>
        <w:tblPrEx>
          <w:tblLayout w:type="fixed"/>
          <w:tblCellMar>
            <w:top w:w="0" w:type="dxa"/>
            <w:left w:w="108" w:type="dxa"/>
            <w:bottom w:w="0" w:type="dxa"/>
            <w:right w:w="108" w:type="dxa"/>
          </w:tblCellMar>
        </w:tblPrEx>
        <w:trPr>
          <w:trHeight w:val="270" w:hRule="atLeast"/>
        </w:trPr>
        <w:tc>
          <w:tcPr>
            <w:tcW w:w="59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总分</w:t>
            </w:r>
          </w:p>
        </w:tc>
        <w:tc>
          <w:tcPr>
            <w:tcW w:w="6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8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sz w:val="20"/>
                <w:szCs w:val="20"/>
              </w:rPr>
            </w:pPr>
            <w:r>
              <w:rPr>
                <w:rFonts w:hint="eastAsia" w:ascii="宋体" w:hAnsi="宋体" w:cs="宋体"/>
                <w:kern w:val="0"/>
                <w:sz w:val="20"/>
                <w:szCs w:val="20"/>
                <w:lang w:bidi="ar"/>
              </w:rPr>
              <w:t>100</w:t>
            </w:r>
          </w:p>
        </w:tc>
        <w:tc>
          <w:tcPr>
            <w:tcW w:w="12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sz w:val="20"/>
                <w:szCs w:val="20"/>
              </w:rPr>
            </w:pPr>
          </w:p>
        </w:tc>
      </w:tr>
    </w:tbl>
    <w:p>
      <w:pPr>
        <w:pStyle w:val="9"/>
        <w:rPr>
          <w:rFonts w:ascii="Times New Roman" w:hAnsi="Times New Roman" w:eastAsia="黑体"/>
          <w:b w:val="0"/>
          <w:bCs w:val="0"/>
        </w:rPr>
      </w:pPr>
    </w:p>
    <w:p>
      <w:pPr>
        <w:pStyle w:val="9"/>
        <w:jc w:val="both"/>
        <w:rPr>
          <w:rFonts w:ascii="Times New Roman" w:hAnsi="Times New Roman"/>
        </w:rPr>
        <w:sectPr>
          <w:pgSz w:w="11906" w:h="16838"/>
          <w:pgMar w:top="1440" w:right="1558" w:bottom="1440" w:left="1800" w:header="851" w:footer="992" w:gutter="0"/>
          <w:cols w:space="425" w:num="1"/>
          <w:docGrid w:type="lines" w:linePitch="312" w:charSpace="0"/>
        </w:sect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rPr>
      </w:pPr>
      <w:bookmarkStart w:id="7" w:name="_Toc26499_WPSOffice_Level2"/>
      <w:bookmarkStart w:id="8" w:name="_Toc30064_WPSOffice_Level1"/>
      <w:r>
        <w:rPr>
          <w:rFonts w:hint="eastAsia"/>
          <w:b/>
          <w:bCs/>
          <w:sz w:val="28"/>
          <w:szCs w:val="40"/>
        </w:rPr>
        <w:t>中央防控财力补助资金——移动核酸检测车、防疫经费项目绩效评价指标体系及综合评分表</w:t>
      </w:r>
      <w:bookmarkEnd w:id="7"/>
      <w:bookmarkEnd w:id="8"/>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0"/>
        <w:gridCol w:w="765"/>
        <w:gridCol w:w="873"/>
        <w:gridCol w:w="2354"/>
        <w:gridCol w:w="5200"/>
        <w:gridCol w:w="1299"/>
        <w:gridCol w:w="13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0" w:type="dxa"/>
            <w:shd w:val="clear" w:color="auto" w:fill="FFFFFF"/>
            <w:vAlign w:val="center"/>
          </w:tcPr>
          <w:p>
            <w:pPr>
              <w:widowControl/>
              <w:spacing w:line="0" w:lineRule="atLeast"/>
              <w:jc w:val="center"/>
              <w:rPr>
                <w:b/>
                <w:bCs/>
                <w:kern w:val="0"/>
                <w:sz w:val="22"/>
                <w:szCs w:val="22"/>
              </w:rPr>
            </w:pPr>
            <w:r>
              <w:rPr>
                <w:b/>
                <w:bCs/>
                <w:kern w:val="0"/>
                <w:sz w:val="22"/>
                <w:szCs w:val="22"/>
              </w:rPr>
              <w:t>一级指标</w:t>
            </w:r>
          </w:p>
        </w:tc>
        <w:tc>
          <w:tcPr>
            <w:tcW w:w="765" w:type="dxa"/>
            <w:shd w:val="clear" w:color="auto" w:fill="FFFFFF"/>
            <w:vAlign w:val="center"/>
          </w:tcPr>
          <w:p>
            <w:pPr>
              <w:widowControl/>
              <w:spacing w:line="0" w:lineRule="atLeast"/>
              <w:jc w:val="center"/>
              <w:rPr>
                <w:b/>
                <w:bCs/>
                <w:kern w:val="0"/>
                <w:sz w:val="22"/>
                <w:szCs w:val="22"/>
              </w:rPr>
            </w:pPr>
            <w:r>
              <w:rPr>
                <w:b/>
                <w:bCs/>
                <w:kern w:val="0"/>
                <w:sz w:val="22"/>
                <w:szCs w:val="22"/>
              </w:rPr>
              <w:t>二级指标</w:t>
            </w:r>
          </w:p>
        </w:tc>
        <w:tc>
          <w:tcPr>
            <w:tcW w:w="873" w:type="dxa"/>
            <w:shd w:val="clear" w:color="auto" w:fill="FFFFFF"/>
            <w:vAlign w:val="center"/>
          </w:tcPr>
          <w:p>
            <w:pPr>
              <w:widowControl/>
              <w:spacing w:line="0" w:lineRule="atLeast"/>
              <w:jc w:val="center"/>
              <w:rPr>
                <w:b/>
                <w:bCs/>
                <w:kern w:val="0"/>
                <w:sz w:val="22"/>
                <w:szCs w:val="22"/>
              </w:rPr>
            </w:pPr>
            <w:r>
              <w:rPr>
                <w:b/>
                <w:bCs/>
                <w:kern w:val="0"/>
                <w:sz w:val="22"/>
                <w:szCs w:val="22"/>
              </w:rPr>
              <w:t>三级指标</w:t>
            </w:r>
          </w:p>
        </w:tc>
        <w:tc>
          <w:tcPr>
            <w:tcW w:w="2354" w:type="dxa"/>
            <w:shd w:val="clear" w:color="auto" w:fill="FFFFFF"/>
            <w:vAlign w:val="center"/>
          </w:tcPr>
          <w:p>
            <w:pPr>
              <w:widowControl/>
              <w:spacing w:line="0" w:lineRule="atLeast"/>
              <w:jc w:val="center"/>
              <w:rPr>
                <w:b/>
                <w:bCs/>
                <w:kern w:val="0"/>
                <w:sz w:val="22"/>
                <w:szCs w:val="22"/>
              </w:rPr>
            </w:pPr>
            <w:r>
              <w:rPr>
                <w:b/>
                <w:bCs/>
                <w:kern w:val="0"/>
                <w:sz w:val="22"/>
                <w:szCs w:val="22"/>
              </w:rPr>
              <w:t>指标解释</w:t>
            </w:r>
          </w:p>
        </w:tc>
        <w:tc>
          <w:tcPr>
            <w:tcW w:w="5200" w:type="dxa"/>
            <w:shd w:val="clear" w:color="auto" w:fill="FFFFFF"/>
            <w:vAlign w:val="center"/>
          </w:tcPr>
          <w:p>
            <w:pPr>
              <w:widowControl/>
              <w:spacing w:line="0" w:lineRule="atLeast"/>
              <w:jc w:val="center"/>
              <w:rPr>
                <w:b/>
                <w:bCs/>
                <w:kern w:val="0"/>
                <w:sz w:val="22"/>
                <w:szCs w:val="22"/>
              </w:rPr>
            </w:pPr>
            <w:r>
              <w:rPr>
                <w:b/>
                <w:bCs/>
                <w:kern w:val="0"/>
                <w:sz w:val="22"/>
                <w:szCs w:val="22"/>
              </w:rPr>
              <w:t>指标说明</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权重</w:t>
            </w:r>
          </w:p>
        </w:tc>
        <w:tc>
          <w:tcPr>
            <w:tcW w:w="1362" w:type="dxa"/>
            <w:shd w:val="clear" w:color="auto" w:fill="FFFFFF"/>
            <w:vAlign w:val="center"/>
          </w:tcPr>
          <w:p>
            <w:pPr>
              <w:widowControl/>
              <w:spacing w:line="0" w:lineRule="atLeast"/>
              <w:jc w:val="center"/>
              <w:rPr>
                <w:b/>
                <w:bCs/>
                <w:kern w:val="0"/>
                <w:sz w:val="22"/>
                <w:szCs w:val="22"/>
              </w:rPr>
            </w:pPr>
            <w:r>
              <w:rPr>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0" w:type="dxa"/>
            <w:vMerge w:val="restart"/>
            <w:shd w:val="clear" w:color="auto" w:fill="FFFFFF"/>
            <w:vAlign w:val="center"/>
          </w:tcPr>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p>
          <w:p>
            <w:pPr>
              <w:widowControl/>
              <w:spacing w:line="0" w:lineRule="atLeast"/>
              <w:jc w:val="center"/>
              <w:rPr>
                <w:kern w:val="0"/>
                <w:sz w:val="22"/>
                <w:szCs w:val="22"/>
              </w:rPr>
            </w:pPr>
            <w:r>
              <w:rPr>
                <w:kern w:val="0"/>
                <w:sz w:val="22"/>
                <w:szCs w:val="22"/>
              </w:rPr>
              <w:t>决策　</w:t>
            </w: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项目立项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立项依据</w:t>
            </w:r>
          </w:p>
          <w:p>
            <w:pPr>
              <w:widowControl/>
              <w:spacing w:line="0" w:lineRule="atLeast"/>
              <w:jc w:val="center"/>
              <w:rPr>
                <w:kern w:val="0"/>
                <w:sz w:val="22"/>
                <w:szCs w:val="22"/>
              </w:rPr>
            </w:pPr>
            <w:r>
              <w:rPr>
                <w:kern w:val="0"/>
                <w:sz w:val="22"/>
                <w:szCs w:val="22"/>
              </w:rPr>
              <w:t>充分性</w:t>
            </w:r>
          </w:p>
        </w:tc>
        <w:tc>
          <w:tcPr>
            <w:tcW w:w="2354" w:type="dxa"/>
            <w:shd w:val="clear" w:color="auto" w:fill="FFFFFF"/>
            <w:vAlign w:val="center"/>
          </w:tcPr>
          <w:p>
            <w:pPr>
              <w:widowControl/>
              <w:spacing w:line="0" w:lineRule="atLeast"/>
              <w:rPr>
                <w:kern w:val="0"/>
                <w:sz w:val="22"/>
                <w:szCs w:val="22"/>
              </w:rPr>
            </w:pPr>
            <w:r>
              <w:rPr>
                <w:kern w:val="0"/>
                <w:sz w:val="22"/>
                <w:szCs w:val="22"/>
              </w:rPr>
              <w:t>项目立项是否符合法律法规、相关政策、发展规划以及部门职责，用以反映和考核项目立项依据情况。</w:t>
            </w:r>
          </w:p>
        </w:tc>
        <w:tc>
          <w:tcPr>
            <w:tcW w:w="5200"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①项目立项是否符合国家法律法规、国民经济发展规划和相关政策；</w:t>
            </w:r>
            <w:r>
              <w:rPr>
                <w:kern w:val="0"/>
                <w:sz w:val="22"/>
                <w:szCs w:val="22"/>
              </w:rPr>
              <w:br w:type="textWrapping"/>
            </w:r>
            <w:r>
              <w:rPr>
                <w:kern w:val="0"/>
                <w:sz w:val="22"/>
                <w:szCs w:val="22"/>
              </w:rPr>
              <w:t>②项目立项是否符合行业发展规划和政策要求；</w:t>
            </w:r>
            <w:r>
              <w:rPr>
                <w:kern w:val="0"/>
                <w:sz w:val="22"/>
                <w:szCs w:val="22"/>
              </w:rPr>
              <w:br w:type="textWrapping"/>
            </w:r>
            <w:r>
              <w:rPr>
                <w:kern w:val="0"/>
                <w:sz w:val="22"/>
                <w:szCs w:val="22"/>
              </w:rPr>
              <w:t>③项目立项是否与部门职责范围相符，属于部门履职所需；</w:t>
            </w:r>
            <w:r>
              <w:rPr>
                <w:kern w:val="0"/>
                <w:sz w:val="22"/>
                <w:szCs w:val="22"/>
              </w:rPr>
              <w:br w:type="textWrapping"/>
            </w:r>
            <w:r>
              <w:rPr>
                <w:kern w:val="0"/>
                <w:sz w:val="22"/>
                <w:szCs w:val="22"/>
              </w:rPr>
              <w:t>④项目是否属于公共财政支持范围，是否符合中央、地方事权支出责任划分原则；</w:t>
            </w:r>
            <w:r>
              <w:rPr>
                <w:kern w:val="0"/>
                <w:sz w:val="22"/>
                <w:szCs w:val="22"/>
              </w:rPr>
              <w:br w:type="textWrapping"/>
            </w:r>
            <w:r>
              <w:rPr>
                <w:kern w:val="0"/>
                <w:sz w:val="22"/>
                <w:szCs w:val="22"/>
              </w:rPr>
              <w:t>⑤项目是否与相关部门同类项目或部门内部相关项目重复。</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立项程序</w:t>
            </w:r>
          </w:p>
          <w:p>
            <w:pPr>
              <w:widowControl/>
              <w:spacing w:line="0" w:lineRule="atLeast"/>
              <w:jc w:val="center"/>
              <w:rPr>
                <w:kern w:val="0"/>
                <w:sz w:val="22"/>
                <w:szCs w:val="22"/>
              </w:rPr>
            </w:pPr>
            <w:r>
              <w:rPr>
                <w:kern w:val="0"/>
                <w:sz w:val="22"/>
                <w:szCs w:val="22"/>
              </w:rPr>
              <w:t>规范性</w:t>
            </w:r>
          </w:p>
        </w:tc>
        <w:tc>
          <w:tcPr>
            <w:tcW w:w="2354" w:type="dxa"/>
            <w:shd w:val="clear" w:color="auto" w:fill="FFFFFF"/>
            <w:vAlign w:val="center"/>
          </w:tcPr>
          <w:p>
            <w:pPr>
              <w:widowControl/>
              <w:spacing w:line="0" w:lineRule="atLeast"/>
              <w:rPr>
                <w:kern w:val="0"/>
                <w:sz w:val="22"/>
                <w:szCs w:val="22"/>
              </w:rPr>
            </w:pPr>
            <w:r>
              <w:rPr>
                <w:kern w:val="0"/>
                <w:sz w:val="22"/>
                <w:szCs w:val="22"/>
              </w:rPr>
              <w:t>项目申请、设立过程是否符合相关要求，用以反映和考核项目立项的规范情况。</w:t>
            </w:r>
          </w:p>
        </w:tc>
        <w:tc>
          <w:tcPr>
            <w:tcW w:w="5200" w:type="dxa"/>
            <w:shd w:val="clear" w:color="auto"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①项目是否按照规定的程序申请设立；</w:t>
            </w:r>
            <w:r>
              <w:rPr>
                <w:kern w:val="0"/>
                <w:sz w:val="22"/>
                <w:szCs w:val="22"/>
              </w:rPr>
              <w:br w:type="textWrapping"/>
            </w:r>
            <w:r>
              <w:rPr>
                <w:kern w:val="0"/>
                <w:sz w:val="22"/>
                <w:szCs w:val="22"/>
              </w:rPr>
              <w:t>②审批文件、材料是否符合相关要求；</w:t>
            </w:r>
            <w:r>
              <w:rPr>
                <w:kern w:val="0"/>
                <w:sz w:val="22"/>
                <w:szCs w:val="22"/>
              </w:rPr>
              <w:br w:type="textWrapping"/>
            </w:r>
            <w:r>
              <w:rPr>
                <w:kern w:val="0"/>
                <w:sz w:val="22"/>
                <w:szCs w:val="22"/>
              </w:rPr>
              <w:t>③事前是否已经过必要的可行性研究、专家论证、风险评估、绩效评估、集体决策。</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绩效目标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绩效目标</w:t>
            </w:r>
          </w:p>
          <w:p>
            <w:pPr>
              <w:widowControl/>
              <w:spacing w:line="0" w:lineRule="atLeast"/>
              <w:jc w:val="center"/>
              <w:rPr>
                <w:kern w:val="0"/>
                <w:sz w:val="22"/>
                <w:szCs w:val="22"/>
              </w:rPr>
            </w:pPr>
            <w:r>
              <w:rPr>
                <w:kern w:val="0"/>
                <w:sz w:val="22"/>
                <w:szCs w:val="22"/>
              </w:rPr>
              <w:t>合理性</w:t>
            </w:r>
          </w:p>
        </w:tc>
        <w:tc>
          <w:tcPr>
            <w:tcW w:w="2354" w:type="dxa"/>
            <w:shd w:val="clear" w:color="000000" w:fill="FFFFFF"/>
            <w:vAlign w:val="center"/>
          </w:tcPr>
          <w:p>
            <w:pPr>
              <w:widowControl/>
              <w:spacing w:line="0" w:lineRule="atLeast"/>
              <w:rPr>
                <w:kern w:val="0"/>
                <w:sz w:val="22"/>
                <w:szCs w:val="22"/>
              </w:rPr>
            </w:pPr>
            <w:r>
              <w:rPr>
                <w:kern w:val="0"/>
                <w:sz w:val="22"/>
                <w:szCs w:val="22"/>
              </w:rPr>
              <w:t>项目所设定的绩效目标是否依据充分，是否符合客观实际，用以反映和考核项目绩效目标与项目实施的相符情况。</w:t>
            </w:r>
          </w:p>
        </w:tc>
        <w:tc>
          <w:tcPr>
            <w:tcW w:w="5200" w:type="dxa"/>
            <w:shd w:val="clear" w:color="000000" w:fill="FFFFFF"/>
            <w:vAlign w:val="center"/>
          </w:tcPr>
          <w:p>
            <w:pPr>
              <w:widowControl/>
              <w:spacing w:line="0" w:lineRule="atLeast"/>
              <w:jc w:val="left"/>
              <w:rPr>
                <w:kern w:val="0"/>
                <w:sz w:val="22"/>
                <w:szCs w:val="22"/>
              </w:rPr>
            </w:pPr>
            <w:r>
              <w:rPr>
                <w:kern w:val="0"/>
                <w:sz w:val="22"/>
                <w:szCs w:val="22"/>
              </w:rPr>
              <w:t>评价要点：</w:t>
            </w:r>
            <w:r>
              <w:rPr>
                <w:kern w:val="0"/>
                <w:sz w:val="22"/>
                <w:szCs w:val="22"/>
              </w:rPr>
              <w:br w:type="textWrapping"/>
            </w:r>
            <w:r>
              <w:rPr>
                <w:kern w:val="0"/>
                <w:sz w:val="22"/>
                <w:szCs w:val="22"/>
              </w:rPr>
              <w:t>（如未设定预算绩效目标，也可考核其他工作任务目标）</w:t>
            </w:r>
            <w:r>
              <w:rPr>
                <w:kern w:val="0"/>
                <w:sz w:val="22"/>
                <w:szCs w:val="22"/>
              </w:rPr>
              <w:br w:type="textWrapping"/>
            </w:r>
            <w:r>
              <w:rPr>
                <w:kern w:val="0"/>
                <w:sz w:val="22"/>
                <w:szCs w:val="22"/>
              </w:rPr>
              <w:t>①项目是否有绩效目标；</w:t>
            </w:r>
            <w:r>
              <w:rPr>
                <w:kern w:val="0"/>
                <w:sz w:val="22"/>
                <w:szCs w:val="22"/>
              </w:rPr>
              <w:br w:type="textWrapping"/>
            </w:r>
            <w:r>
              <w:rPr>
                <w:kern w:val="0"/>
                <w:sz w:val="22"/>
                <w:szCs w:val="22"/>
              </w:rPr>
              <w:t>②项目绩效目标与实际工作内容是否具有相关性；</w:t>
            </w:r>
            <w:r>
              <w:rPr>
                <w:kern w:val="0"/>
                <w:sz w:val="22"/>
                <w:szCs w:val="22"/>
              </w:rPr>
              <w:br w:type="textWrapping"/>
            </w:r>
            <w:r>
              <w:rPr>
                <w:kern w:val="0"/>
                <w:sz w:val="22"/>
                <w:szCs w:val="22"/>
              </w:rPr>
              <w:t>③项目预期产出效益和效果是否符合正常的业绩水平；</w:t>
            </w:r>
          </w:p>
          <w:p>
            <w:pPr>
              <w:widowControl/>
              <w:spacing w:line="0" w:lineRule="atLeast"/>
              <w:jc w:val="left"/>
              <w:rPr>
                <w:kern w:val="0"/>
                <w:sz w:val="22"/>
                <w:szCs w:val="22"/>
              </w:rPr>
            </w:pPr>
            <w:r>
              <w:rPr>
                <w:kern w:val="0"/>
                <w:sz w:val="22"/>
                <w:szCs w:val="22"/>
              </w:rPr>
              <w:t>④是否与预算确定的项目投资额或资金量相匹配。</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绩效指标</w:t>
            </w:r>
          </w:p>
          <w:p>
            <w:pPr>
              <w:widowControl/>
              <w:spacing w:line="0" w:lineRule="atLeast"/>
              <w:jc w:val="center"/>
              <w:rPr>
                <w:kern w:val="0"/>
                <w:sz w:val="22"/>
                <w:szCs w:val="22"/>
              </w:rPr>
            </w:pPr>
            <w:r>
              <w:rPr>
                <w:kern w:val="0"/>
                <w:sz w:val="22"/>
                <w:szCs w:val="22"/>
              </w:rPr>
              <w:t>明确性</w:t>
            </w:r>
          </w:p>
        </w:tc>
        <w:tc>
          <w:tcPr>
            <w:tcW w:w="2354" w:type="dxa"/>
            <w:shd w:val="clear" w:color="000000" w:fill="FFFFFF"/>
            <w:vAlign w:val="center"/>
          </w:tcPr>
          <w:p>
            <w:pPr>
              <w:widowControl/>
              <w:spacing w:line="0" w:lineRule="atLeast"/>
              <w:rPr>
                <w:kern w:val="0"/>
                <w:sz w:val="22"/>
                <w:szCs w:val="22"/>
              </w:rPr>
            </w:pPr>
            <w:r>
              <w:rPr>
                <w:kern w:val="0"/>
                <w:sz w:val="22"/>
                <w:szCs w:val="22"/>
              </w:rPr>
              <w:t>依据绩效目标设定的绩效指标是否清晰、细化、可衡量等，用以反映和考核项目绩效目标的明细化情况。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①是否将项目绩效目标细化分解为具体的绩效指标；</w:t>
            </w:r>
            <w:r>
              <w:rPr>
                <w:kern w:val="0"/>
                <w:sz w:val="22"/>
                <w:szCs w:val="22"/>
              </w:rPr>
              <w:br w:type="textWrapping"/>
            </w:r>
            <w:r>
              <w:rPr>
                <w:kern w:val="0"/>
                <w:sz w:val="22"/>
                <w:szCs w:val="22"/>
              </w:rPr>
              <w:t>②是否通过清晰、可衡量的指标值予以体现；</w:t>
            </w:r>
            <w:r>
              <w:rPr>
                <w:kern w:val="0"/>
                <w:sz w:val="22"/>
                <w:szCs w:val="22"/>
              </w:rPr>
              <w:br w:type="textWrapping"/>
            </w:r>
            <w:r>
              <w:rPr>
                <w:kern w:val="0"/>
                <w:sz w:val="22"/>
                <w:szCs w:val="22"/>
              </w:rPr>
              <w:t>③是否与项目目标任务数或计划数相对应。</w:t>
            </w:r>
            <w:r>
              <w:rPr>
                <w:kern w:val="0"/>
                <w:sz w:val="22"/>
                <w:szCs w:val="22"/>
              </w:rPr>
              <w:br w:type="textWrapping"/>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3</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资金投入</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预算编制</w:t>
            </w:r>
          </w:p>
          <w:p>
            <w:pPr>
              <w:widowControl/>
              <w:spacing w:line="0" w:lineRule="atLeast"/>
              <w:jc w:val="center"/>
              <w:rPr>
                <w:kern w:val="0"/>
                <w:sz w:val="22"/>
                <w:szCs w:val="22"/>
              </w:rPr>
            </w:pPr>
            <w:r>
              <w:rPr>
                <w:kern w:val="0"/>
                <w:sz w:val="22"/>
                <w:szCs w:val="22"/>
              </w:rPr>
              <w:t>科学性</w:t>
            </w:r>
          </w:p>
        </w:tc>
        <w:tc>
          <w:tcPr>
            <w:tcW w:w="2354" w:type="dxa"/>
            <w:shd w:val="clear" w:color="auto" w:fill="FFFFFF"/>
            <w:vAlign w:val="center"/>
          </w:tcPr>
          <w:p>
            <w:pPr>
              <w:widowControl/>
              <w:spacing w:line="0" w:lineRule="atLeast"/>
              <w:rPr>
                <w:kern w:val="0"/>
                <w:sz w:val="22"/>
                <w:szCs w:val="22"/>
              </w:rPr>
            </w:pPr>
            <w:r>
              <w:rPr>
                <w:kern w:val="0"/>
                <w:sz w:val="22"/>
                <w:szCs w:val="22"/>
              </w:rPr>
              <w:t>项目预算编制是否经过科学论证、有明确标准，资金额度与年度目标是否相适应，用以反映和考核项目预算编制的科学性、合理性情况。</w:t>
            </w:r>
          </w:p>
        </w:tc>
        <w:tc>
          <w:tcPr>
            <w:tcW w:w="5200"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①预算编制是否经过科学论证；</w:t>
            </w:r>
            <w:r>
              <w:rPr>
                <w:kern w:val="0"/>
                <w:sz w:val="22"/>
                <w:szCs w:val="22"/>
              </w:rPr>
              <w:br w:type="textWrapping"/>
            </w:r>
            <w:r>
              <w:rPr>
                <w:kern w:val="0"/>
                <w:sz w:val="22"/>
                <w:szCs w:val="22"/>
              </w:rPr>
              <w:t>②预算内容与项目内容是否匹配；</w:t>
            </w:r>
            <w:r>
              <w:rPr>
                <w:kern w:val="0"/>
                <w:sz w:val="22"/>
                <w:szCs w:val="22"/>
              </w:rPr>
              <w:br w:type="textWrapping"/>
            </w:r>
            <w:r>
              <w:rPr>
                <w:kern w:val="0"/>
                <w:sz w:val="22"/>
                <w:szCs w:val="22"/>
              </w:rPr>
              <w:t>③预算额度测算依据是否充分，是否按照标准编制；</w:t>
            </w:r>
            <w:r>
              <w:rPr>
                <w:kern w:val="0"/>
                <w:sz w:val="22"/>
                <w:szCs w:val="22"/>
              </w:rPr>
              <w:br w:type="textWrapping"/>
            </w:r>
            <w:r>
              <w:rPr>
                <w:kern w:val="0"/>
                <w:sz w:val="22"/>
                <w:szCs w:val="22"/>
              </w:rPr>
              <w:t>④预算确定的项目投资额或资金量是否与工作任务相匹配。</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资金分配</w:t>
            </w:r>
          </w:p>
          <w:p>
            <w:pPr>
              <w:widowControl/>
              <w:spacing w:line="0" w:lineRule="atLeast"/>
              <w:jc w:val="center"/>
              <w:rPr>
                <w:kern w:val="0"/>
                <w:sz w:val="22"/>
                <w:szCs w:val="22"/>
              </w:rPr>
            </w:pPr>
            <w:r>
              <w:rPr>
                <w:kern w:val="0"/>
                <w:sz w:val="22"/>
                <w:szCs w:val="22"/>
              </w:rPr>
              <w:t>合理性</w:t>
            </w:r>
          </w:p>
        </w:tc>
        <w:tc>
          <w:tcPr>
            <w:tcW w:w="2354" w:type="dxa"/>
            <w:shd w:val="clear" w:color="auto" w:fill="FFFFFF"/>
            <w:vAlign w:val="center"/>
          </w:tcPr>
          <w:p>
            <w:pPr>
              <w:widowControl/>
              <w:spacing w:line="0" w:lineRule="atLeast"/>
              <w:rPr>
                <w:kern w:val="0"/>
                <w:sz w:val="22"/>
                <w:szCs w:val="22"/>
              </w:rPr>
            </w:pPr>
            <w:r>
              <w:rPr>
                <w:kern w:val="0"/>
                <w:sz w:val="22"/>
                <w:szCs w:val="22"/>
              </w:rPr>
              <w:t>项目预算资金分配是否有测算依据，与补助单位或地方实际是否相适应，用以反映和考核项目预算资金分配的科学性、合理性情况。</w:t>
            </w:r>
          </w:p>
        </w:tc>
        <w:tc>
          <w:tcPr>
            <w:tcW w:w="5200" w:type="dxa"/>
            <w:shd w:val="clear" w:color="auto"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①预算资金分配依据是否充分；</w:t>
            </w:r>
            <w:r>
              <w:rPr>
                <w:kern w:val="0"/>
                <w:sz w:val="22"/>
                <w:szCs w:val="22"/>
              </w:rPr>
              <w:br w:type="textWrapping"/>
            </w:r>
            <w:r>
              <w:rPr>
                <w:kern w:val="0"/>
                <w:sz w:val="22"/>
                <w:szCs w:val="22"/>
              </w:rPr>
              <w:t>②资金分配额度是否合理，与项目单位或地方实际是否相适应。</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0" w:type="dxa"/>
            <w:vMerge w:val="restart"/>
            <w:shd w:val="clear" w:color="auto" w:fill="FFFFFF"/>
            <w:vAlign w:val="center"/>
          </w:tcPr>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p>
          <w:p>
            <w:pPr>
              <w:spacing w:line="0" w:lineRule="atLeast"/>
              <w:jc w:val="center"/>
              <w:rPr>
                <w:kern w:val="0"/>
                <w:sz w:val="22"/>
                <w:szCs w:val="22"/>
              </w:rPr>
            </w:pPr>
            <w:r>
              <w:rPr>
                <w:kern w:val="0"/>
                <w:sz w:val="22"/>
                <w:szCs w:val="22"/>
              </w:rPr>
              <w:t>过程</w:t>
            </w:r>
          </w:p>
          <w:p>
            <w:pPr>
              <w:widowControl/>
              <w:spacing w:line="0" w:lineRule="atLeast"/>
              <w:jc w:val="center"/>
              <w:rPr>
                <w:kern w:val="0"/>
                <w:sz w:val="22"/>
                <w:szCs w:val="22"/>
              </w:rPr>
            </w:pPr>
            <w:r>
              <w:rPr>
                <w:kern w:val="0"/>
                <w:sz w:val="22"/>
                <w:szCs w:val="22"/>
              </w:rPr>
              <w:t>　　</w:t>
            </w: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资金到位率</w:t>
            </w:r>
          </w:p>
        </w:tc>
        <w:tc>
          <w:tcPr>
            <w:tcW w:w="2354" w:type="dxa"/>
            <w:shd w:val="clear" w:color="000000" w:fill="FFFFFF"/>
            <w:vAlign w:val="center"/>
          </w:tcPr>
          <w:p>
            <w:pPr>
              <w:widowControl/>
              <w:spacing w:line="0" w:lineRule="atLeast"/>
              <w:rPr>
                <w:kern w:val="0"/>
                <w:sz w:val="22"/>
                <w:szCs w:val="22"/>
              </w:rPr>
            </w:pPr>
            <w:r>
              <w:rPr>
                <w:kern w:val="0"/>
                <w:sz w:val="22"/>
                <w:szCs w:val="22"/>
              </w:rPr>
              <w:t>实际到位资金与预算资金的比率，用以反映和考核资金落实情况对项目实施的总体保障程度。</w:t>
            </w:r>
          </w:p>
        </w:tc>
        <w:tc>
          <w:tcPr>
            <w:tcW w:w="5200" w:type="dxa"/>
            <w:shd w:val="clear" w:color="000000" w:fill="FFFFFF"/>
            <w:vAlign w:val="center"/>
          </w:tcPr>
          <w:p>
            <w:pPr>
              <w:widowControl/>
              <w:spacing w:line="0" w:lineRule="atLeast"/>
              <w:rPr>
                <w:kern w:val="0"/>
                <w:sz w:val="22"/>
                <w:szCs w:val="22"/>
              </w:rPr>
            </w:pPr>
            <w:r>
              <w:rPr>
                <w:kern w:val="0"/>
                <w:sz w:val="22"/>
                <w:szCs w:val="22"/>
              </w:rPr>
              <w:t>资金到位率=（实际到位资金/预算资金）×100%。</w:t>
            </w:r>
          </w:p>
          <w:p>
            <w:pPr>
              <w:widowControl/>
              <w:spacing w:line="0" w:lineRule="atLeast"/>
              <w:rPr>
                <w:kern w:val="0"/>
                <w:sz w:val="22"/>
                <w:szCs w:val="22"/>
              </w:rPr>
            </w:pPr>
            <w:r>
              <w:rPr>
                <w:kern w:val="0"/>
                <w:sz w:val="22"/>
                <w:szCs w:val="22"/>
              </w:rPr>
              <w:t>实际到位资金：一定时期（本年度或项目期）内落实到具体项目的资金。</w:t>
            </w:r>
          </w:p>
          <w:p>
            <w:pPr>
              <w:widowControl/>
              <w:spacing w:line="0" w:lineRule="atLeast"/>
              <w:rPr>
                <w:kern w:val="0"/>
                <w:sz w:val="22"/>
                <w:szCs w:val="22"/>
              </w:rPr>
            </w:pPr>
            <w:r>
              <w:rPr>
                <w:kern w:val="0"/>
                <w:sz w:val="22"/>
                <w:szCs w:val="22"/>
              </w:rPr>
              <w:t>预算资金：一定时期（本年度或项目期）内预算安排到具体项目的资金。</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continue"/>
            <w:shd w:val="clear" w:color="auto" w:fill="FFFFFF"/>
            <w:vAlign w:val="center"/>
          </w:tcPr>
          <w:p>
            <w:pPr>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预算执行率</w:t>
            </w:r>
          </w:p>
        </w:tc>
        <w:tc>
          <w:tcPr>
            <w:tcW w:w="2354" w:type="dxa"/>
            <w:shd w:val="clear" w:color="auto" w:fill="FFFFFF"/>
            <w:vAlign w:val="center"/>
          </w:tcPr>
          <w:p>
            <w:pPr>
              <w:widowControl/>
              <w:spacing w:line="0" w:lineRule="atLeast"/>
              <w:rPr>
                <w:kern w:val="0"/>
                <w:sz w:val="22"/>
                <w:szCs w:val="22"/>
              </w:rPr>
            </w:pPr>
            <w:r>
              <w:rPr>
                <w:kern w:val="0"/>
                <w:sz w:val="22"/>
                <w:szCs w:val="22"/>
              </w:rPr>
              <w:t>项目预算资金是否按照计划执行，用以反映或考核项目预算执行情况。</w:t>
            </w:r>
          </w:p>
        </w:tc>
        <w:tc>
          <w:tcPr>
            <w:tcW w:w="5200" w:type="dxa"/>
            <w:shd w:val="clear" w:color="auto" w:fill="FFFFFF"/>
            <w:vAlign w:val="center"/>
          </w:tcPr>
          <w:p>
            <w:pPr>
              <w:widowControl/>
              <w:spacing w:line="0" w:lineRule="atLeast"/>
              <w:rPr>
                <w:kern w:val="0"/>
                <w:sz w:val="22"/>
                <w:szCs w:val="22"/>
              </w:rPr>
            </w:pPr>
            <w:r>
              <w:rPr>
                <w:kern w:val="0"/>
                <w:sz w:val="22"/>
                <w:szCs w:val="22"/>
              </w:rPr>
              <w:t>预算执行率=（实际支出资金/实际到位资金）×100%。</w:t>
            </w:r>
            <w:r>
              <w:rPr>
                <w:kern w:val="0"/>
                <w:sz w:val="22"/>
                <w:szCs w:val="22"/>
              </w:rPr>
              <w:br w:type="textWrapping"/>
            </w:r>
            <w:r>
              <w:rPr>
                <w:kern w:val="0"/>
                <w:sz w:val="22"/>
                <w:szCs w:val="22"/>
              </w:rPr>
              <w:t>实际支出资金：一定时期（本年度或项目期）内项目实际拨付的资金。</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shd w:val="clear" w:color="auto" w:fill="FFFFFF"/>
            <w:vAlign w:val="center"/>
          </w:tcPr>
          <w:p>
            <w:pPr>
              <w:widowControl/>
              <w:spacing w:line="0" w:lineRule="atLeast"/>
              <w:jc w:val="center"/>
              <w:rPr>
                <w:kern w:val="0"/>
                <w:sz w:val="22"/>
                <w:szCs w:val="22"/>
              </w:rPr>
            </w:pPr>
            <w:r>
              <w:rPr>
                <w:kern w:val="0"/>
                <w:sz w:val="22"/>
                <w:szCs w:val="22"/>
              </w:rPr>
              <w:t>资金管理</w:t>
            </w:r>
          </w:p>
        </w:tc>
        <w:tc>
          <w:tcPr>
            <w:tcW w:w="873" w:type="dxa"/>
            <w:shd w:val="clear" w:color="auto" w:fill="FFFFFF"/>
            <w:vAlign w:val="center"/>
          </w:tcPr>
          <w:p>
            <w:pPr>
              <w:widowControl/>
              <w:spacing w:line="0" w:lineRule="atLeast"/>
              <w:jc w:val="center"/>
              <w:rPr>
                <w:kern w:val="0"/>
                <w:sz w:val="22"/>
                <w:szCs w:val="22"/>
              </w:rPr>
            </w:pPr>
            <w:r>
              <w:rPr>
                <w:kern w:val="0"/>
                <w:sz w:val="22"/>
                <w:szCs w:val="22"/>
              </w:rPr>
              <w:t>资金使用</w:t>
            </w:r>
          </w:p>
          <w:p>
            <w:pPr>
              <w:widowControl/>
              <w:spacing w:line="0" w:lineRule="atLeast"/>
              <w:jc w:val="center"/>
              <w:rPr>
                <w:kern w:val="0"/>
                <w:sz w:val="22"/>
                <w:szCs w:val="22"/>
              </w:rPr>
            </w:pPr>
            <w:r>
              <w:rPr>
                <w:kern w:val="0"/>
                <w:sz w:val="22"/>
                <w:szCs w:val="22"/>
              </w:rPr>
              <w:t>合规性</w:t>
            </w:r>
          </w:p>
        </w:tc>
        <w:tc>
          <w:tcPr>
            <w:tcW w:w="2354" w:type="dxa"/>
            <w:shd w:val="clear" w:color="000000" w:fill="FFFFFF"/>
            <w:vAlign w:val="center"/>
          </w:tcPr>
          <w:p>
            <w:pPr>
              <w:widowControl/>
              <w:spacing w:line="0" w:lineRule="atLeast"/>
              <w:rPr>
                <w:kern w:val="0"/>
                <w:sz w:val="22"/>
                <w:szCs w:val="22"/>
              </w:rPr>
            </w:pPr>
            <w:r>
              <w:rPr>
                <w:kern w:val="0"/>
                <w:sz w:val="22"/>
                <w:szCs w:val="22"/>
              </w:rPr>
              <w:t>项目资金使用是否符合相关的财务管理制度规定，用以反映和考核项目资金的规范运行情况。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①是否符合国家财经法规和财务管理制度以及有关专项资金管理办法的规定；</w:t>
            </w:r>
            <w:r>
              <w:rPr>
                <w:kern w:val="0"/>
                <w:sz w:val="22"/>
                <w:szCs w:val="22"/>
              </w:rPr>
              <w:br w:type="textWrapping"/>
            </w:r>
            <w:r>
              <w:rPr>
                <w:kern w:val="0"/>
                <w:sz w:val="22"/>
                <w:szCs w:val="22"/>
              </w:rPr>
              <w:t>②资金的拨付是否有完整的审批程序和手续；</w:t>
            </w:r>
            <w:r>
              <w:rPr>
                <w:kern w:val="0"/>
                <w:sz w:val="22"/>
                <w:szCs w:val="22"/>
              </w:rPr>
              <w:br w:type="textWrapping"/>
            </w:r>
            <w:r>
              <w:rPr>
                <w:kern w:val="0"/>
                <w:sz w:val="22"/>
                <w:szCs w:val="22"/>
              </w:rPr>
              <w:t>③是否符合项目预算批复或合同规定的用途；</w:t>
            </w:r>
            <w:r>
              <w:rPr>
                <w:kern w:val="0"/>
                <w:sz w:val="22"/>
                <w:szCs w:val="22"/>
              </w:rPr>
              <w:br w:type="textWrapping"/>
            </w:r>
            <w:r>
              <w:rPr>
                <w:kern w:val="0"/>
                <w:sz w:val="22"/>
                <w:szCs w:val="22"/>
              </w:rPr>
              <w:t>④是否存在截留、挤占、挪用、虚列支出等情况。</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组织实施</w:t>
            </w:r>
          </w:p>
          <w:p>
            <w:pPr>
              <w:spacing w:line="0" w:lineRule="atLeast"/>
              <w:jc w:val="center"/>
              <w:rPr>
                <w:kern w:val="0"/>
                <w:sz w:val="22"/>
                <w:szCs w:val="22"/>
              </w:rPr>
            </w:pPr>
            <w:r>
              <w:rPr>
                <w:kern w:val="0"/>
                <w:sz w:val="22"/>
                <w:szCs w:val="22"/>
              </w:rPr>
              <w:t>　</w:t>
            </w:r>
          </w:p>
        </w:tc>
        <w:tc>
          <w:tcPr>
            <w:tcW w:w="873" w:type="dxa"/>
            <w:shd w:val="clear" w:color="auto" w:fill="FFFFFF"/>
            <w:vAlign w:val="center"/>
          </w:tcPr>
          <w:p>
            <w:pPr>
              <w:widowControl/>
              <w:spacing w:line="0" w:lineRule="atLeast"/>
              <w:jc w:val="center"/>
              <w:rPr>
                <w:kern w:val="0"/>
                <w:sz w:val="22"/>
                <w:szCs w:val="22"/>
              </w:rPr>
            </w:pPr>
            <w:r>
              <w:rPr>
                <w:kern w:val="0"/>
                <w:sz w:val="22"/>
                <w:szCs w:val="22"/>
              </w:rPr>
              <w:t>管理制度</w:t>
            </w:r>
          </w:p>
          <w:p>
            <w:pPr>
              <w:widowControl/>
              <w:spacing w:line="0" w:lineRule="atLeast"/>
              <w:jc w:val="center"/>
              <w:rPr>
                <w:kern w:val="0"/>
                <w:sz w:val="22"/>
                <w:szCs w:val="22"/>
              </w:rPr>
            </w:pPr>
            <w:r>
              <w:rPr>
                <w:kern w:val="0"/>
                <w:sz w:val="22"/>
                <w:szCs w:val="22"/>
              </w:rPr>
              <w:t>健全性</w:t>
            </w:r>
          </w:p>
        </w:tc>
        <w:tc>
          <w:tcPr>
            <w:tcW w:w="2354" w:type="dxa"/>
            <w:shd w:val="clear" w:color="000000" w:fill="FFFFFF"/>
            <w:vAlign w:val="center"/>
          </w:tcPr>
          <w:p>
            <w:pPr>
              <w:widowControl/>
              <w:spacing w:line="0" w:lineRule="atLeast"/>
              <w:rPr>
                <w:kern w:val="0"/>
                <w:sz w:val="22"/>
                <w:szCs w:val="22"/>
              </w:rPr>
            </w:pPr>
            <w:r>
              <w:rPr>
                <w:kern w:val="0"/>
                <w:sz w:val="22"/>
                <w:szCs w:val="22"/>
              </w:rPr>
              <w:t>项目实施单位的财务和业务管理制度是否健全，用以反映和考核财务和业务管理制度对项目顺利实施的保障情况。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①是否已制定或具有相应的财务和业务管理制度；</w:t>
            </w:r>
            <w:r>
              <w:rPr>
                <w:kern w:val="0"/>
                <w:sz w:val="22"/>
                <w:szCs w:val="22"/>
              </w:rPr>
              <w:br w:type="textWrapping"/>
            </w:r>
            <w:r>
              <w:rPr>
                <w:kern w:val="0"/>
                <w:sz w:val="22"/>
                <w:szCs w:val="22"/>
              </w:rPr>
              <w:t>②财务和业务管理制度是否合法、合规、完整。</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制度执行</w:t>
            </w:r>
          </w:p>
          <w:p>
            <w:pPr>
              <w:widowControl/>
              <w:spacing w:line="0" w:lineRule="atLeast"/>
              <w:jc w:val="center"/>
              <w:rPr>
                <w:kern w:val="0"/>
                <w:sz w:val="22"/>
                <w:szCs w:val="22"/>
              </w:rPr>
            </w:pPr>
            <w:r>
              <w:rPr>
                <w:kern w:val="0"/>
                <w:sz w:val="22"/>
                <w:szCs w:val="22"/>
              </w:rPr>
              <w:t>有效性</w:t>
            </w:r>
          </w:p>
        </w:tc>
        <w:tc>
          <w:tcPr>
            <w:tcW w:w="2354" w:type="dxa"/>
            <w:shd w:val="clear" w:color="000000" w:fill="FFFFFF"/>
            <w:vAlign w:val="center"/>
          </w:tcPr>
          <w:p>
            <w:pPr>
              <w:widowControl/>
              <w:spacing w:line="0" w:lineRule="atLeast"/>
              <w:rPr>
                <w:kern w:val="0"/>
                <w:sz w:val="22"/>
                <w:szCs w:val="22"/>
              </w:rPr>
            </w:pPr>
            <w:r>
              <w:rPr>
                <w:kern w:val="0"/>
                <w:sz w:val="22"/>
                <w:szCs w:val="22"/>
              </w:rPr>
              <w:t>项目实施是否符合相关管理规定，用以反映和考核相关管理制度的有效执行情况。</w:t>
            </w:r>
          </w:p>
        </w:tc>
        <w:tc>
          <w:tcPr>
            <w:tcW w:w="5200" w:type="dxa"/>
            <w:shd w:val="clear" w:color="000000" w:fill="FFFFFF"/>
            <w:vAlign w:val="center"/>
          </w:tcPr>
          <w:p>
            <w:pPr>
              <w:widowControl/>
              <w:spacing w:line="0" w:lineRule="atLeast"/>
              <w:rPr>
                <w:kern w:val="0"/>
                <w:sz w:val="22"/>
                <w:szCs w:val="22"/>
              </w:rPr>
            </w:pPr>
            <w:r>
              <w:rPr>
                <w:kern w:val="0"/>
                <w:sz w:val="22"/>
                <w:szCs w:val="22"/>
              </w:rPr>
              <w:t>评价要点：</w:t>
            </w:r>
            <w:r>
              <w:rPr>
                <w:kern w:val="0"/>
                <w:sz w:val="22"/>
                <w:szCs w:val="22"/>
              </w:rPr>
              <w:br w:type="textWrapping"/>
            </w:r>
            <w:r>
              <w:rPr>
                <w:kern w:val="0"/>
                <w:sz w:val="22"/>
                <w:szCs w:val="22"/>
              </w:rPr>
              <w:t>①是否遵守相关法律法规和相关管理规定；</w:t>
            </w:r>
            <w:r>
              <w:rPr>
                <w:kern w:val="0"/>
                <w:sz w:val="22"/>
                <w:szCs w:val="22"/>
              </w:rPr>
              <w:br w:type="textWrapping"/>
            </w:r>
            <w:r>
              <w:rPr>
                <w:kern w:val="0"/>
                <w:sz w:val="22"/>
                <w:szCs w:val="22"/>
              </w:rPr>
              <w:t>②项目调整及支出调整手续是否完备；</w:t>
            </w:r>
            <w:r>
              <w:rPr>
                <w:kern w:val="0"/>
                <w:sz w:val="22"/>
                <w:szCs w:val="22"/>
              </w:rPr>
              <w:br w:type="textWrapping"/>
            </w:r>
            <w:r>
              <w:rPr>
                <w:kern w:val="0"/>
                <w:sz w:val="22"/>
                <w:szCs w:val="22"/>
              </w:rPr>
              <w:t>③项目合同书、验收报告、技术鉴定等资料是否齐全并及时归档；</w:t>
            </w:r>
            <w:r>
              <w:rPr>
                <w:kern w:val="0"/>
                <w:sz w:val="22"/>
                <w:szCs w:val="22"/>
              </w:rPr>
              <w:br w:type="textWrapping"/>
            </w:r>
            <w:r>
              <w:rPr>
                <w:kern w:val="0"/>
                <w:sz w:val="22"/>
                <w:szCs w:val="22"/>
              </w:rPr>
              <w:t>④项目实施的人员条件、场地设备、信息支撑等是否落实到位。</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4</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0" w:type="dxa"/>
            <w:vMerge w:val="restart"/>
            <w:shd w:val="clear" w:color="auto" w:fill="FFFFFF"/>
            <w:vAlign w:val="center"/>
          </w:tcPr>
          <w:p>
            <w:pPr>
              <w:widowControl/>
              <w:spacing w:line="0" w:lineRule="atLeast"/>
              <w:jc w:val="center"/>
              <w:rPr>
                <w:kern w:val="0"/>
                <w:sz w:val="22"/>
                <w:szCs w:val="22"/>
              </w:rPr>
            </w:pPr>
            <w:r>
              <w:rPr>
                <w:kern w:val="0"/>
                <w:sz w:val="22"/>
                <w:szCs w:val="22"/>
              </w:rPr>
              <w:t>产出</w:t>
            </w:r>
          </w:p>
        </w:tc>
        <w:tc>
          <w:tcPr>
            <w:tcW w:w="765" w:type="dxa"/>
            <w:shd w:val="clear" w:color="auto" w:fill="FFFFFF"/>
            <w:vAlign w:val="center"/>
          </w:tcPr>
          <w:p>
            <w:pPr>
              <w:widowControl/>
              <w:spacing w:line="0" w:lineRule="atLeast"/>
              <w:jc w:val="center"/>
              <w:rPr>
                <w:kern w:val="0"/>
                <w:sz w:val="22"/>
                <w:szCs w:val="22"/>
              </w:rPr>
            </w:pPr>
            <w:r>
              <w:rPr>
                <w:kern w:val="0"/>
                <w:sz w:val="22"/>
                <w:szCs w:val="22"/>
              </w:rPr>
              <w:t>产出数量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实际完成率</w:t>
            </w:r>
          </w:p>
        </w:tc>
        <w:tc>
          <w:tcPr>
            <w:tcW w:w="2354" w:type="dxa"/>
            <w:shd w:val="clear" w:color="000000" w:fill="FFFFFF"/>
            <w:vAlign w:val="center"/>
          </w:tcPr>
          <w:p>
            <w:pPr>
              <w:widowControl/>
              <w:spacing w:line="0" w:lineRule="atLeast"/>
              <w:rPr>
                <w:kern w:val="0"/>
                <w:sz w:val="22"/>
                <w:szCs w:val="22"/>
              </w:rPr>
            </w:pPr>
            <w:r>
              <w:rPr>
                <w:kern w:val="0"/>
                <w:sz w:val="22"/>
                <w:szCs w:val="22"/>
              </w:rPr>
              <w:t>项目实施的实际产出数与计划产出数的比率，用以反映和考核项目产出数量目标的实现程度。</w:t>
            </w:r>
          </w:p>
        </w:tc>
        <w:tc>
          <w:tcPr>
            <w:tcW w:w="5200" w:type="dxa"/>
            <w:shd w:val="clear" w:color="000000" w:fill="FFFFFF"/>
            <w:vAlign w:val="center"/>
          </w:tcPr>
          <w:p>
            <w:pPr>
              <w:widowControl/>
              <w:spacing w:line="0" w:lineRule="atLeast"/>
              <w:rPr>
                <w:kern w:val="0"/>
                <w:sz w:val="22"/>
                <w:szCs w:val="22"/>
              </w:rPr>
            </w:pPr>
            <w:r>
              <w:rPr>
                <w:kern w:val="0"/>
                <w:sz w:val="22"/>
                <w:szCs w:val="22"/>
              </w:rPr>
              <w:t>实际完成率=（实际产出数/计划产出数）×100%。</w:t>
            </w:r>
            <w:r>
              <w:rPr>
                <w:kern w:val="0"/>
                <w:sz w:val="22"/>
                <w:szCs w:val="22"/>
              </w:rPr>
              <w:br w:type="textWrapping"/>
            </w:r>
            <w:r>
              <w:rPr>
                <w:kern w:val="0"/>
                <w:sz w:val="22"/>
                <w:szCs w:val="22"/>
              </w:rPr>
              <w:t>实际产出数：一定时期（本年度或项目期）内项目实际产出的产品或提供的服务数量。</w:t>
            </w:r>
            <w:r>
              <w:rPr>
                <w:kern w:val="0"/>
                <w:sz w:val="22"/>
                <w:szCs w:val="22"/>
              </w:rPr>
              <w:br w:type="textWrapping"/>
            </w:r>
            <w:r>
              <w:rPr>
                <w:kern w:val="0"/>
                <w:sz w:val="22"/>
                <w:szCs w:val="22"/>
              </w:rPr>
              <w:t>计划产出数：项目绩效目标确定的在一定时期（本年度或项目期）内计划产出的产品或提供的服务数量。</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shd w:val="clear" w:color="auto" w:fill="FFFFFF"/>
            <w:vAlign w:val="center"/>
          </w:tcPr>
          <w:p>
            <w:pPr>
              <w:widowControl/>
              <w:spacing w:line="0" w:lineRule="atLeast"/>
              <w:jc w:val="center"/>
              <w:rPr>
                <w:kern w:val="0"/>
                <w:sz w:val="22"/>
                <w:szCs w:val="22"/>
              </w:rPr>
            </w:pPr>
            <w:r>
              <w:rPr>
                <w:kern w:val="0"/>
                <w:sz w:val="22"/>
                <w:szCs w:val="22"/>
              </w:rPr>
              <w:t>产出质量</w:t>
            </w:r>
          </w:p>
        </w:tc>
        <w:tc>
          <w:tcPr>
            <w:tcW w:w="873" w:type="dxa"/>
            <w:shd w:val="clear" w:color="auto" w:fill="FFFFFF"/>
            <w:vAlign w:val="center"/>
          </w:tcPr>
          <w:p>
            <w:pPr>
              <w:widowControl/>
              <w:spacing w:line="0" w:lineRule="atLeast"/>
              <w:jc w:val="center"/>
              <w:rPr>
                <w:kern w:val="0"/>
                <w:sz w:val="22"/>
                <w:szCs w:val="22"/>
              </w:rPr>
            </w:pPr>
            <w:r>
              <w:rPr>
                <w:kern w:val="0"/>
                <w:sz w:val="22"/>
                <w:szCs w:val="22"/>
              </w:rPr>
              <w:t>质量达标率</w:t>
            </w:r>
          </w:p>
        </w:tc>
        <w:tc>
          <w:tcPr>
            <w:tcW w:w="2354" w:type="dxa"/>
            <w:shd w:val="clear" w:color="000000" w:fill="FFFFFF"/>
            <w:vAlign w:val="center"/>
          </w:tcPr>
          <w:p>
            <w:pPr>
              <w:widowControl/>
              <w:spacing w:line="0" w:lineRule="atLeast"/>
              <w:rPr>
                <w:kern w:val="0"/>
                <w:sz w:val="22"/>
                <w:szCs w:val="22"/>
              </w:rPr>
            </w:pPr>
            <w:r>
              <w:rPr>
                <w:kern w:val="0"/>
                <w:sz w:val="22"/>
                <w:szCs w:val="22"/>
              </w:rPr>
              <w:t>项目完成的质量达标产出数与实际产出数的比率，用以反映和考核项目产出质量目标的实现程度。</w:t>
            </w:r>
          </w:p>
        </w:tc>
        <w:tc>
          <w:tcPr>
            <w:tcW w:w="5200" w:type="dxa"/>
            <w:shd w:val="clear" w:color="000000" w:fill="FFFFFF"/>
            <w:vAlign w:val="center"/>
          </w:tcPr>
          <w:p>
            <w:pPr>
              <w:widowControl/>
              <w:spacing w:line="0" w:lineRule="atLeast"/>
              <w:rPr>
                <w:kern w:val="0"/>
                <w:sz w:val="22"/>
                <w:szCs w:val="22"/>
              </w:rPr>
            </w:pPr>
            <w:r>
              <w:rPr>
                <w:kern w:val="0"/>
                <w:sz w:val="22"/>
                <w:szCs w:val="22"/>
              </w:rPr>
              <w:t>质量达标率=（质量达标产出数/实际产出数）×100%。</w:t>
            </w:r>
          </w:p>
          <w:p>
            <w:pPr>
              <w:widowControl/>
              <w:spacing w:line="0" w:lineRule="atLeast"/>
              <w:rPr>
                <w:kern w:val="0"/>
                <w:sz w:val="22"/>
                <w:szCs w:val="22"/>
              </w:rPr>
            </w:pPr>
            <w:r>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0" w:type="dxa"/>
            <w:vMerge w:val="continue"/>
            <w:shd w:val="clear" w:color="auto" w:fill="FFFFFF"/>
            <w:vAlign w:val="center"/>
          </w:tcPr>
          <w:p>
            <w:pPr>
              <w:spacing w:line="0" w:lineRule="atLeast"/>
              <w:jc w:val="center"/>
              <w:rPr>
                <w:kern w:val="0"/>
                <w:sz w:val="22"/>
                <w:szCs w:val="22"/>
              </w:rPr>
            </w:pPr>
          </w:p>
        </w:tc>
        <w:tc>
          <w:tcPr>
            <w:tcW w:w="765" w:type="dxa"/>
            <w:shd w:val="clear" w:color="auto" w:fill="FFFFFF"/>
            <w:vAlign w:val="center"/>
          </w:tcPr>
          <w:p>
            <w:pPr>
              <w:spacing w:line="0" w:lineRule="atLeast"/>
              <w:jc w:val="center"/>
              <w:rPr>
                <w:kern w:val="0"/>
                <w:sz w:val="22"/>
                <w:szCs w:val="22"/>
              </w:rPr>
            </w:pPr>
            <w:r>
              <w:rPr>
                <w:kern w:val="0"/>
                <w:sz w:val="22"/>
                <w:szCs w:val="22"/>
              </w:rPr>
              <w:t>产出时效</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完成及时性</w:t>
            </w:r>
          </w:p>
        </w:tc>
        <w:tc>
          <w:tcPr>
            <w:tcW w:w="2354" w:type="dxa"/>
            <w:shd w:val="clear" w:color="000000" w:fill="FFFFFF"/>
            <w:vAlign w:val="center"/>
          </w:tcPr>
          <w:p>
            <w:pPr>
              <w:widowControl/>
              <w:spacing w:line="0" w:lineRule="atLeast"/>
              <w:rPr>
                <w:kern w:val="0"/>
                <w:sz w:val="22"/>
                <w:szCs w:val="22"/>
              </w:rPr>
            </w:pPr>
            <w:r>
              <w:rPr>
                <w:kern w:val="0"/>
                <w:sz w:val="22"/>
                <w:szCs w:val="22"/>
              </w:rPr>
              <w:t>项目实际完成时间与计划完成时间的比较，用以反映和考核项目产出时效目标的实现程度。</w:t>
            </w:r>
          </w:p>
        </w:tc>
        <w:tc>
          <w:tcPr>
            <w:tcW w:w="5200" w:type="dxa"/>
            <w:shd w:val="clear" w:color="000000" w:fill="FFFFFF"/>
            <w:vAlign w:val="center"/>
          </w:tcPr>
          <w:p>
            <w:pPr>
              <w:widowControl/>
              <w:spacing w:line="0" w:lineRule="atLeast"/>
              <w:rPr>
                <w:kern w:val="0"/>
                <w:sz w:val="22"/>
                <w:szCs w:val="22"/>
              </w:rPr>
            </w:pPr>
            <w:r>
              <w:rPr>
                <w:kern w:val="0"/>
                <w:sz w:val="22"/>
                <w:szCs w:val="22"/>
              </w:rPr>
              <w:t>实际完成时间：项目实施单位完成该项目实际所耗用的时间。</w:t>
            </w:r>
            <w:r>
              <w:rPr>
                <w:kern w:val="0"/>
                <w:sz w:val="22"/>
                <w:szCs w:val="22"/>
              </w:rPr>
              <w:br w:type="textWrapping"/>
            </w:r>
            <w:r>
              <w:rPr>
                <w:kern w:val="0"/>
                <w:sz w:val="22"/>
                <w:szCs w:val="22"/>
              </w:rPr>
              <w:t>计划完成时间：按照项目实施计划或相关规定完成该项目所需的时间。</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shd w:val="clear" w:color="auto" w:fill="FFFFFF"/>
            <w:vAlign w:val="center"/>
          </w:tcPr>
          <w:p>
            <w:pPr>
              <w:widowControl/>
              <w:spacing w:line="0" w:lineRule="atLeast"/>
              <w:jc w:val="center"/>
              <w:rPr>
                <w:kern w:val="0"/>
                <w:sz w:val="22"/>
                <w:szCs w:val="22"/>
              </w:rPr>
            </w:pPr>
            <w:r>
              <w:rPr>
                <w:kern w:val="0"/>
                <w:sz w:val="22"/>
                <w:szCs w:val="22"/>
              </w:rPr>
              <w:t>产出成本</w:t>
            </w:r>
          </w:p>
        </w:tc>
        <w:tc>
          <w:tcPr>
            <w:tcW w:w="873" w:type="dxa"/>
            <w:shd w:val="clear" w:color="auto" w:fill="FFFFFF"/>
            <w:vAlign w:val="center"/>
          </w:tcPr>
          <w:p>
            <w:pPr>
              <w:widowControl/>
              <w:spacing w:line="0" w:lineRule="atLeast"/>
              <w:jc w:val="center"/>
              <w:rPr>
                <w:kern w:val="0"/>
                <w:sz w:val="22"/>
                <w:szCs w:val="22"/>
              </w:rPr>
            </w:pPr>
            <w:r>
              <w:rPr>
                <w:kern w:val="0"/>
                <w:sz w:val="22"/>
                <w:szCs w:val="22"/>
              </w:rPr>
              <w:t>成本节约率</w:t>
            </w:r>
          </w:p>
        </w:tc>
        <w:tc>
          <w:tcPr>
            <w:tcW w:w="2354" w:type="dxa"/>
            <w:shd w:val="clear" w:color="000000" w:fill="FFFFFF"/>
            <w:vAlign w:val="center"/>
          </w:tcPr>
          <w:p>
            <w:pPr>
              <w:widowControl/>
              <w:spacing w:line="0" w:lineRule="atLeast"/>
              <w:rPr>
                <w:kern w:val="0"/>
                <w:sz w:val="22"/>
                <w:szCs w:val="22"/>
              </w:rPr>
            </w:pPr>
            <w:r>
              <w:rPr>
                <w:kern w:val="0"/>
                <w:sz w:val="22"/>
                <w:szCs w:val="22"/>
              </w:rPr>
              <w:t>完成项目计划工作目标的实际节约成本与计划成本的比率，用以反映和考核项目的成本节约程度。</w:t>
            </w:r>
          </w:p>
        </w:tc>
        <w:tc>
          <w:tcPr>
            <w:tcW w:w="5200" w:type="dxa"/>
            <w:shd w:val="clear" w:color="000000" w:fill="FFFFFF"/>
            <w:vAlign w:val="center"/>
          </w:tcPr>
          <w:p>
            <w:pPr>
              <w:widowControl/>
              <w:spacing w:line="0" w:lineRule="atLeast"/>
              <w:rPr>
                <w:kern w:val="0"/>
                <w:sz w:val="22"/>
                <w:szCs w:val="22"/>
              </w:rPr>
            </w:pPr>
            <w:r>
              <w:rPr>
                <w:kern w:val="0"/>
                <w:sz w:val="22"/>
                <w:szCs w:val="22"/>
              </w:rPr>
              <w:br w:type="textWrapping"/>
            </w:r>
            <w:r>
              <w:rPr>
                <w:kern w:val="0"/>
                <w:sz w:val="22"/>
                <w:szCs w:val="22"/>
              </w:rPr>
              <w:t>成本节约率=[（计划成本-实际成本）/计划成本]×100%。</w:t>
            </w:r>
            <w:r>
              <w:rPr>
                <w:kern w:val="0"/>
                <w:sz w:val="22"/>
                <w:szCs w:val="22"/>
              </w:rPr>
              <w:br w:type="textWrapping"/>
            </w:r>
            <w:r>
              <w:rPr>
                <w:kern w:val="0"/>
                <w:sz w:val="22"/>
                <w:szCs w:val="22"/>
              </w:rPr>
              <w:t>实际成本：项目实施单位如期、保质、保量完成既定工作目标实际所耗费的支出。</w:t>
            </w:r>
            <w:r>
              <w:rPr>
                <w:kern w:val="0"/>
                <w:sz w:val="22"/>
                <w:szCs w:val="22"/>
              </w:rPr>
              <w:br w:type="textWrapping"/>
            </w:r>
            <w:r>
              <w:rPr>
                <w:kern w:val="0"/>
                <w:sz w:val="22"/>
                <w:szCs w:val="22"/>
              </w:rPr>
              <w:t>计划成本：项目实施单位为完成工作目标计划安排的支出，一般以项目预算为参考。</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0" w:type="dxa"/>
            <w:vMerge w:val="restart"/>
            <w:shd w:val="clear" w:color="auto" w:fill="FFFFFF"/>
            <w:vAlign w:val="center"/>
          </w:tcPr>
          <w:p>
            <w:pPr>
              <w:widowControl/>
              <w:spacing w:line="0" w:lineRule="atLeast"/>
              <w:jc w:val="center"/>
              <w:rPr>
                <w:kern w:val="0"/>
                <w:sz w:val="22"/>
                <w:szCs w:val="22"/>
              </w:rPr>
            </w:pPr>
            <w:r>
              <w:rPr>
                <w:kern w:val="0"/>
                <w:sz w:val="22"/>
                <w:szCs w:val="22"/>
              </w:rPr>
              <w:t>效益　</w:t>
            </w:r>
          </w:p>
        </w:tc>
        <w:tc>
          <w:tcPr>
            <w:tcW w:w="765" w:type="dxa"/>
            <w:vMerge w:val="restart"/>
            <w:shd w:val="clear" w:color="auto" w:fill="FFFFFF"/>
            <w:vAlign w:val="center"/>
          </w:tcPr>
          <w:p>
            <w:pPr>
              <w:widowControl/>
              <w:spacing w:line="0" w:lineRule="atLeast"/>
              <w:jc w:val="center"/>
              <w:rPr>
                <w:kern w:val="0"/>
                <w:sz w:val="22"/>
                <w:szCs w:val="22"/>
              </w:rPr>
            </w:pPr>
            <w:r>
              <w:rPr>
                <w:kern w:val="0"/>
                <w:sz w:val="22"/>
                <w:szCs w:val="22"/>
              </w:rPr>
              <w:t>项目效益　</w:t>
            </w:r>
          </w:p>
        </w:tc>
        <w:tc>
          <w:tcPr>
            <w:tcW w:w="873" w:type="dxa"/>
            <w:shd w:val="clear" w:color="auto" w:fill="FFFFFF"/>
            <w:vAlign w:val="center"/>
          </w:tcPr>
          <w:p>
            <w:pPr>
              <w:widowControl/>
              <w:spacing w:line="0" w:lineRule="atLeast"/>
              <w:jc w:val="center"/>
              <w:rPr>
                <w:kern w:val="0"/>
                <w:sz w:val="22"/>
                <w:szCs w:val="22"/>
              </w:rPr>
            </w:pPr>
            <w:r>
              <w:rPr>
                <w:kern w:val="0"/>
                <w:sz w:val="22"/>
                <w:szCs w:val="22"/>
              </w:rPr>
              <w:t>实施效益</w:t>
            </w:r>
          </w:p>
        </w:tc>
        <w:tc>
          <w:tcPr>
            <w:tcW w:w="2354" w:type="dxa"/>
            <w:shd w:val="clear" w:color="auto" w:fill="FFFFFF"/>
            <w:vAlign w:val="center"/>
          </w:tcPr>
          <w:p>
            <w:pPr>
              <w:widowControl/>
              <w:spacing w:line="0" w:lineRule="atLeast"/>
              <w:jc w:val="left"/>
              <w:rPr>
                <w:kern w:val="0"/>
                <w:sz w:val="22"/>
                <w:szCs w:val="22"/>
              </w:rPr>
            </w:pPr>
            <w:r>
              <w:rPr>
                <w:kern w:val="0"/>
                <w:sz w:val="22"/>
                <w:szCs w:val="22"/>
              </w:rPr>
              <w:t>项目实施所产生的效益。</w:t>
            </w:r>
          </w:p>
        </w:tc>
        <w:tc>
          <w:tcPr>
            <w:tcW w:w="5200" w:type="dxa"/>
            <w:shd w:val="clear" w:color="auto" w:fill="FFFFFF"/>
            <w:vAlign w:val="center"/>
          </w:tcPr>
          <w:p>
            <w:pPr>
              <w:widowControl/>
              <w:spacing w:line="0" w:lineRule="atLeast"/>
              <w:rPr>
                <w:kern w:val="0"/>
                <w:sz w:val="22"/>
                <w:szCs w:val="22"/>
              </w:rPr>
            </w:pPr>
            <w:r>
              <w:rPr>
                <w:kern w:val="0"/>
                <w:sz w:val="22"/>
                <w:szCs w:val="22"/>
              </w:rPr>
              <w:t>项目实施所产生的社会效益、经济效益、生态效益、可持续影响等。可根据项目实际情况有选择地设置和细化。</w:t>
            </w:r>
          </w:p>
        </w:tc>
        <w:tc>
          <w:tcPr>
            <w:tcW w:w="1299" w:type="dxa"/>
            <w:shd w:val="clear" w:color="auto"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auto" w:fill="FFFFFF"/>
            <w:vAlign w:val="center"/>
          </w:tcPr>
          <w:p>
            <w:pPr>
              <w:widowControl/>
              <w:spacing w:line="0" w:lineRule="atLeast"/>
              <w:jc w:val="center"/>
              <w:rPr>
                <w:b/>
                <w:bCs/>
                <w:kern w:val="0"/>
                <w:sz w:val="22"/>
                <w:szCs w:val="22"/>
              </w:rPr>
            </w:pPr>
            <w:r>
              <w:rPr>
                <w:rFonts w:hint="eastAsia"/>
                <w:b/>
                <w:bCs/>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0" w:type="dxa"/>
            <w:vMerge w:val="continue"/>
            <w:shd w:val="clear" w:color="auto" w:fill="FFFFFF"/>
            <w:vAlign w:val="center"/>
          </w:tcPr>
          <w:p>
            <w:pPr>
              <w:widowControl/>
              <w:spacing w:line="0" w:lineRule="atLeast"/>
              <w:jc w:val="center"/>
              <w:rPr>
                <w:kern w:val="0"/>
                <w:sz w:val="22"/>
                <w:szCs w:val="22"/>
              </w:rPr>
            </w:pPr>
          </w:p>
        </w:tc>
        <w:tc>
          <w:tcPr>
            <w:tcW w:w="765" w:type="dxa"/>
            <w:vMerge w:val="continue"/>
            <w:shd w:val="clear" w:color="auto" w:fill="FFFFFF"/>
            <w:vAlign w:val="center"/>
          </w:tcPr>
          <w:p>
            <w:pPr>
              <w:widowControl/>
              <w:spacing w:line="0" w:lineRule="atLeast"/>
              <w:jc w:val="center"/>
              <w:rPr>
                <w:kern w:val="0"/>
                <w:sz w:val="22"/>
                <w:szCs w:val="22"/>
              </w:rPr>
            </w:pPr>
          </w:p>
        </w:tc>
        <w:tc>
          <w:tcPr>
            <w:tcW w:w="873" w:type="dxa"/>
            <w:shd w:val="clear" w:color="auto" w:fill="FFFFFF"/>
            <w:vAlign w:val="center"/>
          </w:tcPr>
          <w:p>
            <w:pPr>
              <w:widowControl/>
              <w:spacing w:line="0" w:lineRule="atLeast"/>
              <w:jc w:val="center"/>
              <w:rPr>
                <w:kern w:val="0"/>
                <w:sz w:val="22"/>
                <w:szCs w:val="22"/>
              </w:rPr>
            </w:pPr>
            <w:r>
              <w:rPr>
                <w:kern w:val="0"/>
                <w:sz w:val="22"/>
                <w:szCs w:val="22"/>
              </w:rPr>
              <w:t>满意度</w:t>
            </w:r>
          </w:p>
        </w:tc>
        <w:tc>
          <w:tcPr>
            <w:tcW w:w="2354" w:type="dxa"/>
            <w:shd w:val="clear" w:color="000000" w:fill="FFFFFF"/>
            <w:vAlign w:val="center"/>
          </w:tcPr>
          <w:p>
            <w:pPr>
              <w:widowControl/>
              <w:spacing w:line="0" w:lineRule="atLeast"/>
              <w:rPr>
                <w:kern w:val="0"/>
                <w:sz w:val="22"/>
                <w:szCs w:val="22"/>
              </w:rPr>
            </w:pPr>
            <w:r>
              <w:rPr>
                <w:kern w:val="0"/>
                <w:sz w:val="22"/>
                <w:szCs w:val="22"/>
              </w:rPr>
              <w:t>社会公众或服务对象对项目实施效果的满意程度。</w:t>
            </w:r>
          </w:p>
        </w:tc>
        <w:tc>
          <w:tcPr>
            <w:tcW w:w="5200" w:type="dxa"/>
            <w:shd w:val="clear" w:color="000000" w:fill="FFFFFF"/>
            <w:vAlign w:val="center"/>
          </w:tcPr>
          <w:p>
            <w:pPr>
              <w:widowControl/>
              <w:spacing w:line="0" w:lineRule="atLeast"/>
              <w:rPr>
                <w:kern w:val="0"/>
                <w:sz w:val="22"/>
                <w:szCs w:val="22"/>
              </w:rPr>
            </w:pPr>
            <w:r>
              <w:rPr>
                <w:kern w:val="0"/>
                <w:sz w:val="22"/>
                <w:szCs w:val="22"/>
              </w:rPr>
              <w:t>社会公众或服务对象是指因该项目实施而受到影响的部门（单位）、群体或个人。一般采取社会调查的方式。</w:t>
            </w:r>
          </w:p>
        </w:tc>
        <w:tc>
          <w:tcPr>
            <w:tcW w:w="1299" w:type="dxa"/>
            <w:shd w:val="clear" w:color="000000" w:fill="FFFFFF"/>
            <w:vAlign w:val="center"/>
          </w:tcPr>
          <w:p>
            <w:pPr>
              <w:widowControl/>
              <w:spacing w:line="0" w:lineRule="atLeast"/>
              <w:jc w:val="center"/>
              <w:rPr>
                <w:b/>
                <w:bCs/>
                <w:kern w:val="0"/>
                <w:sz w:val="22"/>
                <w:szCs w:val="22"/>
              </w:rPr>
            </w:pPr>
            <w:r>
              <w:rPr>
                <w:b/>
                <w:bCs/>
                <w:kern w:val="0"/>
                <w:sz w:val="22"/>
                <w:szCs w:val="22"/>
              </w:rPr>
              <w:t>10</w:t>
            </w:r>
          </w:p>
        </w:tc>
        <w:tc>
          <w:tcPr>
            <w:tcW w:w="1362" w:type="dxa"/>
            <w:shd w:val="clear" w:color="000000" w:fill="FFFFFF"/>
            <w:vAlign w:val="center"/>
          </w:tcPr>
          <w:p>
            <w:pPr>
              <w:widowControl/>
              <w:spacing w:line="0" w:lineRule="atLeast"/>
              <w:jc w:val="center"/>
              <w:rPr>
                <w:b/>
                <w:bCs/>
                <w:kern w:val="0"/>
                <w:sz w:val="22"/>
                <w:szCs w:val="22"/>
              </w:rPr>
            </w:pPr>
            <w:r>
              <w:rPr>
                <w:rFonts w:hint="eastAsia"/>
                <w:b/>
                <w:bCs/>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0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2E4980"/>
    <w:rsid w:val="002F456D"/>
    <w:rsid w:val="0030374F"/>
    <w:rsid w:val="003B4ECC"/>
    <w:rsid w:val="00446B02"/>
    <w:rsid w:val="00467D00"/>
    <w:rsid w:val="006E621A"/>
    <w:rsid w:val="006F7242"/>
    <w:rsid w:val="007B168A"/>
    <w:rsid w:val="008B2CFE"/>
    <w:rsid w:val="00EA2E85"/>
    <w:rsid w:val="00F26FF6"/>
    <w:rsid w:val="00F27C56"/>
    <w:rsid w:val="06B51A2F"/>
    <w:rsid w:val="07397B77"/>
    <w:rsid w:val="13471461"/>
    <w:rsid w:val="13A834F4"/>
    <w:rsid w:val="13B90F01"/>
    <w:rsid w:val="181066D2"/>
    <w:rsid w:val="198452CD"/>
    <w:rsid w:val="1C671E73"/>
    <w:rsid w:val="21C75899"/>
    <w:rsid w:val="24AE06C5"/>
    <w:rsid w:val="2559017D"/>
    <w:rsid w:val="27AB76D9"/>
    <w:rsid w:val="2A06253E"/>
    <w:rsid w:val="2B0245ED"/>
    <w:rsid w:val="2FB56378"/>
    <w:rsid w:val="36794704"/>
    <w:rsid w:val="38CA40DD"/>
    <w:rsid w:val="395F2B56"/>
    <w:rsid w:val="3BECE841"/>
    <w:rsid w:val="3D967BD7"/>
    <w:rsid w:val="3FF7797D"/>
    <w:rsid w:val="4059101B"/>
    <w:rsid w:val="441B2960"/>
    <w:rsid w:val="4D4B27E5"/>
    <w:rsid w:val="594B6735"/>
    <w:rsid w:val="5BFF6039"/>
    <w:rsid w:val="5D76A616"/>
    <w:rsid w:val="5D7F20B9"/>
    <w:rsid w:val="5DAC7D0E"/>
    <w:rsid w:val="5E5F1000"/>
    <w:rsid w:val="5F98B5AF"/>
    <w:rsid w:val="5FFE8511"/>
    <w:rsid w:val="5FFEACE2"/>
    <w:rsid w:val="615A1019"/>
    <w:rsid w:val="63D0156C"/>
    <w:rsid w:val="643EE26D"/>
    <w:rsid w:val="6D572E2F"/>
    <w:rsid w:val="6F5C41AC"/>
    <w:rsid w:val="6FAF6C78"/>
    <w:rsid w:val="7317C656"/>
    <w:rsid w:val="734ED73F"/>
    <w:rsid w:val="7694773B"/>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uiPriority w:val="1"/>
  </w:style>
  <w:style w:type="table" w:default="1" w:styleId="13">
    <w:name w:val="Normal Table"/>
    <w:semiHidden/>
    <w:unhideWhenUsed/>
    <w:uiPriority w:val="99"/>
    <w:tblPr>
      <w:tblLayout w:type="fixed"/>
      <w:tblCellMar>
        <w:top w:w="0" w:type="dxa"/>
        <w:left w:w="108" w:type="dxa"/>
        <w:bottom w:w="0" w:type="dxa"/>
        <w:right w:w="108" w:type="dxa"/>
      </w:tblCellMar>
    </w:tblPr>
  </w:style>
  <w:style w:type="paragraph" w:styleId="3">
    <w:name w:val="annotation text"/>
    <w:basedOn w:val="1"/>
    <w:link w:val="21"/>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19"/>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annotation subject"/>
    <w:basedOn w:val="3"/>
    <w:next w:val="3"/>
    <w:link w:val="22"/>
    <w:qFormat/>
    <w:uiPriority w:val="0"/>
    <w:rPr>
      <w:b/>
      <w:bCs/>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6"/>
    <w:qFormat/>
    <w:uiPriority w:val="0"/>
    <w:rPr>
      <w:rFonts w:ascii="Times New Roman" w:hAnsi="Times New Roman" w:eastAsia="宋体" w:cs="Times New Roman"/>
      <w:kern w:val="2"/>
      <w:sz w:val="18"/>
      <w:szCs w:val="18"/>
    </w:rPr>
  </w:style>
  <w:style w:type="character" w:customStyle="1" w:styleId="20">
    <w:name w:val="页眉 字符"/>
    <w:basedOn w:val="14"/>
    <w:link w:val="8"/>
    <w:qFormat/>
    <w:uiPriority w:val="0"/>
    <w:rPr>
      <w:rFonts w:ascii="Times New Roman" w:hAnsi="Times New Roman" w:eastAsia="宋体" w:cs="Times New Roman"/>
      <w:kern w:val="2"/>
      <w:sz w:val="18"/>
      <w:szCs w:val="18"/>
    </w:rPr>
  </w:style>
  <w:style w:type="character" w:customStyle="1" w:styleId="21">
    <w:name w:val="批注文字 字符"/>
    <w:basedOn w:val="14"/>
    <w:link w:val="3"/>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1586</Words>
  <Characters>9043</Characters>
  <Lines>75</Lines>
  <Paragraphs>21</Paragraphs>
  <TotalTime>5</TotalTime>
  <ScaleCrop>false</ScaleCrop>
  <LinksUpToDate>false</LinksUpToDate>
  <CharactersWithSpaces>10608</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2024-10-15T04:26:34Z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CFAB1FFE6E164738AB7A10242CC43FDB_13</vt:lpwstr>
  </property>
</Properties>
</file>