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E4058">
      <w:pPr>
        <w:rPr>
          <w:rFonts w:hint="eastAsia" w:ascii="黑体" w:hAnsi="黑体" w:eastAsia="黑体"/>
          <w:sz w:val="32"/>
          <w:szCs w:val="32"/>
        </w:rPr>
      </w:pPr>
    </w:p>
    <w:p w14:paraId="20E776B1">
      <w:pPr>
        <w:jc w:val="center"/>
        <w:rPr>
          <w:rFonts w:hint="eastAsia" w:ascii="方正小标宋_GBK" w:hAnsi="宋体" w:eastAsia="方正小标宋_GBK"/>
          <w:sz w:val="44"/>
          <w:szCs w:val="44"/>
        </w:rPr>
      </w:pPr>
    </w:p>
    <w:p w14:paraId="6AC12E8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奇台县人力资源和社会保障局</w:t>
      </w:r>
    </w:p>
    <w:p w14:paraId="1023D7A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A14E1E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E2A6821">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BE98956">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9468FCB">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30739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73AE2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90A831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354E9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B89A2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A2528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E91F1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FD990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88E7B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7D35349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D2EC0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599B58D">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4D697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77EC29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4FC2AF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90844B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D408F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0CCE5E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F9BC9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6816E0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E67FD9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678FA1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0A1E91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51D127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5FF5D8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58B66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FFB30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28A608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1A559E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F77DF37">
      <w:r>
        <w:rPr>
          <w:rFonts w:hint="eastAsia" w:ascii="仿宋_GB2312" w:hAnsi="仿宋_GB2312" w:eastAsia="仿宋_GB2312" w:cs="仿宋_GB2312"/>
          <w:sz w:val="32"/>
          <w:szCs w:val="32"/>
        </w:rPr>
        <w:fldChar w:fldCharType="end"/>
      </w:r>
    </w:p>
    <w:p w14:paraId="64BB4693">
      <w:pPr>
        <w:rPr>
          <w:rFonts w:ascii="仿宋_GB2312" w:eastAsia="仿宋_GB2312"/>
          <w:sz w:val="32"/>
          <w:szCs w:val="32"/>
        </w:rPr>
      </w:pPr>
      <w:r>
        <w:rPr>
          <w:rFonts w:hint="eastAsia" w:ascii="仿宋_GB2312" w:eastAsia="仿宋_GB2312"/>
          <w:sz w:val="32"/>
          <w:szCs w:val="32"/>
        </w:rPr>
        <w:br w:type="page"/>
      </w:r>
    </w:p>
    <w:p w14:paraId="7F8F7082">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CDC15C6">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BD408F2">
      <w:pPr>
        <w:ind w:firstLine="640" w:firstLineChars="200"/>
        <w:rPr>
          <w:rFonts w:ascii="仿宋_GB2312" w:eastAsia="仿宋_GB2312"/>
          <w:sz w:val="32"/>
          <w:szCs w:val="32"/>
        </w:rPr>
      </w:pPr>
      <w:r>
        <w:rPr>
          <w:rFonts w:hint="eastAsia" w:ascii="仿宋_GB2312" w:eastAsia="仿宋_GB2312"/>
          <w:sz w:val="32"/>
          <w:szCs w:val="32"/>
        </w:rPr>
        <w:t>（一）贯彻执行国家、自治区和自治州人力资源和社会保障事业发展规划、政策；拟订人力资源和社会保障相关措施并组织实施和监督检查。</w:t>
      </w:r>
    </w:p>
    <w:p w14:paraId="3067DA5F">
      <w:pPr>
        <w:ind w:firstLine="640" w:firstLineChars="200"/>
        <w:rPr>
          <w:rFonts w:ascii="仿宋_GB2312" w:eastAsia="仿宋_GB2312"/>
          <w:sz w:val="32"/>
          <w:szCs w:val="32"/>
        </w:rPr>
      </w:pPr>
      <w:r>
        <w:rPr>
          <w:rFonts w:hint="eastAsia" w:ascii="仿宋_GB2312" w:eastAsia="仿宋_GB2312"/>
          <w:sz w:val="32"/>
          <w:szCs w:val="32"/>
        </w:rPr>
        <w:t>（二）拟订并组织实施全县人力资源市场发展规划，组织落实人力资源流动政策，指导监督人力资源服务机构，建立全县统一规范的人力资源市场，促进人力资源合理流动、有效配置。</w:t>
      </w:r>
    </w:p>
    <w:p w14:paraId="1B3139AB">
      <w:pPr>
        <w:ind w:firstLine="640" w:firstLineChars="200"/>
        <w:rPr>
          <w:rFonts w:ascii="仿宋_GB2312" w:eastAsia="仿宋_GB2312"/>
          <w:sz w:val="32"/>
          <w:szCs w:val="32"/>
        </w:rPr>
      </w:pPr>
      <w:r>
        <w:rPr>
          <w:rFonts w:hint="eastAsia" w:ascii="仿宋_GB2312" w:eastAsia="仿宋_GB2312"/>
          <w:sz w:val="32"/>
          <w:szCs w:val="32"/>
        </w:rPr>
        <w:t>（三）负责促进就业和创业工作。拟订统筹城乡就业和创业发展规划，组织实施城乡就业政策，完善公共就业和创业服务体系；组织落实就业援助制度、职业资格制度相关政策，统筹建立面向城乡劳动者的职业技能培训制度；组织落实高校毕业生就业政策，会同有关部门组织落实高技能人才、农村实用人才培养和激励政策。</w:t>
      </w:r>
    </w:p>
    <w:p w14:paraId="4A7E0FB7">
      <w:pPr>
        <w:ind w:firstLine="640" w:firstLineChars="200"/>
        <w:rPr>
          <w:rFonts w:ascii="仿宋_GB2312" w:eastAsia="仿宋_GB2312"/>
          <w:sz w:val="32"/>
          <w:szCs w:val="32"/>
        </w:rPr>
      </w:pPr>
      <w:r>
        <w:rPr>
          <w:rFonts w:hint="eastAsia" w:ascii="仿宋_GB2312" w:eastAsia="仿宋_GB2312"/>
          <w:sz w:val="32"/>
          <w:szCs w:val="32"/>
        </w:rPr>
        <w:t>（四）统筹建立覆盖城乡的社会保障体系。组织实施城乡社会保险及其补充保险政策和标准；统筹实施机关企事业单位基本养老保险政策；会同有关部门拟订社会保险及其补充保险基金管理和监督办法，审核全县社会保险基金预决算草案；拟订全县社会保险基金保值增值方案。</w:t>
      </w:r>
    </w:p>
    <w:p w14:paraId="612DBAF7">
      <w:pPr>
        <w:ind w:firstLine="640" w:firstLineChars="200"/>
        <w:rPr>
          <w:rFonts w:ascii="仿宋_GB2312" w:eastAsia="仿宋_GB2312"/>
          <w:sz w:val="32"/>
          <w:szCs w:val="32"/>
        </w:rPr>
      </w:pPr>
      <w:r>
        <w:rPr>
          <w:rFonts w:hint="eastAsia" w:ascii="仿宋_GB2312" w:eastAsia="仿宋_GB2312"/>
          <w:sz w:val="32"/>
          <w:szCs w:val="32"/>
        </w:rPr>
        <w:t>（五）负责就业、失业、社会保险基金预测预警和信息引导；拟订应对预案，实施预防、调节和控制，保持就业形势稳定和社会保险基金总体收支平衡。</w:t>
      </w:r>
    </w:p>
    <w:p w14:paraId="326A8D9E">
      <w:pPr>
        <w:ind w:firstLine="640" w:firstLineChars="200"/>
        <w:rPr>
          <w:rFonts w:ascii="仿宋_GB2312" w:eastAsia="仿宋_GB2312"/>
          <w:sz w:val="32"/>
          <w:szCs w:val="32"/>
        </w:rPr>
      </w:pPr>
      <w:r>
        <w:rPr>
          <w:rFonts w:hint="eastAsia" w:ascii="仿宋_GB2312" w:eastAsia="仿宋_GB2312"/>
          <w:sz w:val="32"/>
          <w:szCs w:val="32"/>
        </w:rPr>
        <w:t>（六）会同有关部门落实企事业单位人员工资收入分配制度改革实施意见，落实国家、自治区、自治州企事业单位人员工资正常增长和支付保障政策；组织落实企事业单位人员福利和离退休政策；参与县级企业劳动模范评定工作。</w:t>
      </w:r>
    </w:p>
    <w:p w14:paraId="3CC7B1DA">
      <w:pPr>
        <w:ind w:firstLine="640" w:firstLineChars="200"/>
        <w:rPr>
          <w:rFonts w:ascii="仿宋_GB2312" w:eastAsia="仿宋_GB2312"/>
          <w:sz w:val="32"/>
          <w:szCs w:val="32"/>
        </w:rPr>
      </w:pPr>
      <w:r>
        <w:rPr>
          <w:rFonts w:hint="eastAsia" w:ascii="仿宋_GB2312" w:eastAsia="仿宋_GB2312"/>
          <w:sz w:val="32"/>
          <w:szCs w:val="32"/>
        </w:rPr>
        <w:t>（七）会同有关部门指导事业单位人事制度改革，组织落实事业单位人员和机关工勤人员管理政策，参与人才开发管理工作，组织落实专业技术人员管理和继续教育政策；牵头推进深化职称制度改革工作；负责全县博士后管理工作；负责全县专业技术人才选拔和培养工作，落实国（境）外专家、留学人员来疆（回疆）工作或定居政策。</w:t>
      </w:r>
    </w:p>
    <w:p w14:paraId="53FECEA9">
      <w:pPr>
        <w:ind w:firstLine="640" w:firstLineChars="200"/>
        <w:rPr>
          <w:rFonts w:ascii="仿宋_GB2312" w:eastAsia="仿宋_GB2312"/>
          <w:sz w:val="32"/>
          <w:szCs w:val="32"/>
        </w:rPr>
      </w:pPr>
      <w:r>
        <w:rPr>
          <w:rFonts w:hint="eastAsia" w:ascii="仿宋_GB2312" w:eastAsia="仿宋_GB2312"/>
          <w:sz w:val="32"/>
          <w:szCs w:val="32"/>
        </w:rPr>
        <w:t>（八）会同有关部门组织落实国家荣誉制度和政府奖励制度，承担权限内表彰奖励活动。</w:t>
      </w:r>
    </w:p>
    <w:p w14:paraId="714B1AC2">
      <w:pPr>
        <w:ind w:firstLine="640" w:firstLineChars="200"/>
        <w:rPr>
          <w:rFonts w:ascii="仿宋_GB2312" w:eastAsia="仿宋_GB2312"/>
          <w:sz w:val="32"/>
          <w:szCs w:val="32"/>
        </w:rPr>
      </w:pPr>
      <w:r>
        <w:rPr>
          <w:rFonts w:hint="eastAsia" w:ascii="仿宋_GB2312" w:eastAsia="仿宋_GB2312"/>
          <w:sz w:val="32"/>
          <w:szCs w:val="32"/>
        </w:rPr>
        <w:t>（九）会同有关部门组织落实农民工工作综合性政策，拟订农民工工作规划，协调解决重点难点问题，维护农民工合法权益。</w:t>
      </w:r>
    </w:p>
    <w:p w14:paraId="694E7DDC">
      <w:pPr>
        <w:ind w:firstLine="640" w:firstLineChars="200"/>
        <w:rPr>
          <w:rFonts w:ascii="仿宋_GB2312" w:eastAsia="仿宋_GB2312"/>
          <w:sz w:val="32"/>
          <w:szCs w:val="32"/>
        </w:rPr>
      </w:pPr>
      <w:r>
        <w:rPr>
          <w:rFonts w:hint="eastAsia" w:ascii="仿宋_GB2312" w:eastAsia="仿宋_GB2312"/>
          <w:sz w:val="32"/>
          <w:szCs w:val="32"/>
        </w:rPr>
        <w:t>（十）统筹落实劳动、人事争议调解仲裁制度和劳动关系政策，完善劳动关系协调机制；监督落实消除非法使用童工政策和女工、未成年工的特殊劳动保护政策；组织实施劳动监察，协调劳动者维权工作，依法查处相关案件。</w:t>
      </w:r>
    </w:p>
    <w:p w14:paraId="033F44A8">
      <w:pPr>
        <w:ind w:firstLine="640" w:firstLineChars="200"/>
        <w:rPr>
          <w:rFonts w:ascii="仿宋_GB2312" w:eastAsia="仿宋_GB2312"/>
          <w:sz w:val="32"/>
          <w:szCs w:val="32"/>
        </w:rPr>
      </w:pPr>
      <w:r>
        <w:rPr>
          <w:rFonts w:hint="eastAsia" w:ascii="仿宋_GB2312" w:eastAsia="仿宋_GB2312"/>
          <w:sz w:val="32"/>
          <w:szCs w:val="32"/>
        </w:rPr>
        <w:t>（十一）受理人力资源和社会保障方面信访事项，拟订信访工作预案；会同有关部门协调处理有关劳动、人事方面的重大信访事件或突发事件。</w:t>
      </w:r>
    </w:p>
    <w:p w14:paraId="2D398B71">
      <w:pPr>
        <w:ind w:firstLine="640" w:firstLineChars="200"/>
        <w:rPr>
          <w:rFonts w:ascii="仿宋_GB2312" w:eastAsia="仿宋_GB2312"/>
          <w:sz w:val="32"/>
          <w:szCs w:val="32"/>
        </w:rPr>
      </w:pPr>
      <w:r>
        <w:rPr>
          <w:rFonts w:hint="eastAsia" w:ascii="仿宋_GB2312" w:eastAsia="仿宋_GB2312"/>
          <w:sz w:val="32"/>
          <w:szCs w:val="32"/>
        </w:rPr>
        <w:t>（十二）承担人力资源和社会保障系统的宣传、培训、统计和信息工作。组织建设全县人力资源和社会保障系统信息网络，定期发布人力资源和社会保障系统事业统计公报、信息资料及发展预测报告。</w:t>
      </w:r>
    </w:p>
    <w:p w14:paraId="13A7408D">
      <w:pPr>
        <w:ind w:firstLine="640" w:firstLineChars="200"/>
        <w:rPr>
          <w:rFonts w:ascii="仿宋_GB2312" w:eastAsia="仿宋_GB2312"/>
          <w:sz w:val="32"/>
          <w:szCs w:val="32"/>
        </w:rPr>
      </w:pPr>
      <w:r>
        <w:rPr>
          <w:rFonts w:hint="eastAsia" w:ascii="仿宋_GB2312" w:eastAsia="仿宋_GB2312"/>
          <w:sz w:val="32"/>
          <w:szCs w:val="32"/>
        </w:rPr>
        <w:t>（十三）负责权限内相关事业单位工作人员的人事档案管理工作。</w:t>
      </w:r>
    </w:p>
    <w:p w14:paraId="12642B2E">
      <w:pPr>
        <w:ind w:firstLine="640" w:firstLineChars="200"/>
        <w:rPr>
          <w:rFonts w:ascii="仿宋_GB2312" w:eastAsia="仿宋_GB2312"/>
          <w:sz w:val="32"/>
          <w:szCs w:val="32"/>
        </w:rPr>
      </w:pPr>
      <w:r>
        <w:rPr>
          <w:rFonts w:hint="eastAsia" w:ascii="仿宋_GB2312" w:eastAsia="仿宋_GB2312"/>
          <w:sz w:val="32"/>
          <w:szCs w:val="32"/>
        </w:rPr>
        <w:t>（十四）指导所属相关协会等社团工作。</w:t>
      </w:r>
    </w:p>
    <w:p w14:paraId="27D941E7">
      <w:pPr>
        <w:ind w:firstLine="640" w:firstLineChars="200"/>
        <w:rPr>
          <w:rFonts w:ascii="仿宋_GB2312" w:eastAsia="仿宋_GB2312"/>
          <w:sz w:val="32"/>
          <w:szCs w:val="32"/>
        </w:rPr>
      </w:pPr>
      <w:r>
        <w:rPr>
          <w:rFonts w:hint="eastAsia" w:ascii="仿宋_GB2312" w:eastAsia="仿宋_GB2312"/>
          <w:sz w:val="32"/>
          <w:szCs w:val="32"/>
        </w:rPr>
        <w:t>（十五）完成县党委、县人民政府交办的其他任务。</w:t>
      </w:r>
    </w:p>
    <w:p w14:paraId="623C3228">
      <w:pPr>
        <w:ind w:firstLine="640" w:firstLineChars="200"/>
        <w:rPr>
          <w:rFonts w:ascii="仿宋_GB2312" w:eastAsia="仿宋_GB2312"/>
          <w:sz w:val="32"/>
          <w:szCs w:val="32"/>
        </w:rPr>
      </w:pPr>
      <w:r>
        <w:rPr>
          <w:rFonts w:hint="eastAsia" w:ascii="仿宋_GB2312" w:eastAsia="仿宋_GB2312"/>
          <w:sz w:val="32"/>
          <w:szCs w:val="32"/>
        </w:rPr>
        <w:t>（十六）职能转变。深入推进简政放权、放管结合、优化服务改革，进一步减少行政审批事项，规范和优化对外办理事项，减少职业资格许可和认定等审批事项，实行国家职业资格目录清单管理，加强事中事后监管，创新就业和社会保障等公共服务方式，加强信息共享，提高公共服务水平。</w:t>
      </w:r>
    </w:p>
    <w:p w14:paraId="3A5D1195">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F784DEF">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奇台县人力资源和社会保障局2023年度，实有人数</w:t>
      </w:r>
      <w:r>
        <w:rPr>
          <w:rFonts w:hint="eastAsia" w:ascii="仿宋_GB2312" w:eastAsia="仿宋_GB2312"/>
          <w:sz w:val="32"/>
          <w:szCs w:val="32"/>
          <w:lang w:val="zh-CN"/>
        </w:rPr>
        <w:t>41</w:t>
      </w:r>
      <w:r>
        <w:rPr>
          <w:rFonts w:hint="eastAsia" w:ascii="仿宋_GB2312" w:eastAsia="仿宋_GB2312"/>
          <w:sz w:val="32"/>
          <w:szCs w:val="32"/>
        </w:rPr>
        <w:t>人，其中：在职人员</w:t>
      </w:r>
      <w:r>
        <w:rPr>
          <w:rFonts w:hint="eastAsia" w:ascii="仿宋_GB2312" w:eastAsia="仿宋_GB2312"/>
          <w:sz w:val="32"/>
          <w:szCs w:val="32"/>
          <w:lang w:val="zh-CN"/>
        </w:rPr>
        <w:t>29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35C6042C">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eastAsia="仿宋_GB2312"/>
          <w:kern w:val="36"/>
          <w:sz w:val="32"/>
        </w:rPr>
        <w:t>就业科、培训科、仲裁院、人事人才服务中心、劳动保障监察大队、工资和退休福利科、基金监督科、工伤科、综合办</w:t>
      </w:r>
      <w:r>
        <w:rPr>
          <w:rFonts w:hint="eastAsia" w:ascii="仿宋_GB2312" w:hAnsi="宋体" w:eastAsia="仿宋_GB2312" w:cs="宋体"/>
          <w:kern w:val="0"/>
          <w:sz w:val="32"/>
          <w:szCs w:val="32"/>
        </w:rPr>
        <w:t>。</w:t>
      </w:r>
    </w:p>
    <w:p w14:paraId="6B6F6EF0">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2CFFD3B1">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D68F35B">
      <w:pPr>
        <w:ind w:firstLine="640" w:firstLineChars="200"/>
        <w:jc w:val="left"/>
        <w:rPr>
          <w:rFonts w:ascii="仿宋_GB2312" w:eastAsia="仿宋_GB2312"/>
          <w:sz w:val="32"/>
          <w:szCs w:val="32"/>
        </w:rPr>
      </w:pPr>
      <w:r>
        <w:rPr>
          <w:rFonts w:hint="eastAsia" w:ascii="仿宋_GB2312" w:eastAsia="仿宋_GB2312"/>
          <w:sz w:val="32"/>
          <w:szCs w:val="32"/>
        </w:rPr>
        <w:t>2023年度收入总计3,570.27万元，其中：本年收入合计3,570.27万元，使用非财政拨款结余0.00万元，年初结转和结余0.00万元。</w:t>
      </w:r>
    </w:p>
    <w:p w14:paraId="6E4CE3E4">
      <w:pPr>
        <w:ind w:firstLine="640" w:firstLineChars="200"/>
        <w:jc w:val="left"/>
        <w:rPr>
          <w:rFonts w:ascii="仿宋_GB2312" w:eastAsia="仿宋_GB2312"/>
          <w:sz w:val="32"/>
          <w:szCs w:val="32"/>
        </w:rPr>
      </w:pPr>
      <w:r>
        <w:rPr>
          <w:rFonts w:hint="eastAsia" w:ascii="仿宋_GB2312" w:eastAsia="仿宋_GB2312"/>
          <w:sz w:val="32"/>
          <w:szCs w:val="32"/>
        </w:rPr>
        <w:t>2023年度支出总计3,570.27万元，其中：本年支出合计3,570.27万元，结余分配0.00万元，年末结转和结余0.00万元。</w:t>
      </w:r>
    </w:p>
    <w:p w14:paraId="16CF8928">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增加1,079.30万元</w:t>
      </w:r>
      <w:r>
        <w:rPr>
          <w:rFonts w:hint="eastAsia" w:ascii="仿宋_GB2312" w:eastAsia="仿宋_GB2312"/>
          <w:sz w:val="32"/>
          <w:szCs w:val="32"/>
        </w:rPr>
        <w:t>，增长43.33%，主要原因是：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脱贫劳动力外出务工一次性交通补贴项目经费增加、中央财政就业补助项目资金增加</w:t>
      </w:r>
      <w:r>
        <w:rPr>
          <w:rFonts w:hint="eastAsia" w:ascii="仿宋_GB2312" w:eastAsia="仿宋_GB2312"/>
          <w:sz w:val="32"/>
          <w:szCs w:val="32"/>
        </w:rPr>
        <w:t>。</w:t>
      </w:r>
    </w:p>
    <w:p w14:paraId="32CD8997">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2243954">
      <w:pPr>
        <w:ind w:firstLine="640" w:firstLineChars="200"/>
        <w:jc w:val="left"/>
        <w:rPr>
          <w:rFonts w:ascii="仿宋_GB2312" w:eastAsia="仿宋_GB2312"/>
          <w:sz w:val="32"/>
          <w:szCs w:val="32"/>
        </w:rPr>
      </w:pPr>
      <w:r>
        <w:rPr>
          <w:rFonts w:hint="eastAsia" w:ascii="仿宋_GB2312" w:eastAsia="仿宋_GB2312"/>
          <w:sz w:val="32"/>
          <w:szCs w:val="32"/>
        </w:rPr>
        <w:t>本年收入3,570.27万元，其中：财政拨款收入</w:t>
      </w:r>
      <w:r>
        <w:rPr>
          <w:rFonts w:hint="eastAsia" w:ascii="仿宋_GB2312" w:eastAsia="仿宋_GB2312"/>
          <w:sz w:val="32"/>
          <w:szCs w:val="32"/>
          <w:lang w:val="zh-CN"/>
        </w:rPr>
        <w:t>3,516.09</w:t>
      </w:r>
      <w:r>
        <w:rPr>
          <w:rFonts w:hint="eastAsia" w:ascii="仿宋_GB2312" w:eastAsia="仿宋_GB2312"/>
          <w:sz w:val="32"/>
          <w:szCs w:val="32"/>
        </w:rPr>
        <w:t>万元，占</w:t>
      </w:r>
      <w:r>
        <w:rPr>
          <w:rFonts w:hint="eastAsia" w:ascii="仿宋_GB2312" w:eastAsia="仿宋_GB2312"/>
          <w:sz w:val="32"/>
          <w:szCs w:val="32"/>
          <w:lang w:val="zh-CN"/>
        </w:rPr>
        <w:t>98.48%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54.18</w:t>
      </w:r>
      <w:r>
        <w:rPr>
          <w:rFonts w:hint="eastAsia" w:ascii="仿宋_GB2312" w:eastAsia="仿宋_GB2312"/>
          <w:sz w:val="32"/>
          <w:szCs w:val="32"/>
        </w:rPr>
        <w:t>万元，占</w:t>
      </w:r>
      <w:r>
        <w:rPr>
          <w:rFonts w:hint="eastAsia" w:ascii="仿宋_GB2312" w:eastAsia="仿宋_GB2312"/>
          <w:sz w:val="32"/>
          <w:szCs w:val="32"/>
          <w:lang w:val="zh-CN"/>
        </w:rPr>
        <w:t>1.52%</w:t>
      </w:r>
      <w:r>
        <w:rPr>
          <w:rFonts w:hint="eastAsia" w:ascii="仿宋_GB2312" w:eastAsia="仿宋_GB2312"/>
          <w:sz w:val="32"/>
          <w:szCs w:val="32"/>
        </w:rPr>
        <w:t>。</w:t>
      </w:r>
    </w:p>
    <w:p w14:paraId="12B80C55">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9BDD0E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本年支出3,570.27万元，其中：基本支出518.68万元，占14.53%；项目支出3,051.59万元，占85.47%；上缴上级支出0.00万元，占0.00%；经营支出0.00万元，占0.00%；对附属单位补助支出0.00万元，占0.00%。</w:t>
      </w:r>
    </w:p>
    <w:p w14:paraId="4204E8D7">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51656AA7">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3,516.09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3,516.09</w:t>
      </w:r>
      <w:r>
        <w:rPr>
          <w:rFonts w:hint="eastAsia" w:ascii="仿宋_GB2312" w:eastAsia="仿宋_GB2312"/>
          <w:sz w:val="32"/>
          <w:szCs w:val="32"/>
        </w:rPr>
        <w:t>万元。财政拨款支出总计</w:t>
      </w:r>
      <w:r>
        <w:rPr>
          <w:rFonts w:hint="eastAsia" w:ascii="仿宋_GB2312" w:eastAsia="仿宋_GB2312"/>
          <w:sz w:val="32"/>
          <w:szCs w:val="32"/>
          <w:lang w:val="zh-CN"/>
        </w:rPr>
        <w:t>3,516.09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3,516.09</w:t>
      </w:r>
      <w:r>
        <w:rPr>
          <w:rFonts w:hint="eastAsia" w:ascii="仿宋_GB2312" w:eastAsia="仿宋_GB2312"/>
          <w:sz w:val="32"/>
          <w:szCs w:val="32"/>
        </w:rPr>
        <w:t>万元。</w:t>
      </w:r>
    </w:p>
    <w:p w14:paraId="3AB96DBF">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增加1,027.18万元</w:t>
      </w:r>
      <w:r>
        <w:rPr>
          <w:rFonts w:hint="eastAsia" w:ascii="仿宋_GB2312" w:eastAsia="仿宋_GB2312"/>
          <w:sz w:val="32"/>
          <w:szCs w:val="32"/>
        </w:rPr>
        <w:t>，增长41.27%,主要原因是：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脱贫劳动力外出务工一次性交通补贴项目经费增加、中央财政就业补助项目资金增加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2,390.56</w:t>
      </w:r>
      <w:r>
        <w:rPr>
          <w:rFonts w:hint="eastAsia" w:ascii="仿宋_GB2312" w:eastAsia="仿宋_GB2312"/>
          <w:sz w:val="32"/>
          <w:szCs w:val="32"/>
        </w:rPr>
        <w:t>万元，决算数</w:t>
      </w:r>
      <w:r>
        <w:rPr>
          <w:rFonts w:hint="eastAsia" w:ascii="仿宋_GB2312" w:eastAsia="仿宋_GB2312"/>
          <w:sz w:val="32"/>
          <w:szCs w:val="32"/>
          <w:lang w:val="zh-CN"/>
        </w:rPr>
        <w:t>3,516.09</w:t>
      </w:r>
      <w:r>
        <w:rPr>
          <w:rFonts w:hint="eastAsia" w:ascii="仿宋_GB2312" w:eastAsia="仿宋_GB2312"/>
          <w:sz w:val="32"/>
          <w:szCs w:val="32"/>
        </w:rPr>
        <w:t>万元，预决算差异率47.08%，主要原因是：年中追加</w:t>
      </w:r>
      <w:r>
        <w:rPr>
          <w:rFonts w:hint="eastAsia" w:ascii="仿宋_GB2312" w:hAnsi="仿宋_GB2312" w:eastAsia="仿宋_GB2312" w:cs="仿宋_GB2312"/>
          <w:sz w:val="32"/>
          <w:szCs w:val="32"/>
          <w:lang w:val="zh-CN"/>
        </w:rPr>
        <w:t>第四季度纺织服装补助项目资金、高校毕业生三支一扶计划财政补助项目资金</w:t>
      </w:r>
      <w:r>
        <w:rPr>
          <w:rFonts w:hint="eastAsia" w:ascii="仿宋_GB2312" w:eastAsia="仿宋_GB2312"/>
          <w:sz w:val="32"/>
          <w:szCs w:val="32"/>
        </w:rPr>
        <w:t>。</w:t>
      </w:r>
    </w:p>
    <w:p w14:paraId="76B4137F">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55CEA8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89EB6A2">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2023年度一般公共预算财政拨款支出3,516.09万元，占本年支出合计的</w:t>
      </w:r>
      <w:r>
        <w:rPr>
          <w:rFonts w:hint="eastAsia" w:ascii="仿宋_GB2312" w:eastAsia="仿宋_GB2312"/>
          <w:sz w:val="32"/>
          <w:szCs w:val="32"/>
          <w:lang w:val="zh-CN"/>
        </w:rPr>
        <w:t>98.48%</w:t>
      </w:r>
      <w:r>
        <w:rPr>
          <w:rFonts w:hint="eastAsia" w:ascii="仿宋_GB2312" w:eastAsia="仿宋_GB2312"/>
          <w:sz w:val="32"/>
          <w:szCs w:val="32"/>
        </w:rPr>
        <w:t>。与上年相比，</w:t>
      </w:r>
      <w:r>
        <w:rPr>
          <w:rFonts w:hint="eastAsia" w:ascii="仿宋_GB2312" w:eastAsia="仿宋_GB2312"/>
          <w:sz w:val="32"/>
          <w:szCs w:val="32"/>
          <w:lang w:val="zh-CN"/>
        </w:rPr>
        <w:t>增加1,027.18万元</w:t>
      </w:r>
      <w:r>
        <w:rPr>
          <w:rFonts w:hint="eastAsia" w:ascii="仿宋_GB2312" w:eastAsia="仿宋_GB2312"/>
          <w:sz w:val="32"/>
          <w:szCs w:val="32"/>
        </w:rPr>
        <w:t>，增长41.27%,主要原因是：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脱贫劳动力外出务工一次性交通补贴项目经费增加、中央财政就业补助项目资金增加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2,390.56</w:t>
      </w:r>
      <w:r>
        <w:rPr>
          <w:rFonts w:hint="eastAsia" w:ascii="仿宋_GB2312" w:eastAsia="仿宋_GB2312"/>
          <w:sz w:val="32"/>
          <w:szCs w:val="32"/>
        </w:rPr>
        <w:t>万元，决算数</w:t>
      </w:r>
      <w:r>
        <w:rPr>
          <w:rFonts w:hint="eastAsia" w:ascii="仿宋_GB2312" w:eastAsia="仿宋_GB2312"/>
          <w:sz w:val="32"/>
          <w:szCs w:val="32"/>
          <w:lang w:val="zh-CN"/>
        </w:rPr>
        <w:t>3,516.09</w:t>
      </w:r>
      <w:r>
        <w:rPr>
          <w:rFonts w:hint="eastAsia" w:ascii="仿宋_GB2312" w:eastAsia="仿宋_GB2312"/>
          <w:sz w:val="32"/>
          <w:szCs w:val="32"/>
        </w:rPr>
        <w:t>万元，预决算差异率</w:t>
      </w:r>
      <w:r>
        <w:rPr>
          <w:rFonts w:hint="eastAsia" w:ascii="仿宋_GB2312" w:eastAsia="仿宋_GB2312"/>
          <w:sz w:val="32"/>
          <w:szCs w:val="32"/>
          <w:lang w:val="zh-CN"/>
        </w:rPr>
        <w:t>47.08%</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第四季度纺织服装补助项目资金、高校毕业生三支一扶计划财政补助项目资金</w:t>
      </w:r>
      <w:r>
        <w:rPr>
          <w:rFonts w:hint="eastAsia" w:ascii="仿宋_GB2312" w:eastAsia="仿宋_GB2312"/>
          <w:sz w:val="32"/>
          <w:szCs w:val="32"/>
        </w:rPr>
        <w:t>。</w:t>
      </w:r>
    </w:p>
    <w:p w14:paraId="4BD11A2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FE41D16">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531.49</w:t>
      </w:r>
      <w:r>
        <w:rPr>
          <w:rFonts w:ascii="仿宋_GB2312" w:eastAsia="仿宋_GB2312"/>
          <w:kern w:val="2"/>
          <w:sz w:val="32"/>
          <w:szCs w:val="32"/>
          <w:lang w:val="zh-CN"/>
        </w:rPr>
        <w:t>万元，占</w:t>
      </w:r>
      <w:r>
        <w:rPr>
          <w:rFonts w:hint="eastAsia" w:ascii="仿宋_GB2312" w:eastAsia="仿宋_GB2312"/>
          <w:kern w:val="2"/>
          <w:sz w:val="32"/>
          <w:szCs w:val="32"/>
          <w:lang w:val="zh-CN"/>
        </w:rPr>
        <w:t>15.12%</w:t>
      </w:r>
      <w:r>
        <w:rPr>
          <w:rFonts w:ascii="仿宋_GB2312" w:eastAsia="仿宋_GB2312"/>
          <w:kern w:val="2"/>
          <w:sz w:val="32"/>
          <w:szCs w:val="32"/>
          <w:lang w:val="zh-CN"/>
        </w:rPr>
        <w:t>；</w:t>
      </w:r>
    </w:p>
    <w:p w14:paraId="7647CC9A">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2,904.70</w:t>
      </w:r>
      <w:r>
        <w:rPr>
          <w:rFonts w:ascii="仿宋_GB2312" w:eastAsia="仿宋_GB2312"/>
          <w:kern w:val="2"/>
          <w:sz w:val="32"/>
          <w:szCs w:val="32"/>
          <w:lang w:val="zh-CN"/>
        </w:rPr>
        <w:t>万元，占</w:t>
      </w:r>
      <w:r>
        <w:rPr>
          <w:rFonts w:hint="eastAsia" w:ascii="仿宋_GB2312" w:eastAsia="仿宋_GB2312"/>
          <w:kern w:val="2"/>
          <w:sz w:val="32"/>
          <w:szCs w:val="32"/>
          <w:lang w:val="zh-CN"/>
        </w:rPr>
        <w:t>82.61%</w:t>
      </w:r>
      <w:r>
        <w:rPr>
          <w:rFonts w:ascii="仿宋_GB2312" w:eastAsia="仿宋_GB2312"/>
          <w:kern w:val="2"/>
          <w:sz w:val="32"/>
          <w:szCs w:val="32"/>
          <w:lang w:val="zh-CN"/>
        </w:rPr>
        <w:t>；</w:t>
      </w:r>
    </w:p>
    <w:p w14:paraId="3B81187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26.62</w:t>
      </w:r>
      <w:r>
        <w:rPr>
          <w:rFonts w:ascii="仿宋_GB2312" w:eastAsia="仿宋_GB2312"/>
          <w:kern w:val="2"/>
          <w:sz w:val="32"/>
          <w:szCs w:val="32"/>
          <w:lang w:val="zh-CN"/>
        </w:rPr>
        <w:t>万元，占</w:t>
      </w:r>
      <w:r>
        <w:rPr>
          <w:rFonts w:hint="eastAsia" w:ascii="仿宋_GB2312" w:eastAsia="仿宋_GB2312"/>
          <w:kern w:val="2"/>
          <w:sz w:val="32"/>
          <w:szCs w:val="32"/>
          <w:lang w:val="zh-CN"/>
        </w:rPr>
        <w:t>0.76%</w:t>
      </w:r>
      <w:r>
        <w:rPr>
          <w:rFonts w:ascii="仿宋_GB2312" w:eastAsia="仿宋_GB2312"/>
          <w:kern w:val="2"/>
          <w:sz w:val="32"/>
          <w:szCs w:val="32"/>
          <w:lang w:val="zh-CN"/>
        </w:rPr>
        <w:t>；</w:t>
      </w:r>
    </w:p>
    <w:p w14:paraId="40B6462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4.农林水支出（类）0.33万元，占</w:t>
      </w:r>
      <w:r>
        <w:rPr>
          <w:rFonts w:hint="eastAsia" w:ascii="仿宋_GB2312" w:eastAsia="仿宋_GB2312"/>
          <w:kern w:val="2"/>
          <w:sz w:val="32"/>
          <w:szCs w:val="32"/>
          <w:lang w:val="zh-CN"/>
        </w:rPr>
        <w:t>0.01%</w:t>
      </w:r>
      <w:r>
        <w:rPr>
          <w:rFonts w:ascii="仿宋_GB2312" w:eastAsia="仿宋_GB2312"/>
          <w:kern w:val="2"/>
          <w:sz w:val="32"/>
          <w:szCs w:val="32"/>
          <w:lang w:val="zh-CN"/>
        </w:rPr>
        <w:t>；</w:t>
      </w:r>
    </w:p>
    <w:p w14:paraId="5B8E90F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12.27</w:t>
      </w:r>
      <w:r>
        <w:rPr>
          <w:rFonts w:ascii="仿宋_GB2312" w:eastAsia="仿宋_GB2312"/>
          <w:kern w:val="2"/>
          <w:sz w:val="32"/>
          <w:szCs w:val="32"/>
          <w:lang w:val="zh-CN"/>
        </w:rPr>
        <w:t>万元，占</w:t>
      </w:r>
      <w:r>
        <w:rPr>
          <w:rFonts w:hint="eastAsia" w:ascii="仿宋_GB2312" w:eastAsia="仿宋_GB2312"/>
          <w:kern w:val="2"/>
          <w:sz w:val="32"/>
          <w:szCs w:val="32"/>
          <w:lang w:val="zh-CN"/>
        </w:rPr>
        <w:t>0.35%</w:t>
      </w:r>
      <w:r>
        <w:rPr>
          <w:rFonts w:ascii="仿宋_GB2312" w:eastAsia="仿宋_GB2312"/>
          <w:kern w:val="2"/>
          <w:sz w:val="32"/>
          <w:szCs w:val="32"/>
          <w:lang w:val="zh-CN"/>
        </w:rPr>
        <w:t>；</w:t>
      </w:r>
    </w:p>
    <w:p w14:paraId="6172CB1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36.37</w:t>
      </w:r>
      <w:r>
        <w:rPr>
          <w:rFonts w:ascii="仿宋_GB2312" w:eastAsia="仿宋_GB2312"/>
          <w:kern w:val="2"/>
          <w:sz w:val="32"/>
          <w:szCs w:val="32"/>
          <w:lang w:val="zh-CN"/>
        </w:rPr>
        <w:t>万元，占</w:t>
      </w:r>
      <w:r>
        <w:rPr>
          <w:rFonts w:hint="eastAsia" w:ascii="仿宋_GB2312" w:eastAsia="仿宋_GB2312"/>
          <w:kern w:val="2"/>
          <w:sz w:val="32"/>
          <w:szCs w:val="32"/>
          <w:lang w:val="zh-CN"/>
        </w:rPr>
        <w:t>1.03%</w:t>
      </w:r>
      <w:r>
        <w:rPr>
          <w:rFonts w:ascii="仿宋_GB2312" w:eastAsia="仿宋_GB2312"/>
          <w:kern w:val="2"/>
          <w:sz w:val="32"/>
          <w:szCs w:val="32"/>
          <w:lang w:val="zh-CN"/>
        </w:rPr>
        <w:t>；</w:t>
      </w:r>
    </w:p>
    <w:p w14:paraId="0A5074D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.其他支出（类）</w:t>
      </w:r>
      <w:r>
        <w:rPr>
          <w:rFonts w:hint="eastAsia" w:ascii="仿宋_GB2312" w:eastAsia="仿宋_GB2312"/>
          <w:kern w:val="2"/>
          <w:sz w:val="32"/>
          <w:szCs w:val="32"/>
          <w:lang w:val="zh-CN"/>
        </w:rPr>
        <w:t>4.31</w:t>
      </w:r>
      <w:r>
        <w:rPr>
          <w:rFonts w:ascii="仿宋_GB2312" w:eastAsia="仿宋_GB2312"/>
          <w:kern w:val="2"/>
          <w:sz w:val="32"/>
          <w:szCs w:val="32"/>
          <w:lang w:val="zh-CN"/>
        </w:rPr>
        <w:t>万元，占</w:t>
      </w:r>
      <w:r>
        <w:rPr>
          <w:rFonts w:hint="eastAsia" w:ascii="仿宋_GB2312" w:eastAsia="仿宋_GB2312"/>
          <w:kern w:val="2"/>
          <w:sz w:val="32"/>
          <w:szCs w:val="32"/>
          <w:lang w:val="zh-CN"/>
        </w:rPr>
        <w:t>0.12%。</w:t>
      </w:r>
    </w:p>
    <w:p w14:paraId="66AB994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024799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1.卫生健康支出（类）行政事业单位医疗（款）其他行政事业单位医疗支出（项）:支出决算数为0.25万元，比上年决算增加0.02万元，增长8.70%，主要原因是：</w:t>
      </w:r>
      <w:r>
        <w:rPr>
          <w:rFonts w:hint="eastAsia" w:ascii="仿宋_GB2312" w:hAnsi="仿宋_GB2312" w:eastAsia="仿宋_GB2312" w:cs="仿宋_GB2312"/>
          <w:sz w:val="32"/>
          <w:szCs w:val="32"/>
          <w:lang w:val="zh-CN"/>
        </w:rPr>
        <w:t>单位本年职工医疗缴费较上年增加。</w:t>
      </w:r>
    </w:p>
    <w:p w14:paraId="725930D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2.卫生健康支出（类）行政事业单位医疗（款）行政单位医疗（项）:支出决算数为22.96万元，比上年决算增加5.63万元，增长32.49%，主要原因是：</w:t>
      </w:r>
      <w:r>
        <w:rPr>
          <w:rFonts w:hint="eastAsia" w:ascii="仿宋_GB2312" w:hAnsi="仿宋_GB2312" w:eastAsia="仿宋_GB2312" w:cs="仿宋_GB2312"/>
          <w:sz w:val="32"/>
          <w:szCs w:val="32"/>
          <w:lang w:val="zh-CN"/>
        </w:rPr>
        <w:t>单位本年行政医疗缴费基数上调，相应医疗缴费增加。</w:t>
      </w:r>
    </w:p>
    <w:p w14:paraId="62B31DD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3.卫生健康支出（类）行政事业单位医疗（款）公务员医疗补助（项）:支出决算数为3.41万元，比上年决算减少1.50万元，下降30.55%，主要原因是：</w:t>
      </w:r>
      <w:r>
        <w:rPr>
          <w:rFonts w:hint="eastAsia" w:ascii="仿宋_GB2312" w:hAnsi="仿宋_GB2312" w:eastAsia="仿宋_GB2312" w:cs="仿宋_GB2312"/>
          <w:sz w:val="32"/>
          <w:szCs w:val="32"/>
          <w:lang w:val="zh-CN"/>
        </w:rPr>
        <w:t>单位本年公务员医疗缴费基数下调，相应公务员医疗缴费减少。</w:t>
      </w:r>
    </w:p>
    <w:p w14:paraId="0C8C9F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4.农林水支出（类）巩固脱贫攻坚成果衔接乡村振兴（款）生产发展（项）:支出决算数为0.33万元，比上年决算增加0.33万元，增长100%，主要原因是：单位本年</w:t>
      </w:r>
      <w:r>
        <w:rPr>
          <w:rFonts w:hint="eastAsia" w:ascii="仿宋_GB2312" w:hAnsi="仿宋_GB2312" w:eastAsia="仿宋_GB2312" w:cs="仿宋_GB2312"/>
          <w:sz w:val="32"/>
          <w:szCs w:val="32"/>
          <w:lang w:val="zh-CN"/>
        </w:rPr>
        <w:t>脱贫劳动力外出务工一次性交通补贴项目经费增加。</w:t>
      </w:r>
    </w:p>
    <w:p w14:paraId="09CD7FD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5.住房保障支出（类）住房改革支出（款）住房公积金（项）:支出决算数为36.37万元，比上年决算增加5.30万元，增长17.06%，主要原因是：</w:t>
      </w:r>
      <w:r>
        <w:rPr>
          <w:rFonts w:hint="eastAsia" w:ascii="仿宋_GB2312" w:hAnsi="仿宋_GB2312" w:eastAsia="仿宋_GB2312" w:cs="仿宋_GB2312"/>
          <w:sz w:val="32"/>
          <w:szCs w:val="32"/>
          <w:lang w:val="zh-CN"/>
        </w:rPr>
        <w:t>单位本年公积金缴费基数上调，相应人员公积金缴费增加。</w:t>
      </w:r>
    </w:p>
    <w:p w14:paraId="2BADB05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6.社会保障和就业支出（类）就业补助（款）职业培训补贴（项）:支出决算数为64.22万元，比上年决算减少51.94万元，下降44.71%，主要原因是：单位本年</w:t>
      </w:r>
      <w:r>
        <w:rPr>
          <w:rFonts w:hint="eastAsia" w:ascii="仿宋_GB2312" w:hAnsi="仿宋_GB2312" w:eastAsia="仿宋_GB2312" w:cs="仿宋_GB2312"/>
          <w:sz w:val="32"/>
          <w:szCs w:val="32"/>
          <w:lang w:val="zh-CN"/>
        </w:rPr>
        <w:t>就业（职业培训）项目补贴资金减少。</w:t>
      </w:r>
    </w:p>
    <w:p w14:paraId="41521E7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7.社会保障和就业支出（类）就业补助（款）就业见习补贴（项）:支出决算数为31.92万元，比上年决算增加31.92万元，增长100%，主要原因是：</w:t>
      </w:r>
      <w:r>
        <w:rPr>
          <w:rFonts w:hint="eastAsia" w:ascii="仿宋_GB2312" w:hAnsi="仿宋_GB2312" w:eastAsia="仿宋_GB2312" w:cs="仿宋_GB2312"/>
          <w:sz w:val="32"/>
          <w:szCs w:val="32"/>
          <w:lang w:val="zh-CN"/>
        </w:rPr>
        <w:t>单位本年中央财政就业补助项目资金增加。</w:t>
      </w:r>
    </w:p>
    <w:p w14:paraId="0668A66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8.社会保障和就业支出（类）就业补助（款）其他就业补助支出（项）:支出决算数为659.82万元，比上年决算减少517.36万元，下降43.95%，主要原因是：本年</w:t>
      </w:r>
      <w:r>
        <w:rPr>
          <w:rFonts w:hint="eastAsia" w:ascii="仿宋_GB2312" w:hAnsi="仿宋_GB2312" w:eastAsia="仿宋_GB2312" w:cs="仿宋_GB2312"/>
          <w:sz w:val="32"/>
          <w:szCs w:val="32"/>
          <w:lang w:val="zh-CN"/>
        </w:rPr>
        <w:t>人社局南疆转移就业补贴和办公经费项目资金减少。</w:t>
      </w:r>
    </w:p>
    <w:p w14:paraId="77C4CD6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9.资源勘探工业信息等支出（类）制造业（款）纺织业（项）:支出决算数为12.27万元，比上年决算增加12.27万元，增长100%，主要原因是：</w:t>
      </w:r>
      <w:r>
        <w:rPr>
          <w:rFonts w:hint="eastAsia" w:ascii="仿宋_GB2312" w:hAnsi="仿宋_GB2312" w:eastAsia="仿宋_GB2312" w:cs="仿宋_GB2312"/>
          <w:sz w:val="32"/>
          <w:szCs w:val="32"/>
          <w:lang w:val="zh-CN"/>
        </w:rPr>
        <w:t>单位本年第四季度纺织服装补助项目资金增加。</w:t>
      </w:r>
    </w:p>
    <w:p w14:paraId="5409D3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10.社会保障和就业支出（类）行政事业单位养老支出（款）行政单位离退休（项）:支出决算数为5.78万元，比上年决算增加5.78万元，增长100%，主要原因是：</w:t>
      </w:r>
      <w:r>
        <w:rPr>
          <w:rFonts w:hint="eastAsia" w:ascii="仿宋_GB2312" w:hAnsi="仿宋_GB2312" w:eastAsia="仿宋_GB2312" w:cs="仿宋_GB2312"/>
          <w:sz w:val="32"/>
          <w:szCs w:val="32"/>
          <w:lang w:val="zh-CN"/>
        </w:rPr>
        <w:t>单位本年退休人员交通补助、取暖费增加。</w:t>
      </w:r>
    </w:p>
    <w:p w14:paraId="17F618B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11.社会保障和就业支出（类）就业补助（款）公益性岗位补贴（项）:支出决算数为281.14万元，比上年决算增加275.76万元，增长5,125.65%，主要原因是：单位本年</w:t>
      </w:r>
      <w:r>
        <w:rPr>
          <w:rFonts w:hint="eastAsia" w:ascii="仿宋_GB2312" w:hAnsi="仿宋_GB2312" w:eastAsia="仿宋_GB2312" w:cs="仿宋_GB2312"/>
          <w:sz w:val="32"/>
          <w:szCs w:val="32"/>
          <w:lang w:val="zh-CN"/>
        </w:rPr>
        <w:t>公益性岗位县级配套补贴项目经费增加。</w:t>
      </w:r>
    </w:p>
    <w:p w14:paraId="571F225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12.社会保障和就业支出（类）就业补助（款）社会保险补贴（项）:支出决算数为1,527.14万元，比上年决算增加1,034.78万元，增长210.17%，主要原因是：</w:t>
      </w:r>
      <w:r>
        <w:rPr>
          <w:rFonts w:hint="eastAsia" w:ascii="仿宋_GB2312" w:hAnsi="仿宋_GB2312" w:eastAsia="仿宋_GB2312" w:cs="仿宋_GB2312"/>
          <w:sz w:val="32"/>
          <w:szCs w:val="32"/>
          <w:lang w:val="zh-CN"/>
        </w:rPr>
        <w:t>单位本年中央财政就业补助项目资金增加。</w:t>
      </w:r>
    </w:p>
    <w:p w14:paraId="6076034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13.社会保障和就业支出（类）行政事业单位养老支出（款）机关事业单位基本养老保险缴费支出（项）:支出决算数为45.95万元，比上年决算增加10.26万元，增长28.75%，主要原因是：</w:t>
      </w:r>
      <w:r>
        <w:rPr>
          <w:rFonts w:hint="eastAsia" w:ascii="仿宋_GB2312" w:hAnsi="仿宋_GB2312" w:eastAsia="仿宋_GB2312" w:cs="仿宋_GB2312"/>
          <w:sz w:val="32"/>
          <w:szCs w:val="32"/>
          <w:lang w:val="zh-CN"/>
        </w:rPr>
        <w:t>单位本年社保缴费基数上调，相应人员养老保险缴费增加。</w:t>
      </w:r>
    </w:p>
    <w:p w14:paraId="2A67BAA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14.社会保障和就业支出（类）人力资源和社会保障管理事务（款）其他人力资源和社会保障管理事务支出（项）:支出决算数为288.72万元，比上年决算增加152.32万元，增长111.67%，主要原因是：</w:t>
      </w:r>
      <w:r>
        <w:rPr>
          <w:rFonts w:hint="eastAsia" w:ascii="仿宋_GB2312" w:hAnsi="仿宋_GB2312" w:eastAsia="仿宋_GB2312" w:cs="仿宋_GB2312"/>
          <w:sz w:val="32"/>
          <w:szCs w:val="32"/>
          <w:lang w:val="zh-CN"/>
        </w:rPr>
        <w:t>单位本年高校毕业生三支一扶计划财政补助项目资金增加。</w:t>
      </w:r>
    </w:p>
    <w:p w14:paraId="6870F4B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15.一般公共服务支出（类）组织事务（款）其他组织事务支出（项）:支出决算数为136.38万元，比上年决算增加85.18万元，增长166.37%，主要原因是：本年</w:t>
      </w:r>
      <w:r>
        <w:rPr>
          <w:rFonts w:hint="eastAsia" w:ascii="仿宋_GB2312" w:hAnsi="仿宋_GB2312" w:eastAsia="仿宋_GB2312" w:cs="仿宋_GB2312"/>
          <w:sz w:val="32"/>
          <w:szCs w:val="32"/>
          <w:lang w:val="zh-CN"/>
        </w:rPr>
        <w:t>奇台县人社局偿还工程欠款项目资金增加。</w:t>
      </w:r>
    </w:p>
    <w:p w14:paraId="5069962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16.一般公共服务支出（类）组织事务（款）行政运行（项）:支出决算数为395.11万元，比上年决算减少10.25万元，下降2.53%，主要原因是：</w:t>
      </w:r>
      <w:r>
        <w:rPr>
          <w:rFonts w:hint="eastAsia" w:ascii="仿宋_GB2312" w:hAnsi="仿宋_GB2312" w:eastAsia="仿宋_GB2312" w:cs="仿宋_GB2312"/>
          <w:sz w:val="32"/>
          <w:szCs w:val="32"/>
          <w:lang w:val="zh-CN"/>
        </w:rPr>
        <w:t>单位本年人员减少，相应人员工资、津贴补贴、奖金等人员经费减少。</w:t>
      </w:r>
    </w:p>
    <w:p w14:paraId="7DB154E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17.其他支出（类）其他支出（款）其他支出（项）:支出决算数为4.31万元，比上年决算减少1.69万元，下降28.17%，主要原因是：</w:t>
      </w:r>
      <w:r>
        <w:rPr>
          <w:rFonts w:hint="eastAsia" w:ascii="仿宋_GB2312" w:hAnsi="仿宋_GB2312" w:eastAsia="仿宋_GB2312" w:cs="仿宋_GB2312"/>
          <w:sz w:val="32"/>
          <w:szCs w:val="32"/>
          <w:lang w:val="zh-CN"/>
        </w:rPr>
        <w:t>单位本年为民办实事、办好事社区工作专项项目经费减少。</w:t>
      </w:r>
    </w:p>
    <w:p w14:paraId="1713888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18.卫生健康支出（类）行政事业单位医疗（款）事业单位医疗（项）:支出决算数为0.00万元，比上年决算减少9.64万元，下降100%，主要原因是：</w:t>
      </w:r>
      <w:r>
        <w:rPr>
          <w:rFonts w:hint="eastAsia" w:ascii="仿宋_GB2312" w:hAnsi="仿宋_GB2312" w:eastAsia="仿宋_GB2312" w:cs="仿宋_GB2312"/>
          <w:sz w:val="32"/>
          <w:szCs w:val="32"/>
          <w:lang w:val="zh-CN"/>
        </w:rPr>
        <w:t>单位本年此科目在</w:t>
      </w:r>
      <w:r>
        <w:rPr>
          <w:rFonts w:hint="eastAsia" w:ascii="仿宋_GB2312" w:hAnsi="仿宋_GB2312" w:eastAsia="仿宋_GB2312" w:cs="仿宋_GB2312"/>
          <w:sz w:val="32"/>
          <w:szCs w:val="32"/>
        </w:rPr>
        <w:t>行政单位医疗列支</w:t>
      </w:r>
      <w:r>
        <w:rPr>
          <w:rFonts w:hint="eastAsia" w:ascii="仿宋_GB2312" w:hAnsi="仿宋_GB2312" w:eastAsia="仿宋_GB2312" w:cs="仿宋_GB2312"/>
          <w:sz w:val="32"/>
          <w:szCs w:val="32"/>
          <w:lang w:val="zh-CN"/>
        </w:rPr>
        <w:t>。</w:t>
      </w:r>
    </w:p>
    <w:p w14:paraId="636A404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E316A7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518.03万元，其中：人员经费484.18万元，包括：基本工资、津贴补贴、奖金、绩效工资、机关事业单位基本养老保险缴费、职工基本医疗保险缴费、公务员医疗补助缴费、其他社会保障缴费、住房公积金、其他工资福利支出、退休费、奖励金。</w:t>
      </w:r>
    </w:p>
    <w:p w14:paraId="50844CE7">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公用经费33.85万元，包括：办公费、水费、电费、邮电费、取暖费、差旅费、维修（护）费、公务用车运行维护费、其他交通费用。</w:t>
      </w:r>
    </w:p>
    <w:p w14:paraId="7E87236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166901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“三公”经费支出0.59万元，</w:t>
      </w:r>
      <w:r>
        <w:rPr>
          <w:rFonts w:hint="eastAsia" w:ascii="仿宋_GB2312" w:eastAsia="仿宋_GB2312"/>
          <w:sz w:val="32"/>
          <w:szCs w:val="32"/>
        </w:rPr>
        <w:t>比上年</w:t>
      </w:r>
      <w:r>
        <w:rPr>
          <w:rFonts w:hint="eastAsia" w:ascii="仿宋_GB2312" w:eastAsia="仿宋_GB2312"/>
          <w:sz w:val="32"/>
          <w:szCs w:val="32"/>
          <w:lang w:val="zh-CN"/>
        </w:rPr>
        <w:t>增加0.01万元，</w:t>
      </w:r>
      <w:r>
        <w:rPr>
          <w:rFonts w:hint="eastAsia" w:ascii="仿宋_GB2312" w:eastAsia="仿宋_GB2312"/>
          <w:sz w:val="32"/>
          <w:szCs w:val="32"/>
        </w:rPr>
        <w:t>增长1.72%,</w:t>
      </w:r>
      <w:r>
        <w:rPr>
          <w:rFonts w:hint="eastAsia" w:ascii="仿宋_GB2312" w:eastAsia="仿宋_GB2312"/>
          <w:sz w:val="32"/>
          <w:szCs w:val="32"/>
          <w:lang w:val="zh-CN"/>
        </w:rPr>
        <w:t>主要原因是：车辆出行次数增加，车辆维修维护费、燃油费等增加。其中：因公出国（境）费支出0.00万元，占0.00%，比上年增加0.00万元，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主要原因是：单位本年无此项经费；公务用车购置及运行维护费支出0.59万元，占100.00%，比上年增加0.01万元，</w:t>
      </w:r>
      <w:r>
        <w:rPr>
          <w:rFonts w:hint="eastAsia" w:ascii="仿宋_GB2312" w:eastAsia="仿宋_GB2312"/>
          <w:sz w:val="32"/>
          <w:szCs w:val="32"/>
        </w:rPr>
        <w:t>增长1.72%,</w:t>
      </w:r>
      <w:r>
        <w:rPr>
          <w:rFonts w:hint="eastAsia" w:ascii="仿宋_GB2312" w:eastAsia="仿宋_GB2312"/>
          <w:sz w:val="32"/>
          <w:szCs w:val="32"/>
          <w:lang w:val="zh-CN"/>
        </w:rPr>
        <w:t>主要原因是：车辆出行次数增加，车辆维修维护费、燃油费等增加；公务接待费支出0.00万元，占0.00%，比上年增加0.00万元，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76B3BD6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87688A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2664BC3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0.59万元，其中：公务用车购置费0.00万元，公务用车运行维护费0.59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0196670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01FA21A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预算数0.59万元，决算数0.59万元，预决算差异率0.00%，主要原因是：严格按预算执行，预决算对比无差异。其中：因公出国（境）费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预算数0.59万元，决算数0.59万元，预决算差异率0.00%，主要原因是：严格按预算执行，预决算对比无差异；公务接待费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3E8BA8F">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2AAB71A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3B3529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553C7A4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546C0F5">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6654AC6">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0CF0FD54">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奇台县人力资源和社会保障局（行政单位和参照公务员法管理事业单位）机关运行经费支出33.85万元，</w:t>
      </w:r>
      <w:r>
        <w:rPr>
          <w:rFonts w:hint="eastAsia" w:ascii="仿宋_GB2312" w:hAnsi="仿宋_GB2312" w:eastAsia="仿宋_GB2312" w:cs="仿宋_GB2312"/>
          <w:sz w:val="32"/>
          <w:szCs w:val="32"/>
          <w:lang w:val="zh-CN"/>
        </w:rPr>
        <w:t>比上年增加20.85万元，增长160.38%，主要原因是：单位本年</w:t>
      </w:r>
      <w:r>
        <w:rPr>
          <w:rFonts w:hint="eastAsia" w:ascii="仿宋_GB2312" w:eastAsia="仿宋_GB2312"/>
          <w:sz w:val="32"/>
          <w:szCs w:val="32"/>
        </w:rPr>
        <w:t>办公费、取暖费、差旅费、公务用车运行维护费较上年增加</w:t>
      </w:r>
      <w:r>
        <w:rPr>
          <w:rFonts w:hint="eastAsia" w:ascii="仿宋_GB2312" w:hAnsi="仿宋_GB2312" w:eastAsia="仿宋_GB2312" w:cs="仿宋_GB2312"/>
          <w:sz w:val="32"/>
          <w:szCs w:val="32"/>
          <w:lang w:val="zh-CN"/>
        </w:rPr>
        <w:t>。</w:t>
      </w:r>
    </w:p>
    <w:p w14:paraId="14332F66">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AAE122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2023年度政府采购支出总额11.24万元，其中：政府采购货物支出9.77万元、政府采购工程支出0.00万元、政府采购服务支出1.47万元。</w:t>
      </w:r>
    </w:p>
    <w:p w14:paraId="52FB418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授予中小企业合同金额10.13万元，占政府采购支出总额的90.12%，其中：授予小微企业合同金额10.13万元，占政府采购支出总额的90.12%</w:t>
      </w:r>
      <w:r>
        <w:rPr>
          <w:rFonts w:hint="eastAsia" w:ascii="仿宋_GB2312" w:hAnsi="仿宋_GB2312" w:eastAsia="仿宋_GB2312" w:cs="仿宋_GB2312"/>
          <w:sz w:val="32"/>
          <w:szCs w:val="32"/>
        </w:rPr>
        <w:t>。</w:t>
      </w:r>
    </w:p>
    <w:p w14:paraId="0C0EA0D5">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83CC05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2,831.92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屋7,544.80平方米，价值2,708.61万元。车辆2辆，价值30.15万元，其中：副部（省）级及以上领导用车0辆、主要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DAC26A5">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0D78A82">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w:t>
      </w:r>
      <w:r>
        <w:rPr>
          <w:rFonts w:hint="eastAsia" w:ascii="仿宋_GB2312" w:eastAsia="仿宋_GB2312"/>
          <w:sz w:val="32"/>
          <w:szCs w:val="32"/>
        </w:rPr>
        <w:t>表1个，全年预算总额</w:t>
      </w:r>
      <w:r>
        <w:rPr>
          <w:rFonts w:ascii="仿宋_GB2312" w:eastAsia="仿宋_GB2312"/>
          <w:sz w:val="32"/>
          <w:szCs w:val="32"/>
        </w:rPr>
        <w:t>3,570.27</w:t>
      </w:r>
      <w:r>
        <w:rPr>
          <w:rFonts w:hint="eastAsia" w:ascii="仿宋_GB2312" w:eastAsia="仿宋_GB2312"/>
          <w:sz w:val="32"/>
          <w:szCs w:val="32"/>
        </w:rPr>
        <w:t>万元，实际执行总额</w:t>
      </w:r>
      <w:r>
        <w:rPr>
          <w:rFonts w:ascii="仿宋_GB2312" w:eastAsia="仿宋_GB2312"/>
          <w:sz w:val="32"/>
          <w:szCs w:val="32"/>
        </w:rPr>
        <w:t>3,570.27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预算绩效评价项目6个，全年预算数</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035.52</w:t>
      </w:r>
      <w:r>
        <w:rPr>
          <w:rFonts w:hint="eastAsia" w:ascii="仿宋_GB2312" w:eastAsia="仿宋_GB2312"/>
          <w:sz w:val="32"/>
          <w:szCs w:val="32"/>
        </w:rPr>
        <w:t>万元，全年执行数</w:t>
      </w:r>
      <w:r>
        <w:rPr>
          <w:rFonts w:ascii="仿宋_GB2312" w:eastAsia="仿宋_GB2312"/>
          <w:sz w:val="32"/>
          <w:szCs w:val="32"/>
        </w:rPr>
        <w:t>2</w:t>
      </w:r>
      <w:r>
        <w:rPr>
          <w:rFonts w:hint="eastAsia" w:ascii="仿宋_GB2312" w:eastAsia="仿宋_GB2312"/>
          <w:sz w:val="32"/>
          <w:szCs w:val="32"/>
        </w:rPr>
        <w:t>,</w:t>
      </w:r>
      <w:r>
        <w:rPr>
          <w:rFonts w:ascii="仿宋_GB2312" w:eastAsia="仿宋_GB2312"/>
          <w:sz w:val="32"/>
          <w:szCs w:val="32"/>
        </w:rPr>
        <w:t>960.53</w:t>
      </w:r>
      <w:r>
        <w:rPr>
          <w:rFonts w:hint="eastAsia" w:ascii="仿宋_GB2312" w:eastAsia="仿宋_GB2312"/>
          <w:sz w:val="32"/>
          <w:szCs w:val="32"/>
        </w:rPr>
        <w:t>万元。预算绩效管理取得的成效：</w:t>
      </w:r>
      <w:r>
        <w:rPr>
          <w:rFonts w:hint="eastAsia" w:ascii="仿宋_GB2312" w:hAnsi="仿宋_GB2312" w:eastAsia="仿宋_GB2312" w:cs="仿宋_GB2312"/>
          <w:sz w:val="32"/>
          <w:szCs w:val="32"/>
          <w:lang w:val="zh-CN"/>
        </w:rPr>
        <w:t>一是</w:t>
      </w:r>
      <w:r>
        <w:rPr>
          <w:rFonts w:hint="eastAsia" w:ascii="仿宋_GB2312" w:hAnsi="仿宋_GB2312" w:eastAsia="仿宋_GB2312" w:cs="仿宋_GB2312"/>
          <w:sz w:val="32"/>
          <w:szCs w:val="32"/>
        </w:rPr>
        <w:t>明确了绩效目标，并通过事前评估和事中监控，确保了预算执行的效果</w:t>
      </w:r>
      <w:r>
        <w:rPr>
          <w:rFonts w:hint="eastAsia" w:ascii="仿宋_GB2312" w:hAnsi="仿宋_GB2312" w:eastAsia="仿宋_GB2312" w:cs="仿宋_GB2312"/>
          <w:sz w:val="32"/>
          <w:szCs w:val="32"/>
          <w:lang w:val="zh-CN"/>
        </w:rPr>
        <w:t>；</w:t>
      </w:r>
      <w:r>
        <w:rPr>
          <w:rFonts w:hint="eastAsia" w:ascii="仿宋_GB2312" w:eastAsia="仿宋_GB2312"/>
          <w:sz w:val="32"/>
          <w:szCs w:val="32"/>
          <w:lang w:val="zh-CN"/>
        </w:rPr>
        <w:t>二是</w:t>
      </w:r>
      <w:r>
        <w:rPr>
          <w:rFonts w:hint="eastAsia" w:ascii="仿宋_GB2312" w:eastAsia="仿宋_GB2312"/>
          <w:sz w:val="32"/>
          <w:szCs w:val="32"/>
        </w:rPr>
        <w:t>通过事前评估、目标管理、运行监控、绩效评价和结果应用五个步骤，调高了资金使用的效益。发现的问题及原因：</w:t>
      </w:r>
      <w:r>
        <w:rPr>
          <w:rFonts w:hint="eastAsia" w:ascii="仿宋_GB2312" w:eastAsia="仿宋_GB2312"/>
          <w:sz w:val="32"/>
          <w:szCs w:val="32"/>
          <w:lang w:val="zh-CN"/>
        </w:rPr>
        <w:t>一是</w:t>
      </w:r>
      <w:r>
        <w:rPr>
          <w:rFonts w:hint="eastAsia" w:ascii="仿宋_GB2312" w:eastAsia="仿宋_GB2312"/>
          <w:sz w:val="32"/>
          <w:szCs w:val="32"/>
        </w:rPr>
        <w:t>部分业务人员绩效管理意识有待增强，未能全面深入认识理解绩效管理工作的意义</w:t>
      </w:r>
      <w:r>
        <w:rPr>
          <w:rFonts w:hint="eastAsia" w:ascii="仿宋_GB2312" w:eastAsia="仿宋_GB2312"/>
          <w:sz w:val="32"/>
          <w:szCs w:val="32"/>
          <w:lang w:val="zh-CN"/>
        </w:rPr>
        <w:t>；二是</w:t>
      </w:r>
      <w:r>
        <w:rPr>
          <w:rFonts w:hint="eastAsia" w:ascii="仿宋_GB2312" w:eastAsia="仿宋_GB2312"/>
          <w:sz w:val="32"/>
          <w:szCs w:val="32"/>
        </w:rPr>
        <w:t>绩效指标的明确性、可衡量性、相关性还需进一步提升，预算精细化管理还需完善，预算编制管理水平仍有进一步提升的空间。下一步改进措施：</w:t>
      </w:r>
      <w:r>
        <w:rPr>
          <w:rFonts w:hint="eastAsia" w:ascii="仿宋_GB2312" w:eastAsia="仿宋_GB2312"/>
          <w:sz w:val="32"/>
          <w:szCs w:val="32"/>
          <w:lang w:val="zh-CN"/>
        </w:rPr>
        <w:t>一是</w:t>
      </w:r>
      <w:r>
        <w:rPr>
          <w:rFonts w:hint="eastAsia" w:ascii="仿宋_GB2312" w:eastAsia="仿宋_GB2312"/>
          <w:sz w:val="32"/>
          <w:szCs w:val="32"/>
        </w:rPr>
        <w:t>继续完善指标设定，提高整体绩效目标质量</w:t>
      </w:r>
      <w:r>
        <w:rPr>
          <w:rFonts w:hint="eastAsia" w:ascii="仿宋_GB2312" w:eastAsia="仿宋_GB2312"/>
          <w:sz w:val="32"/>
          <w:szCs w:val="32"/>
          <w:lang w:val="zh-CN"/>
        </w:rPr>
        <w:t>；二是</w:t>
      </w:r>
      <w:r>
        <w:rPr>
          <w:rFonts w:hint="eastAsia" w:ascii="仿宋_GB2312" w:eastAsia="仿宋_GB2312"/>
          <w:sz w:val="32"/>
          <w:szCs w:val="32"/>
        </w:rPr>
        <w:t>继续完善预算绩效管理相关工作制度，建立全过程预算绩效管理链条，有效贯彻落实全面实施绩效管理的精神。具体项目自评情况附绩效自评表及自评报告。</w:t>
      </w:r>
      <w:bookmarkStart w:id="30" w:name="_Hlk174962300"/>
    </w:p>
    <w:p w14:paraId="47E9870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4EDDD4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F9356D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4FB0F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043921F">
            <w:pPr>
              <w:jc w:val="center"/>
            </w:pPr>
            <w:r>
              <w:rPr>
                <w:rFonts w:ascii="宋体" w:hAnsi="宋体"/>
                <w:sz w:val="18"/>
              </w:rPr>
              <w:t>奇台县人力资源和社会保障局</w:t>
            </w:r>
          </w:p>
        </w:tc>
        <w:tc>
          <w:tcPr>
            <w:tcW w:w="284" w:type="dxa"/>
            <w:tcBorders>
              <w:top w:val="nil"/>
              <w:left w:val="nil"/>
              <w:bottom w:val="nil"/>
              <w:right w:val="nil"/>
            </w:tcBorders>
            <w:shd w:val="clear" w:color="auto" w:fill="auto"/>
            <w:noWrap/>
            <w:vAlign w:val="center"/>
          </w:tcPr>
          <w:p w14:paraId="4B498C2C">
            <w:pPr>
              <w:widowControl/>
              <w:jc w:val="left"/>
              <w:rPr>
                <w:rFonts w:hint="eastAsia" w:ascii="宋体" w:hAnsi="宋体" w:cs="宋体"/>
                <w:b/>
                <w:bCs/>
                <w:kern w:val="0"/>
                <w:sz w:val="18"/>
                <w:szCs w:val="18"/>
              </w:rPr>
            </w:pPr>
          </w:p>
        </w:tc>
      </w:tr>
      <w:tr w14:paraId="0A9BA62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7659CE">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160116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D89310D">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32BB13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E3B5D9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7681F0A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1FAE4B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124AEB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74FC740">
            <w:pPr>
              <w:widowControl/>
              <w:jc w:val="center"/>
              <w:rPr>
                <w:rFonts w:hint="eastAsia" w:ascii="宋体" w:hAnsi="宋体" w:cs="宋体"/>
                <w:b/>
                <w:bCs/>
                <w:kern w:val="0"/>
                <w:sz w:val="18"/>
                <w:szCs w:val="18"/>
              </w:rPr>
            </w:pPr>
          </w:p>
        </w:tc>
      </w:tr>
      <w:tr w14:paraId="3936D05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4155E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358A03F8">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0AC714A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26F9F5D">
            <w:pPr>
              <w:jc w:val="center"/>
            </w:pPr>
            <w:r>
              <w:rPr>
                <w:rFonts w:ascii="宋体" w:hAnsi="宋体"/>
                <w:sz w:val="18"/>
              </w:rPr>
              <w:t>782.99</w:t>
            </w:r>
          </w:p>
        </w:tc>
        <w:tc>
          <w:tcPr>
            <w:tcW w:w="1701" w:type="dxa"/>
            <w:tcBorders>
              <w:top w:val="nil"/>
              <w:left w:val="nil"/>
              <w:bottom w:val="single" w:color="auto" w:sz="4" w:space="0"/>
              <w:right w:val="single" w:color="auto" w:sz="4" w:space="0"/>
            </w:tcBorders>
            <w:shd w:val="clear" w:color="auto" w:fill="auto"/>
            <w:vAlign w:val="center"/>
          </w:tcPr>
          <w:p w14:paraId="5F4166B5">
            <w:pPr>
              <w:jc w:val="center"/>
            </w:pPr>
            <w:r>
              <w:rPr>
                <w:rFonts w:ascii="宋体" w:hAnsi="宋体"/>
                <w:sz w:val="18"/>
              </w:rPr>
              <w:t>782.99</w:t>
            </w:r>
          </w:p>
        </w:tc>
        <w:tc>
          <w:tcPr>
            <w:tcW w:w="1134" w:type="dxa"/>
            <w:tcBorders>
              <w:top w:val="nil"/>
              <w:left w:val="nil"/>
              <w:bottom w:val="single" w:color="auto" w:sz="4" w:space="0"/>
              <w:right w:val="single" w:color="auto" w:sz="4" w:space="0"/>
            </w:tcBorders>
            <w:shd w:val="clear" w:color="auto" w:fill="auto"/>
            <w:vAlign w:val="center"/>
          </w:tcPr>
          <w:p w14:paraId="6B0E293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1950C9D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4B5B7433">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E85AC7C">
            <w:pPr>
              <w:widowControl/>
              <w:jc w:val="center"/>
              <w:rPr>
                <w:rFonts w:hint="eastAsia" w:ascii="宋体" w:hAnsi="宋体" w:cs="宋体"/>
                <w:b/>
                <w:bCs/>
                <w:kern w:val="0"/>
                <w:sz w:val="18"/>
                <w:szCs w:val="18"/>
              </w:rPr>
            </w:pPr>
          </w:p>
        </w:tc>
      </w:tr>
      <w:tr w14:paraId="720F871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E445E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E5B22CE">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0953424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A21968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599580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D2858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55900A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27AEF7E">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142930A">
            <w:pPr>
              <w:widowControl/>
              <w:jc w:val="center"/>
              <w:rPr>
                <w:rFonts w:hint="eastAsia" w:ascii="宋体" w:hAnsi="宋体" w:cs="宋体"/>
                <w:kern w:val="0"/>
                <w:sz w:val="18"/>
                <w:szCs w:val="18"/>
              </w:rPr>
            </w:pPr>
          </w:p>
        </w:tc>
      </w:tr>
      <w:tr w14:paraId="3F2E51D4">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BDD6B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5E2342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1F836BA">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A5866F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C740DE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B46BC93">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3BD22E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F0C70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510C3A5">
            <w:pPr>
              <w:widowControl/>
              <w:jc w:val="center"/>
              <w:rPr>
                <w:rFonts w:hint="eastAsia" w:ascii="宋体" w:hAnsi="宋体" w:cs="宋体"/>
                <w:kern w:val="0"/>
                <w:sz w:val="18"/>
                <w:szCs w:val="18"/>
              </w:rPr>
            </w:pPr>
          </w:p>
        </w:tc>
      </w:tr>
      <w:tr w14:paraId="47CAB922">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06176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7BC4E5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E153DFC">
            <w:pPr>
              <w:jc w:val="center"/>
            </w:pPr>
            <w:r>
              <w:rPr>
                <w:rFonts w:ascii="宋体" w:hAnsi="宋体"/>
                <w:sz w:val="18"/>
              </w:rPr>
              <w:t>2,390.56</w:t>
            </w:r>
          </w:p>
        </w:tc>
        <w:tc>
          <w:tcPr>
            <w:tcW w:w="1276" w:type="dxa"/>
            <w:tcBorders>
              <w:top w:val="nil"/>
              <w:left w:val="nil"/>
              <w:bottom w:val="single" w:color="auto" w:sz="4" w:space="0"/>
              <w:right w:val="single" w:color="auto" w:sz="4" w:space="0"/>
            </w:tcBorders>
            <w:shd w:val="clear" w:color="auto" w:fill="auto"/>
            <w:vAlign w:val="center"/>
          </w:tcPr>
          <w:p w14:paraId="3FF7CE1B">
            <w:pPr>
              <w:jc w:val="center"/>
            </w:pPr>
            <w:r>
              <w:rPr>
                <w:rFonts w:ascii="宋体" w:hAnsi="宋体"/>
                <w:sz w:val="18"/>
              </w:rPr>
              <w:t>2,733.10</w:t>
            </w:r>
          </w:p>
        </w:tc>
        <w:tc>
          <w:tcPr>
            <w:tcW w:w="1701" w:type="dxa"/>
            <w:tcBorders>
              <w:top w:val="nil"/>
              <w:left w:val="nil"/>
              <w:bottom w:val="single" w:color="auto" w:sz="4" w:space="0"/>
              <w:right w:val="single" w:color="auto" w:sz="4" w:space="0"/>
            </w:tcBorders>
            <w:shd w:val="clear" w:color="auto" w:fill="auto"/>
            <w:vAlign w:val="center"/>
          </w:tcPr>
          <w:p w14:paraId="20AAA878">
            <w:pPr>
              <w:jc w:val="center"/>
            </w:pPr>
            <w:r>
              <w:rPr>
                <w:rFonts w:ascii="宋体" w:hAnsi="宋体"/>
                <w:sz w:val="18"/>
              </w:rPr>
              <w:t>2,733.10</w:t>
            </w:r>
          </w:p>
        </w:tc>
        <w:tc>
          <w:tcPr>
            <w:tcW w:w="1134" w:type="dxa"/>
            <w:tcBorders>
              <w:top w:val="nil"/>
              <w:left w:val="nil"/>
              <w:bottom w:val="single" w:color="auto" w:sz="4" w:space="0"/>
              <w:right w:val="single" w:color="auto" w:sz="4" w:space="0"/>
            </w:tcBorders>
            <w:shd w:val="clear" w:color="auto" w:fill="auto"/>
            <w:vAlign w:val="center"/>
          </w:tcPr>
          <w:p w14:paraId="4E0DC21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0DB8C3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9E61F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41FECC3">
            <w:pPr>
              <w:widowControl/>
              <w:jc w:val="center"/>
              <w:rPr>
                <w:rFonts w:hint="eastAsia" w:ascii="宋体" w:hAnsi="宋体" w:cs="宋体"/>
                <w:kern w:val="0"/>
                <w:sz w:val="18"/>
                <w:szCs w:val="18"/>
              </w:rPr>
            </w:pPr>
          </w:p>
        </w:tc>
      </w:tr>
      <w:tr w14:paraId="45A885FB">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2D391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CF2E598">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D5EB655">
            <w:pPr>
              <w:jc w:val="center"/>
            </w:pPr>
            <w:r>
              <w:rPr>
                <w:rFonts w:ascii="宋体" w:hAnsi="宋体"/>
                <w:sz w:val="18"/>
              </w:rPr>
              <w:t>242.84</w:t>
            </w:r>
          </w:p>
        </w:tc>
        <w:tc>
          <w:tcPr>
            <w:tcW w:w="1276" w:type="dxa"/>
            <w:tcBorders>
              <w:top w:val="nil"/>
              <w:left w:val="nil"/>
              <w:bottom w:val="single" w:color="auto" w:sz="4" w:space="0"/>
              <w:right w:val="single" w:color="auto" w:sz="4" w:space="0"/>
            </w:tcBorders>
            <w:shd w:val="clear" w:color="auto" w:fill="auto"/>
            <w:vAlign w:val="center"/>
          </w:tcPr>
          <w:p w14:paraId="3585CAF9">
            <w:pPr>
              <w:jc w:val="center"/>
            </w:pPr>
            <w:r>
              <w:rPr>
                <w:rFonts w:ascii="宋体" w:hAnsi="宋体"/>
                <w:sz w:val="18"/>
              </w:rPr>
              <w:t>54.18</w:t>
            </w:r>
          </w:p>
        </w:tc>
        <w:tc>
          <w:tcPr>
            <w:tcW w:w="1701" w:type="dxa"/>
            <w:tcBorders>
              <w:top w:val="nil"/>
              <w:left w:val="nil"/>
              <w:bottom w:val="single" w:color="auto" w:sz="4" w:space="0"/>
              <w:right w:val="single" w:color="auto" w:sz="4" w:space="0"/>
            </w:tcBorders>
            <w:shd w:val="clear" w:color="auto" w:fill="auto"/>
            <w:vAlign w:val="center"/>
          </w:tcPr>
          <w:p w14:paraId="68C8821B">
            <w:pPr>
              <w:jc w:val="center"/>
            </w:pPr>
            <w:r>
              <w:rPr>
                <w:rFonts w:ascii="宋体" w:hAnsi="宋体"/>
                <w:sz w:val="18"/>
              </w:rPr>
              <w:t>54.18</w:t>
            </w:r>
          </w:p>
        </w:tc>
        <w:tc>
          <w:tcPr>
            <w:tcW w:w="1134" w:type="dxa"/>
            <w:tcBorders>
              <w:top w:val="nil"/>
              <w:left w:val="nil"/>
              <w:bottom w:val="single" w:color="auto" w:sz="4" w:space="0"/>
              <w:right w:val="single" w:color="auto" w:sz="4" w:space="0"/>
            </w:tcBorders>
            <w:shd w:val="clear" w:color="auto" w:fill="auto"/>
            <w:vAlign w:val="center"/>
          </w:tcPr>
          <w:p w14:paraId="6F3422D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E2A8F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CCBD9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691E26F">
            <w:pPr>
              <w:widowControl/>
              <w:jc w:val="center"/>
              <w:rPr>
                <w:rFonts w:hint="eastAsia" w:ascii="宋体" w:hAnsi="宋体" w:cs="宋体"/>
                <w:kern w:val="0"/>
                <w:sz w:val="18"/>
                <w:szCs w:val="18"/>
              </w:rPr>
            </w:pPr>
          </w:p>
        </w:tc>
      </w:tr>
      <w:tr w14:paraId="1826B40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28CDD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16E95C3">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A744B0F">
            <w:pPr>
              <w:jc w:val="center"/>
            </w:pPr>
            <w:r>
              <w:rPr>
                <w:rFonts w:ascii="宋体" w:hAnsi="宋体"/>
                <w:sz w:val="18"/>
              </w:rPr>
              <w:t>2,633.40</w:t>
            </w:r>
          </w:p>
        </w:tc>
        <w:tc>
          <w:tcPr>
            <w:tcW w:w="1276" w:type="dxa"/>
            <w:tcBorders>
              <w:top w:val="nil"/>
              <w:left w:val="nil"/>
              <w:bottom w:val="single" w:color="auto" w:sz="4" w:space="0"/>
              <w:right w:val="single" w:color="auto" w:sz="4" w:space="0"/>
            </w:tcBorders>
            <w:shd w:val="clear" w:color="auto" w:fill="auto"/>
            <w:vAlign w:val="center"/>
          </w:tcPr>
          <w:p w14:paraId="7A704388">
            <w:pPr>
              <w:jc w:val="center"/>
            </w:pPr>
            <w:r>
              <w:rPr>
                <w:rFonts w:ascii="宋体" w:hAnsi="宋体"/>
                <w:sz w:val="18"/>
              </w:rPr>
              <w:t>3,570.27</w:t>
            </w:r>
          </w:p>
        </w:tc>
        <w:tc>
          <w:tcPr>
            <w:tcW w:w="1701" w:type="dxa"/>
            <w:tcBorders>
              <w:top w:val="nil"/>
              <w:left w:val="nil"/>
              <w:bottom w:val="single" w:color="auto" w:sz="4" w:space="0"/>
              <w:right w:val="single" w:color="auto" w:sz="4" w:space="0"/>
            </w:tcBorders>
            <w:shd w:val="clear" w:color="auto" w:fill="auto"/>
            <w:vAlign w:val="center"/>
          </w:tcPr>
          <w:p w14:paraId="3FDBA461">
            <w:pPr>
              <w:jc w:val="center"/>
            </w:pPr>
            <w:r>
              <w:rPr>
                <w:rFonts w:ascii="宋体" w:hAnsi="宋体"/>
                <w:sz w:val="18"/>
              </w:rPr>
              <w:t>3,570.27</w:t>
            </w:r>
          </w:p>
        </w:tc>
        <w:tc>
          <w:tcPr>
            <w:tcW w:w="1134" w:type="dxa"/>
            <w:tcBorders>
              <w:top w:val="nil"/>
              <w:left w:val="nil"/>
              <w:bottom w:val="single" w:color="auto" w:sz="4" w:space="0"/>
              <w:right w:val="single" w:color="auto" w:sz="4" w:space="0"/>
            </w:tcBorders>
            <w:shd w:val="clear" w:color="auto" w:fill="auto"/>
            <w:vAlign w:val="center"/>
          </w:tcPr>
          <w:p w14:paraId="683DED5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AC6DC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A0F89C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125F4A2">
            <w:pPr>
              <w:widowControl/>
              <w:jc w:val="center"/>
              <w:rPr>
                <w:rFonts w:hint="eastAsia" w:ascii="宋体" w:hAnsi="宋体" w:cs="宋体"/>
                <w:kern w:val="0"/>
                <w:sz w:val="18"/>
                <w:szCs w:val="18"/>
              </w:rPr>
            </w:pPr>
          </w:p>
        </w:tc>
      </w:tr>
      <w:tr w14:paraId="0A57C362">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D668A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7F7AD51E">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264ECE0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843566F">
            <w:pPr>
              <w:widowControl/>
              <w:jc w:val="left"/>
              <w:rPr>
                <w:rFonts w:hint="eastAsia" w:ascii="宋体" w:hAnsi="宋体" w:cs="宋体"/>
                <w:b/>
                <w:bCs/>
                <w:kern w:val="0"/>
                <w:sz w:val="18"/>
                <w:szCs w:val="18"/>
              </w:rPr>
            </w:pPr>
          </w:p>
        </w:tc>
      </w:tr>
      <w:tr w14:paraId="58FB2B4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EF3F05">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6C519A66">
            <w:pPr>
              <w:jc w:val="left"/>
            </w:pPr>
            <w:r>
              <w:rPr>
                <w:rFonts w:ascii="宋体" w:hAnsi="宋体"/>
                <w:sz w:val="18"/>
              </w:rPr>
              <w:t>（一）深入实施扩大就业工程，千方百计稳定扩大就业规模。（二）大力开展人事人才服务质量提升行动，着力推进人才队伍建设。（三）持续开展劳动关系“和谐同行”能力提升行动，切实维护劳动者合法权益。</w:t>
            </w:r>
          </w:p>
        </w:tc>
        <w:tc>
          <w:tcPr>
            <w:tcW w:w="4547" w:type="dxa"/>
            <w:gridSpan w:val="4"/>
            <w:tcBorders>
              <w:top w:val="single" w:color="auto" w:sz="4" w:space="0"/>
              <w:left w:val="nil"/>
              <w:bottom w:val="single" w:color="auto" w:sz="4" w:space="0"/>
              <w:right w:val="single" w:color="auto" w:sz="4" w:space="0"/>
            </w:tcBorders>
            <w:shd w:val="clear" w:color="auto" w:fill="auto"/>
          </w:tcPr>
          <w:p w14:paraId="119D375D">
            <w:pPr>
              <w:jc w:val="left"/>
            </w:pPr>
            <w:r>
              <w:rPr>
                <w:rFonts w:ascii="宋体" w:hAnsi="宋体"/>
                <w:sz w:val="18"/>
              </w:rPr>
              <w:t>1、取得职业资格证书人数达到1209人次；2、开展农村劳动力培训人数达到15275人次；3、为企业招聘引才实现就业人数达到712人次；4、开展各类职业技能培训人数达到18296人次。</w:t>
            </w:r>
          </w:p>
        </w:tc>
        <w:tc>
          <w:tcPr>
            <w:tcW w:w="284" w:type="dxa"/>
            <w:tcBorders>
              <w:top w:val="nil"/>
              <w:left w:val="nil"/>
              <w:bottom w:val="nil"/>
              <w:right w:val="nil"/>
            </w:tcBorders>
            <w:shd w:val="clear" w:color="auto" w:fill="auto"/>
            <w:noWrap/>
            <w:vAlign w:val="center"/>
          </w:tcPr>
          <w:p w14:paraId="5761AB72">
            <w:pPr>
              <w:widowControl/>
              <w:jc w:val="left"/>
              <w:rPr>
                <w:rFonts w:hint="eastAsia" w:ascii="宋体" w:hAnsi="宋体" w:cs="宋体"/>
                <w:kern w:val="0"/>
                <w:sz w:val="18"/>
                <w:szCs w:val="18"/>
              </w:rPr>
            </w:pPr>
          </w:p>
        </w:tc>
      </w:tr>
      <w:tr w14:paraId="6B27E9AF">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6B7133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869CE99">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E278956">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DCCAC91">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005082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1C15781D">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EADA4C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6696977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A3DAD23">
            <w:pPr>
              <w:widowControl/>
              <w:jc w:val="left"/>
              <w:rPr>
                <w:rFonts w:hint="eastAsia" w:ascii="宋体" w:hAnsi="宋体" w:cs="宋体"/>
                <w:b/>
                <w:bCs/>
                <w:kern w:val="0"/>
                <w:sz w:val="18"/>
                <w:szCs w:val="18"/>
              </w:rPr>
            </w:pPr>
          </w:p>
        </w:tc>
      </w:tr>
      <w:tr w14:paraId="77FC502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53CD3D6">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39979CEC">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86BDE08">
            <w:pPr>
              <w:jc w:val="center"/>
            </w:pPr>
            <w:r>
              <w:rPr>
                <w:rFonts w:ascii="宋体" w:hAnsi="宋体"/>
                <w:sz w:val="18"/>
              </w:rPr>
              <w:t>取得职业资格证书人数</w:t>
            </w:r>
          </w:p>
        </w:tc>
        <w:tc>
          <w:tcPr>
            <w:tcW w:w="1276" w:type="dxa"/>
            <w:tcBorders>
              <w:top w:val="nil"/>
              <w:left w:val="nil"/>
              <w:bottom w:val="single" w:color="auto" w:sz="4" w:space="0"/>
              <w:right w:val="single" w:color="auto" w:sz="4" w:space="0"/>
            </w:tcBorders>
            <w:shd w:val="clear" w:color="auto" w:fill="auto"/>
            <w:noWrap/>
            <w:vAlign w:val="center"/>
          </w:tcPr>
          <w:p w14:paraId="2D3199A5">
            <w:pPr>
              <w:jc w:val="center"/>
            </w:pPr>
            <w:r>
              <w:rPr>
                <w:rFonts w:ascii="宋体" w:hAnsi="宋体"/>
                <w:sz w:val="18"/>
              </w:rPr>
              <w:t>=1000人次</w:t>
            </w:r>
          </w:p>
        </w:tc>
        <w:tc>
          <w:tcPr>
            <w:tcW w:w="1701" w:type="dxa"/>
            <w:tcBorders>
              <w:top w:val="nil"/>
              <w:left w:val="nil"/>
              <w:bottom w:val="single" w:color="auto" w:sz="4" w:space="0"/>
              <w:right w:val="single" w:color="auto" w:sz="4" w:space="0"/>
            </w:tcBorders>
            <w:shd w:val="clear" w:color="auto" w:fill="auto"/>
            <w:noWrap/>
            <w:vAlign w:val="center"/>
          </w:tcPr>
          <w:p w14:paraId="62E02662">
            <w:pPr>
              <w:jc w:val="center"/>
            </w:pPr>
            <w:r>
              <w:rPr>
                <w:rFonts w:ascii="宋体" w:hAnsi="宋体"/>
                <w:sz w:val="18"/>
              </w:rPr>
              <w:t>昌吉州2023年绩效考核指标</w:t>
            </w:r>
          </w:p>
        </w:tc>
        <w:tc>
          <w:tcPr>
            <w:tcW w:w="1134" w:type="dxa"/>
            <w:tcBorders>
              <w:top w:val="nil"/>
              <w:left w:val="nil"/>
              <w:bottom w:val="single" w:color="auto" w:sz="4" w:space="0"/>
              <w:right w:val="single" w:color="auto" w:sz="4" w:space="0"/>
            </w:tcBorders>
            <w:shd w:val="clear" w:color="auto" w:fill="auto"/>
            <w:noWrap/>
            <w:vAlign w:val="center"/>
          </w:tcPr>
          <w:p w14:paraId="4C2D5677">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025AFD68">
            <w:pPr>
              <w:jc w:val="center"/>
            </w:pPr>
            <w:r>
              <w:rPr>
                <w:rFonts w:ascii="宋体" w:hAnsi="宋体"/>
                <w:sz w:val="18"/>
              </w:rPr>
              <w:t>1209人次</w:t>
            </w:r>
          </w:p>
        </w:tc>
        <w:tc>
          <w:tcPr>
            <w:tcW w:w="720" w:type="dxa"/>
            <w:tcBorders>
              <w:top w:val="nil"/>
              <w:left w:val="nil"/>
              <w:bottom w:val="single" w:color="auto" w:sz="4" w:space="0"/>
              <w:right w:val="single" w:color="auto" w:sz="4" w:space="0"/>
            </w:tcBorders>
            <w:shd w:val="clear" w:color="auto" w:fill="auto"/>
            <w:noWrap/>
            <w:vAlign w:val="center"/>
          </w:tcPr>
          <w:p w14:paraId="77B84104">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2A3262C">
            <w:pPr>
              <w:widowControl/>
              <w:jc w:val="center"/>
              <w:rPr>
                <w:rFonts w:hint="eastAsia" w:ascii="宋体" w:hAnsi="宋体" w:cs="宋体"/>
                <w:kern w:val="0"/>
                <w:sz w:val="18"/>
                <w:szCs w:val="18"/>
              </w:rPr>
            </w:pPr>
          </w:p>
        </w:tc>
      </w:tr>
      <w:tr w14:paraId="244F81F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59BF73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B677CA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25E8AF">
            <w:pPr>
              <w:jc w:val="center"/>
            </w:pPr>
            <w:r>
              <w:rPr>
                <w:rFonts w:ascii="宋体" w:hAnsi="宋体"/>
                <w:sz w:val="18"/>
              </w:rPr>
              <w:t>开展农村劳动力培训人数</w:t>
            </w:r>
          </w:p>
        </w:tc>
        <w:tc>
          <w:tcPr>
            <w:tcW w:w="1276" w:type="dxa"/>
            <w:tcBorders>
              <w:top w:val="nil"/>
              <w:left w:val="nil"/>
              <w:bottom w:val="single" w:color="auto" w:sz="4" w:space="0"/>
              <w:right w:val="single" w:color="auto" w:sz="4" w:space="0"/>
            </w:tcBorders>
            <w:shd w:val="clear" w:color="auto" w:fill="auto"/>
            <w:noWrap/>
            <w:vAlign w:val="center"/>
          </w:tcPr>
          <w:p w14:paraId="555C6F7E">
            <w:pPr>
              <w:jc w:val="center"/>
            </w:pPr>
            <w:r>
              <w:rPr>
                <w:rFonts w:ascii="宋体" w:hAnsi="宋体"/>
                <w:sz w:val="18"/>
              </w:rPr>
              <w:t>=13026人次</w:t>
            </w:r>
          </w:p>
        </w:tc>
        <w:tc>
          <w:tcPr>
            <w:tcW w:w="1701" w:type="dxa"/>
            <w:tcBorders>
              <w:top w:val="nil"/>
              <w:left w:val="nil"/>
              <w:bottom w:val="single" w:color="auto" w:sz="4" w:space="0"/>
              <w:right w:val="single" w:color="auto" w:sz="4" w:space="0"/>
            </w:tcBorders>
            <w:shd w:val="clear" w:color="auto" w:fill="auto"/>
            <w:noWrap/>
            <w:vAlign w:val="center"/>
          </w:tcPr>
          <w:p w14:paraId="562E2098">
            <w:pPr>
              <w:jc w:val="center"/>
            </w:pPr>
            <w:r>
              <w:rPr>
                <w:rFonts w:ascii="宋体" w:hAnsi="宋体"/>
                <w:sz w:val="18"/>
              </w:rPr>
              <w:t>昌吉州2023年绩效考核指标</w:t>
            </w:r>
          </w:p>
        </w:tc>
        <w:tc>
          <w:tcPr>
            <w:tcW w:w="1134" w:type="dxa"/>
            <w:tcBorders>
              <w:top w:val="nil"/>
              <w:left w:val="nil"/>
              <w:bottom w:val="single" w:color="auto" w:sz="4" w:space="0"/>
              <w:right w:val="single" w:color="auto" w:sz="4" w:space="0"/>
            </w:tcBorders>
            <w:shd w:val="clear" w:color="auto" w:fill="auto"/>
            <w:noWrap/>
            <w:vAlign w:val="center"/>
          </w:tcPr>
          <w:p w14:paraId="42A54FAB">
            <w:pPr>
              <w:jc w:val="center"/>
            </w:pPr>
            <w:r>
              <w:rPr>
                <w:rFonts w:ascii="宋体" w:hAnsi="宋体"/>
                <w:sz w:val="18"/>
              </w:rPr>
              <w:t>25</w:t>
            </w:r>
          </w:p>
        </w:tc>
        <w:tc>
          <w:tcPr>
            <w:tcW w:w="992" w:type="dxa"/>
            <w:tcBorders>
              <w:top w:val="nil"/>
              <w:left w:val="nil"/>
              <w:bottom w:val="single" w:color="auto" w:sz="4" w:space="0"/>
              <w:right w:val="single" w:color="auto" w:sz="4" w:space="0"/>
            </w:tcBorders>
            <w:shd w:val="clear" w:color="auto" w:fill="auto"/>
            <w:noWrap/>
            <w:vAlign w:val="center"/>
          </w:tcPr>
          <w:p w14:paraId="5AEE34E7">
            <w:pPr>
              <w:jc w:val="center"/>
            </w:pPr>
            <w:r>
              <w:rPr>
                <w:rFonts w:ascii="宋体" w:hAnsi="宋体"/>
                <w:sz w:val="18"/>
              </w:rPr>
              <w:t>15275人次</w:t>
            </w:r>
          </w:p>
        </w:tc>
        <w:tc>
          <w:tcPr>
            <w:tcW w:w="720" w:type="dxa"/>
            <w:tcBorders>
              <w:top w:val="nil"/>
              <w:left w:val="nil"/>
              <w:bottom w:val="single" w:color="auto" w:sz="4" w:space="0"/>
              <w:right w:val="single" w:color="auto" w:sz="4" w:space="0"/>
            </w:tcBorders>
            <w:shd w:val="clear" w:color="auto" w:fill="auto"/>
            <w:noWrap/>
            <w:vAlign w:val="center"/>
          </w:tcPr>
          <w:p w14:paraId="7F705D5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14B9506F">
            <w:pPr>
              <w:widowControl/>
              <w:jc w:val="center"/>
              <w:rPr>
                <w:rFonts w:hint="eastAsia" w:ascii="宋体" w:hAnsi="宋体" w:cs="宋体"/>
                <w:kern w:val="0"/>
                <w:sz w:val="18"/>
                <w:szCs w:val="18"/>
              </w:rPr>
            </w:pPr>
          </w:p>
        </w:tc>
      </w:tr>
      <w:tr w14:paraId="775EA02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93A0A8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2B25AB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F4F2CD7">
            <w:pPr>
              <w:jc w:val="center"/>
            </w:pPr>
            <w:r>
              <w:rPr>
                <w:rFonts w:ascii="宋体" w:hAnsi="宋体"/>
                <w:sz w:val="18"/>
              </w:rPr>
              <w:t>为企业招聘引才实现就业人数</w:t>
            </w:r>
          </w:p>
        </w:tc>
        <w:tc>
          <w:tcPr>
            <w:tcW w:w="1276" w:type="dxa"/>
            <w:tcBorders>
              <w:top w:val="nil"/>
              <w:left w:val="nil"/>
              <w:bottom w:val="single" w:color="auto" w:sz="4" w:space="0"/>
              <w:right w:val="single" w:color="auto" w:sz="4" w:space="0"/>
            </w:tcBorders>
            <w:shd w:val="clear" w:color="auto" w:fill="auto"/>
            <w:noWrap/>
            <w:vAlign w:val="center"/>
          </w:tcPr>
          <w:p w14:paraId="4B7838CE">
            <w:pPr>
              <w:jc w:val="center"/>
            </w:pPr>
            <w:r>
              <w:rPr>
                <w:rFonts w:ascii="宋体" w:hAnsi="宋体"/>
                <w:sz w:val="18"/>
              </w:rPr>
              <w:t>=640人次</w:t>
            </w:r>
          </w:p>
        </w:tc>
        <w:tc>
          <w:tcPr>
            <w:tcW w:w="1701" w:type="dxa"/>
            <w:tcBorders>
              <w:top w:val="nil"/>
              <w:left w:val="nil"/>
              <w:bottom w:val="single" w:color="auto" w:sz="4" w:space="0"/>
              <w:right w:val="single" w:color="auto" w:sz="4" w:space="0"/>
            </w:tcBorders>
            <w:shd w:val="clear" w:color="auto" w:fill="auto"/>
            <w:noWrap/>
            <w:vAlign w:val="center"/>
          </w:tcPr>
          <w:p w14:paraId="5E2804AF">
            <w:pPr>
              <w:jc w:val="center"/>
            </w:pPr>
            <w:r>
              <w:rPr>
                <w:rFonts w:ascii="宋体" w:hAnsi="宋体"/>
                <w:sz w:val="18"/>
              </w:rPr>
              <w:t>昌吉州2023年绩效考核指标</w:t>
            </w:r>
          </w:p>
        </w:tc>
        <w:tc>
          <w:tcPr>
            <w:tcW w:w="1134" w:type="dxa"/>
            <w:tcBorders>
              <w:top w:val="nil"/>
              <w:left w:val="nil"/>
              <w:bottom w:val="single" w:color="auto" w:sz="4" w:space="0"/>
              <w:right w:val="single" w:color="auto" w:sz="4" w:space="0"/>
            </w:tcBorders>
            <w:shd w:val="clear" w:color="auto" w:fill="auto"/>
            <w:noWrap/>
            <w:vAlign w:val="center"/>
          </w:tcPr>
          <w:p w14:paraId="4048A336">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3DAA2F33">
            <w:pPr>
              <w:jc w:val="center"/>
            </w:pPr>
            <w:r>
              <w:rPr>
                <w:rFonts w:ascii="宋体" w:hAnsi="宋体"/>
                <w:sz w:val="18"/>
              </w:rPr>
              <w:t>712人次</w:t>
            </w:r>
          </w:p>
        </w:tc>
        <w:tc>
          <w:tcPr>
            <w:tcW w:w="720" w:type="dxa"/>
            <w:tcBorders>
              <w:top w:val="nil"/>
              <w:left w:val="nil"/>
              <w:bottom w:val="single" w:color="auto" w:sz="4" w:space="0"/>
              <w:right w:val="single" w:color="auto" w:sz="4" w:space="0"/>
            </w:tcBorders>
            <w:shd w:val="clear" w:color="auto" w:fill="auto"/>
            <w:noWrap/>
            <w:vAlign w:val="center"/>
          </w:tcPr>
          <w:p w14:paraId="44E19689">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D58EBE6">
            <w:pPr>
              <w:widowControl/>
              <w:jc w:val="center"/>
              <w:rPr>
                <w:rFonts w:hint="eastAsia" w:ascii="宋体" w:hAnsi="宋体" w:cs="宋体"/>
                <w:kern w:val="0"/>
                <w:sz w:val="18"/>
                <w:szCs w:val="18"/>
              </w:rPr>
            </w:pPr>
          </w:p>
        </w:tc>
      </w:tr>
      <w:tr w14:paraId="491E39A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32206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212DAF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8677971">
            <w:pPr>
              <w:jc w:val="center"/>
            </w:pPr>
            <w:r>
              <w:rPr>
                <w:rFonts w:ascii="宋体" w:hAnsi="宋体"/>
                <w:sz w:val="18"/>
              </w:rPr>
              <w:t>开展各类职业技能培训人数</w:t>
            </w:r>
          </w:p>
        </w:tc>
        <w:tc>
          <w:tcPr>
            <w:tcW w:w="1276" w:type="dxa"/>
            <w:tcBorders>
              <w:top w:val="nil"/>
              <w:left w:val="nil"/>
              <w:bottom w:val="single" w:color="auto" w:sz="4" w:space="0"/>
              <w:right w:val="single" w:color="auto" w:sz="4" w:space="0"/>
            </w:tcBorders>
            <w:shd w:val="clear" w:color="auto" w:fill="auto"/>
            <w:noWrap/>
            <w:vAlign w:val="center"/>
          </w:tcPr>
          <w:p w14:paraId="34AACEF9">
            <w:pPr>
              <w:jc w:val="center"/>
            </w:pPr>
            <w:r>
              <w:rPr>
                <w:rFonts w:ascii="宋体" w:hAnsi="宋体"/>
                <w:sz w:val="18"/>
              </w:rPr>
              <w:t>=17400人次</w:t>
            </w:r>
          </w:p>
        </w:tc>
        <w:tc>
          <w:tcPr>
            <w:tcW w:w="1701" w:type="dxa"/>
            <w:tcBorders>
              <w:top w:val="nil"/>
              <w:left w:val="nil"/>
              <w:bottom w:val="single" w:color="auto" w:sz="4" w:space="0"/>
              <w:right w:val="single" w:color="auto" w:sz="4" w:space="0"/>
            </w:tcBorders>
            <w:shd w:val="clear" w:color="auto" w:fill="auto"/>
            <w:noWrap/>
            <w:vAlign w:val="center"/>
          </w:tcPr>
          <w:p w14:paraId="17D30817">
            <w:pPr>
              <w:jc w:val="center"/>
            </w:pPr>
            <w:r>
              <w:rPr>
                <w:rFonts w:ascii="宋体" w:hAnsi="宋体"/>
                <w:sz w:val="18"/>
              </w:rPr>
              <w:t>昌吉州2023年绩效考核指标</w:t>
            </w:r>
          </w:p>
        </w:tc>
        <w:tc>
          <w:tcPr>
            <w:tcW w:w="1134" w:type="dxa"/>
            <w:tcBorders>
              <w:top w:val="nil"/>
              <w:left w:val="nil"/>
              <w:bottom w:val="single" w:color="auto" w:sz="4" w:space="0"/>
              <w:right w:val="single" w:color="auto" w:sz="4" w:space="0"/>
            </w:tcBorders>
            <w:shd w:val="clear" w:color="auto" w:fill="auto"/>
            <w:noWrap/>
            <w:vAlign w:val="center"/>
          </w:tcPr>
          <w:p w14:paraId="15EA27D6">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5306E92D">
            <w:pPr>
              <w:jc w:val="center"/>
            </w:pPr>
            <w:r>
              <w:rPr>
                <w:rFonts w:ascii="宋体" w:hAnsi="宋体"/>
                <w:sz w:val="18"/>
              </w:rPr>
              <w:t>18296人次</w:t>
            </w:r>
          </w:p>
        </w:tc>
        <w:tc>
          <w:tcPr>
            <w:tcW w:w="720" w:type="dxa"/>
            <w:tcBorders>
              <w:top w:val="nil"/>
              <w:left w:val="nil"/>
              <w:bottom w:val="single" w:color="auto" w:sz="4" w:space="0"/>
              <w:right w:val="single" w:color="auto" w:sz="4" w:space="0"/>
            </w:tcBorders>
            <w:shd w:val="clear" w:color="auto" w:fill="auto"/>
            <w:noWrap/>
            <w:vAlign w:val="center"/>
          </w:tcPr>
          <w:p w14:paraId="4B2C322C">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98D9F1E">
            <w:pPr>
              <w:widowControl/>
              <w:jc w:val="center"/>
              <w:rPr>
                <w:rFonts w:hint="eastAsia" w:ascii="宋体" w:hAnsi="宋体" w:cs="宋体"/>
                <w:kern w:val="0"/>
                <w:sz w:val="18"/>
                <w:szCs w:val="18"/>
              </w:rPr>
            </w:pPr>
          </w:p>
        </w:tc>
      </w:tr>
    </w:tbl>
    <w:p w14:paraId="2795DFE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BBAA7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6B4656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442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87A4BA2">
            <w:pPr>
              <w:jc w:val="center"/>
            </w:pPr>
            <w:r>
              <w:rPr>
                <w:rFonts w:ascii="宋体" w:hAnsi="宋体"/>
                <w:sz w:val="18"/>
              </w:rPr>
              <w:t>2023年 就业补助资金</w:t>
            </w:r>
          </w:p>
        </w:tc>
      </w:tr>
      <w:tr w14:paraId="552AAB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A26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E8243D6">
            <w:pPr>
              <w:jc w:val="center"/>
            </w:pPr>
            <w:r>
              <w:rPr>
                <w:rFonts w:ascii="宋体" w:hAnsi="宋体"/>
                <w:sz w:val="18"/>
              </w:rPr>
              <w:t>奇台县人力资源和社会保障局</w:t>
            </w:r>
          </w:p>
        </w:tc>
        <w:tc>
          <w:tcPr>
            <w:tcW w:w="1275" w:type="dxa"/>
            <w:gridSpan w:val="2"/>
            <w:tcBorders>
              <w:top w:val="nil"/>
              <w:left w:val="nil"/>
              <w:bottom w:val="single" w:color="auto" w:sz="4" w:space="0"/>
              <w:right w:val="single" w:color="000000" w:sz="4" w:space="0"/>
            </w:tcBorders>
            <w:shd w:val="clear" w:color="auto" w:fill="auto"/>
            <w:vAlign w:val="center"/>
          </w:tcPr>
          <w:p w14:paraId="26712DE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EFAC37E">
            <w:pPr>
              <w:jc w:val="center"/>
            </w:pPr>
            <w:r>
              <w:rPr>
                <w:rFonts w:ascii="宋体" w:hAnsi="宋体"/>
                <w:sz w:val="18"/>
              </w:rPr>
              <w:t>奇台县人力资源和社会保障局</w:t>
            </w:r>
          </w:p>
        </w:tc>
      </w:tr>
      <w:tr w14:paraId="6C5A865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F078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4D6B8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921E2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4056E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F602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189B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22DC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B6713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B59F7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DFE34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2040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5F7F5A">
            <w:pPr>
              <w:jc w:val="center"/>
            </w:pPr>
            <w:r>
              <w:rPr>
                <w:rFonts w:ascii="宋体" w:hAnsi="宋体"/>
                <w:sz w:val="18"/>
              </w:rPr>
              <w:t>1,829.46</w:t>
            </w:r>
          </w:p>
        </w:tc>
        <w:tc>
          <w:tcPr>
            <w:tcW w:w="1125" w:type="dxa"/>
            <w:tcBorders>
              <w:top w:val="nil"/>
              <w:left w:val="nil"/>
              <w:bottom w:val="single" w:color="auto" w:sz="4" w:space="0"/>
              <w:right w:val="single" w:color="auto" w:sz="4" w:space="0"/>
            </w:tcBorders>
            <w:shd w:val="clear" w:color="auto" w:fill="auto"/>
            <w:noWrap/>
            <w:vAlign w:val="center"/>
          </w:tcPr>
          <w:p w14:paraId="05A5757E">
            <w:pPr>
              <w:jc w:val="center"/>
            </w:pPr>
            <w:r>
              <w:rPr>
                <w:rFonts w:ascii="宋体" w:hAnsi="宋体"/>
                <w:sz w:val="18"/>
              </w:rPr>
              <w:t>2,129.46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799156D">
            <w:pPr>
              <w:jc w:val="center"/>
            </w:pPr>
            <w:r>
              <w:rPr>
                <w:rFonts w:ascii="宋体" w:hAnsi="宋体"/>
                <w:sz w:val="18"/>
              </w:rPr>
              <w:t>1,096.22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D7C85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F2DB854">
            <w:pPr>
              <w:jc w:val="center"/>
            </w:pPr>
            <w:r>
              <w:rPr>
                <w:rFonts w:ascii="宋体" w:hAnsi="宋体"/>
                <w:sz w:val="18"/>
              </w:rPr>
              <w:t>51.48%</w:t>
            </w:r>
          </w:p>
        </w:tc>
        <w:tc>
          <w:tcPr>
            <w:tcW w:w="1275" w:type="dxa"/>
            <w:tcBorders>
              <w:top w:val="nil"/>
              <w:left w:val="nil"/>
              <w:bottom w:val="single" w:color="auto" w:sz="4" w:space="0"/>
              <w:right w:val="single" w:color="auto" w:sz="4" w:space="0"/>
            </w:tcBorders>
            <w:shd w:val="clear" w:color="auto" w:fill="auto"/>
            <w:vAlign w:val="center"/>
          </w:tcPr>
          <w:p w14:paraId="3805389F">
            <w:pPr>
              <w:jc w:val="center"/>
            </w:pPr>
            <w:r>
              <w:rPr>
                <w:rFonts w:ascii="宋体" w:hAnsi="宋体"/>
                <w:sz w:val="18"/>
              </w:rPr>
              <w:t>0.00</w:t>
            </w:r>
          </w:p>
        </w:tc>
      </w:tr>
      <w:tr w14:paraId="4EA3DE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87AE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35F2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B05280">
            <w:pPr>
              <w:jc w:val="center"/>
            </w:pPr>
            <w:r>
              <w:rPr>
                <w:rFonts w:ascii="宋体" w:hAnsi="宋体"/>
                <w:sz w:val="18"/>
              </w:rPr>
              <w:t>1,829.46</w:t>
            </w:r>
          </w:p>
        </w:tc>
        <w:tc>
          <w:tcPr>
            <w:tcW w:w="1125" w:type="dxa"/>
            <w:tcBorders>
              <w:top w:val="nil"/>
              <w:left w:val="nil"/>
              <w:bottom w:val="single" w:color="auto" w:sz="4" w:space="0"/>
              <w:right w:val="single" w:color="auto" w:sz="4" w:space="0"/>
            </w:tcBorders>
            <w:shd w:val="clear" w:color="auto" w:fill="auto"/>
            <w:noWrap/>
            <w:vAlign w:val="center"/>
          </w:tcPr>
          <w:p w14:paraId="0059E2E7">
            <w:pPr>
              <w:jc w:val="center"/>
            </w:pPr>
            <w:r>
              <w:rPr>
                <w:rFonts w:ascii="宋体" w:hAnsi="宋体"/>
                <w:sz w:val="18"/>
              </w:rPr>
              <w:t>2,129.46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36268B3">
            <w:pPr>
              <w:jc w:val="center"/>
            </w:pPr>
            <w:r>
              <w:rPr>
                <w:rFonts w:ascii="宋体" w:hAnsi="宋体"/>
                <w:sz w:val="18"/>
              </w:rPr>
              <w:t>1,096.22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15758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ED89A7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AB24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C2CC64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96D2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0BF4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DB3A9C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084744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46EC5B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8A35D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E4368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1B2A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33233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C051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8FB4B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B7E73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8859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DDBE5E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8109E38">
            <w:pPr>
              <w:jc w:val="left"/>
            </w:pPr>
            <w:r>
              <w:rPr>
                <w:rFonts w:ascii="宋体" w:hAnsi="宋体"/>
                <w:sz w:val="18"/>
              </w:rPr>
              <w:t>促进我县就业工作顺利进行，发放到位公益性岗位207人社保补贴，公益性岗位发放次数12次，补贴发放覆盖率（%）达到90%，增加就业困难人员收入，维护社会稳定</w:t>
            </w:r>
          </w:p>
        </w:tc>
        <w:tc>
          <w:tcPr>
            <w:tcW w:w="4677" w:type="dxa"/>
            <w:gridSpan w:val="7"/>
            <w:tcBorders>
              <w:top w:val="single" w:color="auto" w:sz="4" w:space="0"/>
              <w:left w:val="nil"/>
              <w:bottom w:val="single" w:color="auto" w:sz="4" w:space="0"/>
              <w:right w:val="single" w:color="000000" w:sz="4" w:space="0"/>
            </w:tcBorders>
            <w:shd w:val="clear" w:color="auto" w:fill="auto"/>
          </w:tcPr>
          <w:p w14:paraId="6092C47A">
            <w:pPr>
              <w:jc w:val="left"/>
            </w:pPr>
            <w:r>
              <w:rPr>
                <w:rFonts w:ascii="宋体" w:hAnsi="宋体"/>
                <w:sz w:val="18"/>
              </w:rPr>
              <w:t>人员满意度：90%；补贴发放覆盖率（%）：90%；公益性岗位的补贴人数：207；资金拨付及时性（%）：90%；项目预算控制率：100；公益性岗位发放次数：12；提升就业困难人员收入：有效提升</w:t>
            </w:r>
          </w:p>
        </w:tc>
      </w:tr>
      <w:tr w14:paraId="335E6FC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CB6FA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D872F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645DA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CFFD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62C2D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7D298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2A68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ECEB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10D8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A51976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8F43A2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C66ED5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3ABE4E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479DBB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1EE0AB6">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41DDA28">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8471C0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B0C11A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90E72AA">
            <w:pPr>
              <w:widowControl/>
              <w:jc w:val="left"/>
              <w:rPr>
                <w:rFonts w:hint="eastAsia" w:ascii="宋体" w:hAnsi="宋体" w:cs="宋体"/>
                <w:color w:val="000000"/>
                <w:kern w:val="0"/>
                <w:sz w:val="18"/>
                <w:szCs w:val="18"/>
              </w:rPr>
            </w:pPr>
          </w:p>
        </w:tc>
      </w:tr>
      <w:tr w14:paraId="5BFB48A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296A3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ADC6AC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4F8B02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8B996B">
            <w:pPr>
              <w:jc w:val="center"/>
            </w:pPr>
            <w:r>
              <w:rPr>
                <w:rFonts w:ascii="宋体" w:hAnsi="宋体"/>
                <w:sz w:val="18"/>
              </w:rPr>
              <w:t>公益性岗位的补贴人数</w:t>
            </w:r>
          </w:p>
        </w:tc>
        <w:tc>
          <w:tcPr>
            <w:tcW w:w="1125" w:type="dxa"/>
            <w:tcBorders>
              <w:top w:val="nil"/>
              <w:left w:val="nil"/>
              <w:bottom w:val="single" w:color="auto" w:sz="4" w:space="0"/>
              <w:right w:val="single" w:color="auto" w:sz="4" w:space="0"/>
            </w:tcBorders>
            <w:shd w:val="clear" w:color="auto" w:fill="auto"/>
            <w:vAlign w:val="center"/>
          </w:tcPr>
          <w:p w14:paraId="7D898D5C">
            <w:pPr>
              <w:jc w:val="center"/>
            </w:pPr>
            <w:r>
              <w:rPr>
                <w:rFonts w:ascii="宋体" w:hAnsi="宋体"/>
                <w:sz w:val="18"/>
              </w:rPr>
              <w:t>&gt;=207人</w:t>
            </w:r>
          </w:p>
        </w:tc>
        <w:tc>
          <w:tcPr>
            <w:tcW w:w="1229" w:type="dxa"/>
            <w:tcBorders>
              <w:top w:val="nil"/>
              <w:left w:val="nil"/>
              <w:bottom w:val="single" w:color="auto" w:sz="4" w:space="0"/>
              <w:right w:val="single" w:color="auto" w:sz="4" w:space="0"/>
            </w:tcBorders>
            <w:shd w:val="clear" w:color="auto" w:fill="auto"/>
            <w:vAlign w:val="center"/>
          </w:tcPr>
          <w:p w14:paraId="21010D6B">
            <w:pPr>
              <w:jc w:val="center"/>
            </w:pPr>
            <w:r>
              <w:rPr>
                <w:rFonts w:ascii="宋体" w:hAnsi="宋体"/>
                <w:sz w:val="18"/>
              </w:rPr>
              <w:t>=207人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6C734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8E2CA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52CFD1">
            <w:pPr>
              <w:jc w:val="center"/>
            </w:pPr>
          </w:p>
        </w:tc>
      </w:tr>
      <w:tr w14:paraId="58C7EA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F5D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40A3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BAC99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D55ADC">
            <w:pPr>
              <w:jc w:val="center"/>
            </w:pPr>
            <w:r>
              <w:rPr>
                <w:rFonts w:ascii="宋体" w:hAnsi="宋体"/>
                <w:sz w:val="18"/>
              </w:rPr>
              <w:t>公益性岗位发放次数</w:t>
            </w:r>
          </w:p>
        </w:tc>
        <w:tc>
          <w:tcPr>
            <w:tcW w:w="1125" w:type="dxa"/>
            <w:tcBorders>
              <w:top w:val="nil"/>
              <w:left w:val="nil"/>
              <w:bottom w:val="single" w:color="auto" w:sz="4" w:space="0"/>
              <w:right w:val="single" w:color="auto" w:sz="4" w:space="0"/>
            </w:tcBorders>
            <w:shd w:val="clear" w:color="auto" w:fill="auto"/>
            <w:vAlign w:val="center"/>
          </w:tcPr>
          <w:p w14:paraId="5E0B870F">
            <w:pPr>
              <w:jc w:val="center"/>
            </w:pPr>
            <w:r>
              <w:rPr>
                <w:rFonts w:ascii="宋体" w:hAnsi="宋体"/>
                <w:sz w:val="18"/>
              </w:rPr>
              <w:t>=12次</w:t>
            </w:r>
          </w:p>
        </w:tc>
        <w:tc>
          <w:tcPr>
            <w:tcW w:w="1229" w:type="dxa"/>
            <w:tcBorders>
              <w:top w:val="nil"/>
              <w:left w:val="nil"/>
              <w:bottom w:val="single" w:color="auto" w:sz="4" w:space="0"/>
              <w:right w:val="single" w:color="auto" w:sz="4" w:space="0"/>
            </w:tcBorders>
            <w:shd w:val="clear" w:color="auto" w:fill="auto"/>
            <w:vAlign w:val="center"/>
          </w:tcPr>
          <w:p w14:paraId="7B4932D2">
            <w:pPr>
              <w:jc w:val="center"/>
            </w:pPr>
            <w:r>
              <w:rPr>
                <w:rFonts w:ascii="宋体" w:hAnsi="宋体"/>
                <w:sz w:val="18"/>
              </w:rPr>
              <w:t>=12次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2FA37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9EEBC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C78862">
            <w:pPr>
              <w:jc w:val="center"/>
            </w:pPr>
          </w:p>
        </w:tc>
      </w:tr>
      <w:tr w14:paraId="6E50C2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83995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9F517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04088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C92BBE">
            <w:pPr>
              <w:jc w:val="center"/>
            </w:pPr>
            <w:r>
              <w:rPr>
                <w:rFonts w:ascii="宋体" w:hAnsi="宋体"/>
                <w:sz w:val="18"/>
              </w:rPr>
              <w:t>补贴发放覆盖率（%）</w:t>
            </w:r>
          </w:p>
        </w:tc>
        <w:tc>
          <w:tcPr>
            <w:tcW w:w="1125" w:type="dxa"/>
            <w:tcBorders>
              <w:top w:val="nil"/>
              <w:left w:val="nil"/>
              <w:bottom w:val="single" w:color="auto" w:sz="4" w:space="0"/>
              <w:right w:val="single" w:color="auto" w:sz="4" w:space="0"/>
            </w:tcBorders>
            <w:shd w:val="clear" w:color="auto" w:fill="auto"/>
            <w:vAlign w:val="center"/>
          </w:tcPr>
          <w:p w14:paraId="3B9FF10A">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1EEDE6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D60F99">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212AB1">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6F8511">
            <w:pPr>
              <w:jc w:val="center"/>
            </w:pPr>
            <w:r>
              <w:rPr>
                <w:rFonts w:ascii="宋体" w:hAnsi="宋体"/>
                <w:sz w:val="18"/>
              </w:rPr>
              <w:t>财政资金未到位，钱没发完故存在偏差。改进措施：下年度积极和财政对接保证资金的到位。，</w:t>
            </w:r>
          </w:p>
        </w:tc>
      </w:tr>
      <w:tr w14:paraId="3E5A03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52F19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09F7B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709EC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888285">
            <w:pPr>
              <w:jc w:val="center"/>
            </w:pPr>
            <w:r>
              <w:rPr>
                <w:rFonts w:ascii="宋体" w:hAnsi="宋体"/>
                <w:sz w:val="18"/>
              </w:rPr>
              <w:t>资金拨付及时性（%）</w:t>
            </w:r>
          </w:p>
        </w:tc>
        <w:tc>
          <w:tcPr>
            <w:tcW w:w="1125" w:type="dxa"/>
            <w:tcBorders>
              <w:top w:val="nil"/>
              <w:left w:val="nil"/>
              <w:bottom w:val="single" w:color="auto" w:sz="4" w:space="0"/>
              <w:right w:val="single" w:color="auto" w:sz="4" w:space="0"/>
            </w:tcBorders>
            <w:shd w:val="clear" w:color="auto" w:fill="auto"/>
            <w:vAlign w:val="center"/>
          </w:tcPr>
          <w:p w14:paraId="2804320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40057B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31D62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EF18BB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8A5E8D">
            <w:pPr>
              <w:jc w:val="center"/>
            </w:pPr>
          </w:p>
        </w:tc>
      </w:tr>
      <w:tr w14:paraId="6D1066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57E6A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38D4D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84AD23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705196">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4F6E932">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5F5CE6BF">
            <w:pPr>
              <w:jc w:val="center"/>
            </w:pPr>
            <w:r>
              <w:rPr>
                <w:rFonts w:ascii="宋体" w:hAnsi="宋体"/>
                <w:sz w:val="18"/>
              </w:rPr>
              <w:t>=51.48%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0D277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AF1622">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F0E867">
            <w:pPr>
              <w:jc w:val="center"/>
            </w:pPr>
            <w:r>
              <w:rPr>
                <w:rFonts w:ascii="宋体" w:hAnsi="宋体"/>
                <w:sz w:val="18"/>
              </w:rPr>
              <w:t>财政资金未到位，钱没发完故存在偏差。改进措施：下年度积极和财政对接保证资金的到位。，</w:t>
            </w:r>
          </w:p>
        </w:tc>
      </w:tr>
      <w:tr w14:paraId="1BF03D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494BB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EA9F8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2F77F3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D789FE">
            <w:pPr>
              <w:jc w:val="center"/>
            </w:pPr>
            <w:r>
              <w:rPr>
                <w:rFonts w:ascii="宋体" w:hAnsi="宋体"/>
                <w:sz w:val="18"/>
              </w:rPr>
              <w:t>提升就业困难人员收入</w:t>
            </w:r>
          </w:p>
        </w:tc>
        <w:tc>
          <w:tcPr>
            <w:tcW w:w="1125" w:type="dxa"/>
            <w:tcBorders>
              <w:top w:val="nil"/>
              <w:left w:val="nil"/>
              <w:bottom w:val="single" w:color="auto" w:sz="4" w:space="0"/>
              <w:right w:val="single" w:color="auto" w:sz="4" w:space="0"/>
            </w:tcBorders>
            <w:shd w:val="clear" w:color="auto" w:fill="auto"/>
            <w:vAlign w:val="center"/>
          </w:tcPr>
          <w:p w14:paraId="36D58D3F">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399877AA">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337D1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51B38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60AD96">
            <w:pPr>
              <w:jc w:val="center"/>
            </w:pPr>
          </w:p>
        </w:tc>
      </w:tr>
      <w:tr w14:paraId="450F8E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666C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6542C8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63DA10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580706">
            <w:pPr>
              <w:jc w:val="center"/>
            </w:pPr>
            <w:r>
              <w:rPr>
                <w:rFonts w:ascii="宋体" w:hAnsi="宋体"/>
                <w:sz w:val="18"/>
              </w:rPr>
              <w:t>人员满意度</w:t>
            </w:r>
          </w:p>
        </w:tc>
        <w:tc>
          <w:tcPr>
            <w:tcW w:w="1125" w:type="dxa"/>
            <w:tcBorders>
              <w:top w:val="nil"/>
              <w:left w:val="nil"/>
              <w:bottom w:val="single" w:color="auto" w:sz="4" w:space="0"/>
              <w:right w:val="single" w:color="auto" w:sz="4" w:space="0"/>
            </w:tcBorders>
            <w:shd w:val="clear" w:color="auto" w:fill="auto"/>
            <w:vAlign w:val="center"/>
          </w:tcPr>
          <w:p w14:paraId="2D125DD4">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34A65007">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B58F75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163D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45BA7A">
            <w:pPr>
              <w:jc w:val="center"/>
            </w:pPr>
          </w:p>
        </w:tc>
      </w:tr>
      <w:tr w14:paraId="40780FB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0C83C6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CC1BBB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F4B5132">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76B7DB">
            <w:pPr>
              <w:jc w:val="center"/>
            </w:pPr>
          </w:p>
        </w:tc>
      </w:tr>
      <w:bookmarkEnd w:id="30"/>
    </w:tbl>
    <w:p w14:paraId="58FEEFE9">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746AC1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71538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44BE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13FC92A">
            <w:pPr>
              <w:jc w:val="center"/>
            </w:pPr>
            <w:r>
              <w:rPr>
                <w:rFonts w:ascii="宋体" w:hAnsi="宋体"/>
                <w:sz w:val="18"/>
              </w:rPr>
              <w:t>2023年三支一扶补助资金</w:t>
            </w:r>
          </w:p>
        </w:tc>
      </w:tr>
      <w:tr w14:paraId="2B2783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3039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9172212">
            <w:pPr>
              <w:jc w:val="center"/>
            </w:pPr>
            <w:r>
              <w:rPr>
                <w:rFonts w:ascii="宋体" w:hAnsi="宋体"/>
                <w:sz w:val="18"/>
              </w:rPr>
              <w:t>奇台县人力资源和社会保障局</w:t>
            </w:r>
          </w:p>
        </w:tc>
        <w:tc>
          <w:tcPr>
            <w:tcW w:w="1276" w:type="dxa"/>
            <w:gridSpan w:val="2"/>
            <w:tcBorders>
              <w:top w:val="nil"/>
              <w:left w:val="nil"/>
              <w:bottom w:val="single" w:color="auto" w:sz="4" w:space="0"/>
              <w:right w:val="single" w:color="000000" w:sz="4" w:space="0"/>
            </w:tcBorders>
            <w:shd w:val="clear" w:color="auto" w:fill="auto"/>
            <w:vAlign w:val="center"/>
          </w:tcPr>
          <w:p w14:paraId="3782FDD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750A06F">
            <w:pPr>
              <w:jc w:val="center"/>
            </w:pPr>
            <w:r>
              <w:rPr>
                <w:rFonts w:ascii="宋体" w:hAnsi="宋体"/>
                <w:sz w:val="18"/>
              </w:rPr>
              <w:t>奇台县人力资源和社会保障局</w:t>
            </w:r>
          </w:p>
        </w:tc>
      </w:tr>
      <w:tr w14:paraId="71BE3EE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F892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2ABD6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B046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B8E48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C6F6F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0D76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17D4A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EA818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4494D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7F0E7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59AA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E6BD49">
            <w:pPr>
              <w:jc w:val="center"/>
            </w:pPr>
            <w:r>
              <w:rPr>
                <w:rFonts w:ascii="宋体" w:hAnsi="宋体"/>
                <w:sz w:val="18"/>
              </w:rPr>
              <w:t>207.01</w:t>
            </w:r>
          </w:p>
        </w:tc>
        <w:tc>
          <w:tcPr>
            <w:tcW w:w="1266" w:type="dxa"/>
            <w:tcBorders>
              <w:top w:val="nil"/>
              <w:left w:val="nil"/>
              <w:bottom w:val="single" w:color="auto" w:sz="4" w:space="0"/>
              <w:right w:val="single" w:color="auto" w:sz="4" w:space="0"/>
            </w:tcBorders>
            <w:shd w:val="clear" w:color="auto" w:fill="auto"/>
            <w:noWrap/>
            <w:vAlign w:val="center"/>
          </w:tcPr>
          <w:p w14:paraId="2FF882A5">
            <w:pPr>
              <w:jc w:val="center"/>
            </w:pPr>
            <w:r>
              <w:rPr>
                <w:rFonts w:ascii="宋体" w:hAnsi="宋体"/>
                <w:sz w:val="18"/>
              </w:rPr>
              <w:t>330.47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BB8C7C9">
            <w:pPr>
              <w:jc w:val="center"/>
            </w:pPr>
            <w:r>
              <w:rPr>
                <w:rFonts w:ascii="宋体" w:hAnsi="宋体"/>
                <w:sz w:val="18"/>
              </w:rPr>
              <w:t>288.72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AD54DA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11AFCD">
            <w:pPr>
              <w:jc w:val="center"/>
            </w:pPr>
            <w:r>
              <w:rPr>
                <w:rFonts w:ascii="宋体" w:hAnsi="宋体"/>
                <w:sz w:val="18"/>
              </w:rPr>
              <w:t>87.37%</w:t>
            </w:r>
          </w:p>
        </w:tc>
        <w:tc>
          <w:tcPr>
            <w:tcW w:w="1417" w:type="dxa"/>
            <w:tcBorders>
              <w:top w:val="nil"/>
              <w:left w:val="nil"/>
              <w:bottom w:val="single" w:color="auto" w:sz="4" w:space="0"/>
              <w:right w:val="single" w:color="auto" w:sz="4" w:space="0"/>
            </w:tcBorders>
            <w:shd w:val="clear" w:color="auto" w:fill="auto"/>
            <w:vAlign w:val="center"/>
          </w:tcPr>
          <w:p w14:paraId="45923007">
            <w:pPr>
              <w:jc w:val="center"/>
            </w:pPr>
            <w:r>
              <w:rPr>
                <w:rFonts w:ascii="宋体" w:hAnsi="宋体"/>
                <w:sz w:val="18"/>
              </w:rPr>
              <w:t>6.84</w:t>
            </w:r>
          </w:p>
        </w:tc>
      </w:tr>
      <w:tr w14:paraId="5C2E408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250F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BF43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8042C7">
            <w:pPr>
              <w:jc w:val="center"/>
            </w:pPr>
            <w:r>
              <w:rPr>
                <w:rFonts w:ascii="宋体" w:hAnsi="宋体"/>
                <w:sz w:val="18"/>
              </w:rPr>
              <w:t>207.01</w:t>
            </w:r>
          </w:p>
        </w:tc>
        <w:tc>
          <w:tcPr>
            <w:tcW w:w="1266" w:type="dxa"/>
            <w:tcBorders>
              <w:top w:val="nil"/>
              <w:left w:val="nil"/>
              <w:bottom w:val="single" w:color="auto" w:sz="4" w:space="0"/>
              <w:right w:val="single" w:color="auto" w:sz="4" w:space="0"/>
            </w:tcBorders>
            <w:shd w:val="clear" w:color="auto" w:fill="auto"/>
            <w:noWrap/>
            <w:vAlign w:val="center"/>
          </w:tcPr>
          <w:p w14:paraId="368E9FB0">
            <w:pPr>
              <w:jc w:val="center"/>
            </w:pPr>
            <w:r>
              <w:rPr>
                <w:rFonts w:ascii="宋体" w:hAnsi="宋体"/>
                <w:sz w:val="18"/>
              </w:rPr>
              <w:t>330.47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8910326">
            <w:pPr>
              <w:jc w:val="center"/>
            </w:pPr>
            <w:r>
              <w:rPr>
                <w:rFonts w:ascii="宋体" w:hAnsi="宋体"/>
                <w:sz w:val="18"/>
              </w:rPr>
              <w:t>288.72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3284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2418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AD944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3E408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6E544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A434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8ABD5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78EB22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854A209">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1D90B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969F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37E00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0E084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2156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011F5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3BFE83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B846A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B600E0A">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F0780B4">
            <w:pPr>
              <w:jc w:val="left"/>
            </w:pPr>
            <w:r>
              <w:rPr>
                <w:rFonts w:ascii="宋体" w:hAnsi="宋体"/>
                <w:sz w:val="18"/>
              </w:rPr>
              <w:t>2023年12月31日前完成年度“三支一扶”中央财政补助20名左右人员招募工作，发放三支一扶人员工作补助及一次性安家费及时率、准确率达到100%，应届毕业生对“三支一扶”计划政策知晓率达到50%以上，三支一扶人员满意率达到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3DE168F6">
            <w:pPr>
              <w:jc w:val="left"/>
            </w:pPr>
            <w:r>
              <w:rPr>
                <w:rFonts w:ascii="宋体" w:hAnsi="宋体"/>
                <w:sz w:val="18"/>
              </w:rPr>
              <w:t>三支一扶一次性安家费：3000元/人；“三支一扶”解决就业率：50%；“三支一扶”人员满意率：90%；工作生活补贴发放准确率：90%；一次性安家费发放准确率：90%；“三支一扶”人员补贴发放的及时率：100%；工作生活补贴人均标准：2500元/人；三支一扶工资单月发放人数：49</w:t>
            </w:r>
          </w:p>
        </w:tc>
      </w:tr>
      <w:tr w14:paraId="3F2983B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FA697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EADCE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CD9F8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0CE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62999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4F5BA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FAE4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2228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6BC3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62AB1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6AF91D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7B7CE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472F3C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FDB3B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7E4385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95238A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254FAE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129156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027DD53">
            <w:pPr>
              <w:widowControl/>
              <w:jc w:val="left"/>
              <w:rPr>
                <w:rFonts w:hint="eastAsia" w:ascii="宋体" w:hAnsi="宋体" w:cs="宋体"/>
                <w:color w:val="000000"/>
                <w:kern w:val="0"/>
                <w:sz w:val="18"/>
                <w:szCs w:val="18"/>
              </w:rPr>
            </w:pPr>
          </w:p>
        </w:tc>
      </w:tr>
      <w:tr w14:paraId="45E02F3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4B826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3D58CF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28DD5B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4DB716">
            <w:pPr>
              <w:jc w:val="center"/>
            </w:pPr>
            <w:r>
              <w:rPr>
                <w:rFonts w:ascii="宋体" w:hAnsi="宋体"/>
                <w:sz w:val="18"/>
              </w:rPr>
              <w:t>三支一扶工资单月发放人数</w:t>
            </w:r>
          </w:p>
        </w:tc>
        <w:tc>
          <w:tcPr>
            <w:tcW w:w="1266" w:type="dxa"/>
            <w:tcBorders>
              <w:top w:val="nil"/>
              <w:left w:val="nil"/>
              <w:bottom w:val="single" w:color="auto" w:sz="4" w:space="0"/>
              <w:right w:val="single" w:color="auto" w:sz="4" w:space="0"/>
            </w:tcBorders>
            <w:shd w:val="clear" w:color="auto" w:fill="auto"/>
            <w:vAlign w:val="center"/>
          </w:tcPr>
          <w:p w14:paraId="0E759166">
            <w:pPr>
              <w:jc w:val="center"/>
            </w:pPr>
            <w:r>
              <w:rPr>
                <w:rFonts w:ascii="宋体" w:hAnsi="宋体"/>
                <w:sz w:val="18"/>
              </w:rPr>
              <w:t>=49人</w:t>
            </w:r>
          </w:p>
        </w:tc>
        <w:tc>
          <w:tcPr>
            <w:tcW w:w="1088" w:type="dxa"/>
            <w:tcBorders>
              <w:top w:val="nil"/>
              <w:left w:val="nil"/>
              <w:bottom w:val="single" w:color="auto" w:sz="4" w:space="0"/>
              <w:right w:val="single" w:color="auto" w:sz="4" w:space="0"/>
            </w:tcBorders>
            <w:shd w:val="clear" w:color="auto" w:fill="auto"/>
            <w:vAlign w:val="center"/>
          </w:tcPr>
          <w:p w14:paraId="4F57B7B1">
            <w:pPr>
              <w:jc w:val="center"/>
            </w:pPr>
            <w:r>
              <w:rPr>
                <w:rFonts w:ascii="宋体" w:hAnsi="宋体"/>
                <w:sz w:val="18"/>
              </w:rPr>
              <w:t>=49人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2EDFA2">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463DFD">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C501BA">
            <w:pPr>
              <w:jc w:val="center"/>
            </w:pPr>
          </w:p>
        </w:tc>
      </w:tr>
      <w:tr w14:paraId="794FA8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8001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B394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4666C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E150A2">
            <w:pPr>
              <w:jc w:val="center"/>
            </w:pPr>
            <w:r>
              <w:rPr>
                <w:rFonts w:ascii="宋体" w:hAnsi="宋体"/>
                <w:sz w:val="18"/>
              </w:rPr>
              <w:t>工作生活补贴发放准确率</w:t>
            </w:r>
          </w:p>
        </w:tc>
        <w:tc>
          <w:tcPr>
            <w:tcW w:w="1266" w:type="dxa"/>
            <w:tcBorders>
              <w:top w:val="nil"/>
              <w:left w:val="nil"/>
              <w:bottom w:val="single" w:color="auto" w:sz="4" w:space="0"/>
              <w:right w:val="single" w:color="auto" w:sz="4" w:space="0"/>
            </w:tcBorders>
            <w:shd w:val="clear" w:color="auto" w:fill="auto"/>
            <w:vAlign w:val="center"/>
          </w:tcPr>
          <w:p w14:paraId="1EDF3231">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395456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93BA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6CBB2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55F974">
            <w:pPr>
              <w:jc w:val="center"/>
            </w:pPr>
          </w:p>
        </w:tc>
      </w:tr>
      <w:tr w14:paraId="7A6BAC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0EEC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A024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B4B25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2ACE2E">
            <w:pPr>
              <w:jc w:val="center"/>
            </w:pPr>
            <w:r>
              <w:rPr>
                <w:rFonts w:ascii="宋体" w:hAnsi="宋体"/>
                <w:sz w:val="18"/>
              </w:rPr>
              <w:t>一次性安家费发放准确率</w:t>
            </w:r>
          </w:p>
        </w:tc>
        <w:tc>
          <w:tcPr>
            <w:tcW w:w="1266" w:type="dxa"/>
            <w:tcBorders>
              <w:top w:val="nil"/>
              <w:left w:val="nil"/>
              <w:bottom w:val="single" w:color="auto" w:sz="4" w:space="0"/>
              <w:right w:val="single" w:color="auto" w:sz="4" w:space="0"/>
            </w:tcBorders>
            <w:shd w:val="clear" w:color="auto" w:fill="auto"/>
            <w:vAlign w:val="center"/>
          </w:tcPr>
          <w:p w14:paraId="3534B05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15E271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0D7DC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9E595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D70F1D">
            <w:pPr>
              <w:jc w:val="center"/>
            </w:pPr>
          </w:p>
        </w:tc>
      </w:tr>
      <w:tr w14:paraId="75BF6B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C819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78FA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3E49A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9D8948">
            <w:pPr>
              <w:jc w:val="center"/>
            </w:pPr>
            <w:r>
              <w:rPr>
                <w:rFonts w:ascii="宋体" w:hAnsi="宋体"/>
                <w:sz w:val="18"/>
              </w:rPr>
              <w:t>“三支一扶”人员补贴发放的及时率</w:t>
            </w:r>
          </w:p>
        </w:tc>
        <w:tc>
          <w:tcPr>
            <w:tcW w:w="1266" w:type="dxa"/>
            <w:tcBorders>
              <w:top w:val="nil"/>
              <w:left w:val="nil"/>
              <w:bottom w:val="single" w:color="auto" w:sz="4" w:space="0"/>
              <w:right w:val="single" w:color="auto" w:sz="4" w:space="0"/>
            </w:tcBorders>
            <w:shd w:val="clear" w:color="auto" w:fill="auto"/>
            <w:vAlign w:val="center"/>
          </w:tcPr>
          <w:p w14:paraId="34A8464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69DEC3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7ABCB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A672B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8B1C09">
            <w:pPr>
              <w:jc w:val="center"/>
            </w:pPr>
          </w:p>
        </w:tc>
      </w:tr>
      <w:tr w14:paraId="68AECC5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87F1A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94DBC1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635182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EC04DA">
            <w:pPr>
              <w:jc w:val="center"/>
            </w:pPr>
            <w:r>
              <w:rPr>
                <w:rFonts w:ascii="宋体" w:hAnsi="宋体"/>
                <w:sz w:val="18"/>
              </w:rPr>
              <w:t>工作生活补贴人均标准</w:t>
            </w:r>
          </w:p>
        </w:tc>
        <w:tc>
          <w:tcPr>
            <w:tcW w:w="1266" w:type="dxa"/>
            <w:tcBorders>
              <w:top w:val="nil"/>
              <w:left w:val="nil"/>
              <w:bottom w:val="single" w:color="auto" w:sz="4" w:space="0"/>
              <w:right w:val="single" w:color="auto" w:sz="4" w:space="0"/>
            </w:tcBorders>
            <w:shd w:val="clear" w:color="auto" w:fill="auto"/>
            <w:vAlign w:val="center"/>
          </w:tcPr>
          <w:p w14:paraId="12830F11">
            <w:pPr>
              <w:jc w:val="center"/>
            </w:pPr>
            <w:r>
              <w:rPr>
                <w:rFonts w:ascii="宋体" w:hAnsi="宋体"/>
                <w:sz w:val="18"/>
              </w:rPr>
              <w:t>2500元/人</w:t>
            </w:r>
          </w:p>
        </w:tc>
        <w:tc>
          <w:tcPr>
            <w:tcW w:w="1088" w:type="dxa"/>
            <w:tcBorders>
              <w:top w:val="nil"/>
              <w:left w:val="nil"/>
              <w:bottom w:val="single" w:color="auto" w:sz="4" w:space="0"/>
              <w:right w:val="single" w:color="auto" w:sz="4" w:space="0"/>
            </w:tcBorders>
            <w:shd w:val="clear" w:color="auto" w:fill="auto"/>
            <w:vAlign w:val="center"/>
          </w:tcPr>
          <w:p w14:paraId="48E5B9FF">
            <w:pPr>
              <w:jc w:val="center"/>
            </w:pPr>
            <w:r>
              <w:rPr>
                <w:rFonts w:ascii="宋体" w:hAnsi="宋体"/>
                <w:sz w:val="18"/>
              </w:rPr>
              <w:t>=2500元/人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1D35AB">
            <w:pPr>
              <w:jc w:val="center"/>
            </w:pPr>
            <w:r>
              <w:rPr>
                <w:rFonts w:ascii="宋体" w:hAnsi="宋体"/>
                <w:sz w:val="18"/>
              </w:rPr>
              <w:t>11</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A0A647">
            <w:pPr>
              <w:jc w:val="center"/>
            </w:pPr>
            <w:r>
              <w:rPr>
                <w:rFonts w:ascii="宋体" w:hAnsi="宋体"/>
                <w:sz w:val="18"/>
              </w:rPr>
              <w:t>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17E4BD">
            <w:pPr>
              <w:jc w:val="center"/>
            </w:pPr>
          </w:p>
        </w:tc>
      </w:tr>
      <w:tr w14:paraId="224A03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E25A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AA8D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0230F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1DAE60">
            <w:pPr>
              <w:jc w:val="center"/>
            </w:pPr>
            <w:r>
              <w:rPr>
                <w:rFonts w:ascii="宋体" w:hAnsi="宋体"/>
                <w:sz w:val="18"/>
              </w:rPr>
              <w:t>三支一扶一次性安家费</w:t>
            </w:r>
          </w:p>
        </w:tc>
        <w:tc>
          <w:tcPr>
            <w:tcW w:w="1266" w:type="dxa"/>
            <w:tcBorders>
              <w:top w:val="nil"/>
              <w:left w:val="nil"/>
              <w:bottom w:val="single" w:color="auto" w:sz="4" w:space="0"/>
              <w:right w:val="single" w:color="auto" w:sz="4" w:space="0"/>
            </w:tcBorders>
            <w:shd w:val="clear" w:color="auto" w:fill="auto"/>
            <w:vAlign w:val="center"/>
          </w:tcPr>
          <w:p w14:paraId="4CB7849F">
            <w:pPr>
              <w:jc w:val="center"/>
            </w:pPr>
            <w:r>
              <w:rPr>
                <w:rFonts w:ascii="宋体" w:hAnsi="宋体"/>
                <w:sz w:val="18"/>
              </w:rPr>
              <w:t>3000元/人</w:t>
            </w:r>
          </w:p>
        </w:tc>
        <w:tc>
          <w:tcPr>
            <w:tcW w:w="1088" w:type="dxa"/>
            <w:tcBorders>
              <w:top w:val="nil"/>
              <w:left w:val="nil"/>
              <w:bottom w:val="single" w:color="auto" w:sz="4" w:space="0"/>
              <w:right w:val="single" w:color="auto" w:sz="4" w:space="0"/>
            </w:tcBorders>
            <w:shd w:val="clear" w:color="auto" w:fill="auto"/>
            <w:vAlign w:val="center"/>
          </w:tcPr>
          <w:p w14:paraId="3767A93F">
            <w:pPr>
              <w:jc w:val="center"/>
            </w:pPr>
            <w:r>
              <w:rPr>
                <w:rFonts w:ascii="宋体" w:hAnsi="宋体"/>
                <w:sz w:val="18"/>
              </w:rPr>
              <w:t>=3000元/人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D4956E">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7551A2">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C9A84B">
            <w:pPr>
              <w:jc w:val="center"/>
            </w:pPr>
          </w:p>
        </w:tc>
      </w:tr>
      <w:tr w14:paraId="1A56FE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64510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85800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8DDB3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1EE5CE">
            <w:pPr>
              <w:jc w:val="center"/>
            </w:pPr>
            <w:r>
              <w:rPr>
                <w:rFonts w:ascii="宋体" w:hAnsi="宋体"/>
                <w:sz w:val="18"/>
              </w:rPr>
              <w:t>“三支一扶”解决就业率</w:t>
            </w:r>
          </w:p>
        </w:tc>
        <w:tc>
          <w:tcPr>
            <w:tcW w:w="1266" w:type="dxa"/>
            <w:tcBorders>
              <w:top w:val="nil"/>
              <w:left w:val="nil"/>
              <w:bottom w:val="single" w:color="auto" w:sz="4" w:space="0"/>
              <w:right w:val="single" w:color="auto" w:sz="4" w:space="0"/>
            </w:tcBorders>
            <w:shd w:val="clear" w:color="auto" w:fill="auto"/>
            <w:vAlign w:val="center"/>
          </w:tcPr>
          <w:p w14:paraId="7C62E51A">
            <w:pPr>
              <w:jc w:val="center"/>
            </w:pPr>
            <w:r>
              <w:rPr>
                <w:rFonts w:ascii="宋体" w:hAnsi="宋体"/>
                <w:sz w:val="18"/>
              </w:rPr>
              <w:t>&gt;=50%</w:t>
            </w:r>
          </w:p>
        </w:tc>
        <w:tc>
          <w:tcPr>
            <w:tcW w:w="1088" w:type="dxa"/>
            <w:tcBorders>
              <w:top w:val="nil"/>
              <w:left w:val="nil"/>
              <w:bottom w:val="single" w:color="auto" w:sz="4" w:space="0"/>
              <w:right w:val="single" w:color="auto" w:sz="4" w:space="0"/>
            </w:tcBorders>
            <w:shd w:val="clear" w:color="auto" w:fill="auto"/>
            <w:vAlign w:val="center"/>
          </w:tcPr>
          <w:p w14:paraId="78FC0B68">
            <w:pPr>
              <w:jc w:val="center"/>
            </w:pPr>
            <w:r>
              <w:rPr>
                <w:rFonts w:ascii="宋体" w:hAnsi="宋体"/>
                <w:sz w:val="18"/>
              </w:rPr>
              <w:t>=50%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4E837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15B78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2FA844">
            <w:pPr>
              <w:jc w:val="center"/>
            </w:pPr>
          </w:p>
        </w:tc>
      </w:tr>
      <w:tr w14:paraId="04A0B6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7E12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875BA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CD41B3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23F4A8">
            <w:pPr>
              <w:jc w:val="center"/>
            </w:pPr>
            <w:r>
              <w:rPr>
                <w:rFonts w:ascii="宋体" w:hAnsi="宋体"/>
                <w:sz w:val="18"/>
              </w:rPr>
              <w:t>“三支一扶”人员满意率</w:t>
            </w:r>
          </w:p>
        </w:tc>
        <w:tc>
          <w:tcPr>
            <w:tcW w:w="1266" w:type="dxa"/>
            <w:tcBorders>
              <w:top w:val="nil"/>
              <w:left w:val="nil"/>
              <w:bottom w:val="single" w:color="auto" w:sz="4" w:space="0"/>
              <w:right w:val="single" w:color="auto" w:sz="4" w:space="0"/>
            </w:tcBorders>
            <w:shd w:val="clear" w:color="auto" w:fill="auto"/>
            <w:vAlign w:val="center"/>
          </w:tcPr>
          <w:p w14:paraId="7E6D79F0">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8EBF322">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DB4CD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1EFC9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CD00B3">
            <w:pPr>
              <w:jc w:val="center"/>
            </w:pPr>
          </w:p>
        </w:tc>
      </w:tr>
      <w:tr w14:paraId="0E47434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48D216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5465CD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7651681">
            <w:pPr>
              <w:jc w:val="center"/>
            </w:pPr>
            <w:r>
              <w:rPr>
                <w:rFonts w:ascii="宋体" w:hAnsi="宋体"/>
                <w:sz w:val="18"/>
              </w:rPr>
              <w:t>96.84分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1CF747">
            <w:pPr>
              <w:jc w:val="center"/>
            </w:pPr>
          </w:p>
        </w:tc>
      </w:tr>
    </w:tbl>
    <w:p w14:paraId="5EEC9E2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67C5A8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BB777B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AA63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2BA2F5B">
            <w:pPr>
              <w:jc w:val="center"/>
            </w:pPr>
            <w:r>
              <w:rPr>
                <w:rFonts w:ascii="宋体" w:hAnsi="宋体"/>
                <w:sz w:val="18"/>
              </w:rPr>
              <w:t>2023年化解工程欠款（信访）资金</w:t>
            </w:r>
          </w:p>
        </w:tc>
      </w:tr>
      <w:tr w14:paraId="7F46AA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77C6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5F3BBC6">
            <w:pPr>
              <w:jc w:val="center"/>
            </w:pPr>
            <w:r>
              <w:rPr>
                <w:rFonts w:ascii="宋体" w:hAnsi="宋体"/>
                <w:sz w:val="18"/>
              </w:rPr>
              <w:t>奇台县人力资源和社会保障局</w:t>
            </w:r>
          </w:p>
        </w:tc>
        <w:tc>
          <w:tcPr>
            <w:tcW w:w="1275" w:type="dxa"/>
            <w:gridSpan w:val="2"/>
            <w:tcBorders>
              <w:top w:val="nil"/>
              <w:left w:val="nil"/>
              <w:bottom w:val="single" w:color="auto" w:sz="4" w:space="0"/>
              <w:right w:val="single" w:color="000000" w:sz="4" w:space="0"/>
            </w:tcBorders>
            <w:shd w:val="clear" w:color="auto" w:fill="auto"/>
            <w:vAlign w:val="center"/>
          </w:tcPr>
          <w:p w14:paraId="5277899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EE69749">
            <w:pPr>
              <w:jc w:val="center"/>
            </w:pPr>
            <w:r>
              <w:rPr>
                <w:rFonts w:ascii="宋体" w:hAnsi="宋体"/>
                <w:sz w:val="18"/>
              </w:rPr>
              <w:t>奇台县人力资源和社会保障局</w:t>
            </w:r>
          </w:p>
        </w:tc>
      </w:tr>
      <w:tr w14:paraId="6705BC5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FA83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9FC74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1AC23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3CBFE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3E3F5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5486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C42C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4F2F0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97655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16E8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D09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FDC595">
            <w:pPr>
              <w:jc w:val="center"/>
            </w:pPr>
            <w:r>
              <w:rPr>
                <w:rFonts w:ascii="宋体" w:hAnsi="宋体"/>
                <w:sz w:val="18"/>
              </w:rPr>
              <w:t>74.50</w:t>
            </w:r>
          </w:p>
        </w:tc>
        <w:tc>
          <w:tcPr>
            <w:tcW w:w="1125" w:type="dxa"/>
            <w:tcBorders>
              <w:top w:val="nil"/>
              <w:left w:val="nil"/>
              <w:bottom w:val="single" w:color="auto" w:sz="4" w:space="0"/>
              <w:right w:val="single" w:color="auto" w:sz="4" w:space="0"/>
            </w:tcBorders>
            <w:shd w:val="clear" w:color="auto" w:fill="auto"/>
            <w:noWrap/>
            <w:vAlign w:val="center"/>
          </w:tcPr>
          <w:p w14:paraId="0991A798">
            <w:pPr>
              <w:jc w:val="center"/>
            </w:pPr>
            <w:r>
              <w:rPr>
                <w:rFonts w:ascii="宋体" w:hAnsi="宋体"/>
                <w:sz w:val="18"/>
              </w:rPr>
              <w:t>114.50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3D72A1E">
            <w:pPr>
              <w:jc w:val="center"/>
            </w:pPr>
            <w:r>
              <w:rPr>
                <w:rFonts w:ascii="宋体" w:hAnsi="宋体"/>
                <w:sz w:val="18"/>
              </w:rPr>
              <w:t>114.50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7787B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49DF72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B20840B">
            <w:pPr>
              <w:jc w:val="center"/>
            </w:pPr>
            <w:r>
              <w:rPr>
                <w:rFonts w:ascii="宋体" w:hAnsi="宋体"/>
                <w:sz w:val="18"/>
              </w:rPr>
              <w:t>10.00</w:t>
            </w:r>
          </w:p>
        </w:tc>
      </w:tr>
      <w:tr w14:paraId="3722B5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C5FE4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B89F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D50D79">
            <w:pPr>
              <w:jc w:val="center"/>
            </w:pPr>
            <w:r>
              <w:rPr>
                <w:rFonts w:ascii="宋体" w:hAnsi="宋体"/>
                <w:sz w:val="18"/>
              </w:rPr>
              <w:t>74.50</w:t>
            </w:r>
          </w:p>
        </w:tc>
        <w:tc>
          <w:tcPr>
            <w:tcW w:w="1125" w:type="dxa"/>
            <w:tcBorders>
              <w:top w:val="nil"/>
              <w:left w:val="nil"/>
              <w:bottom w:val="single" w:color="auto" w:sz="4" w:space="0"/>
              <w:right w:val="single" w:color="auto" w:sz="4" w:space="0"/>
            </w:tcBorders>
            <w:shd w:val="clear" w:color="auto" w:fill="auto"/>
            <w:noWrap/>
            <w:vAlign w:val="center"/>
          </w:tcPr>
          <w:p w14:paraId="56729F71">
            <w:pPr>
              <w:jc w:val="center"/>
            </w:pPr>
            <w:r>
              <w:rPr>
                <w:rFonts w:ascii="宋体" w:hAnsi="宋体"/>
                <w:sz w:val="18"/>
              </w:rPr>
              <w:t>114.50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65B8CA5">
            <w:pPr>
              <w:jc w:val="center"/>
            </w:pPr>
            <w:r>
              <w:rPr>
                <w:rFonts w:ascii="宋体" w:hAnsi="宋体"/>
                <w:sz w:val="18"/>
              </w:rPr>
              <w:t>114.50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12F3A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D8D9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92839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82E9D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87C04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E8F1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7B6B8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FD9071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3F0D5A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941C7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B88C2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AAB6A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DE13B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54A0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CABD9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7BAA1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3D9A1C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BA7DA1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1670A3D">
            <w:pPr>
              <w:jc w:val="left"/>
            </w:pPr>
            <w:r>
              <w:rPr>
                <w:rFonts w:ascii="宋体" w:hAnsi="宋体"/>
                <w:sz w:val="18"/>
              </w:rPr>
              <w:t>完成5笔债务资金支付，支付化解人社综合市场项目欠款信访问题资金及时率、准确率达到100%，提高人员满意度达到90%以上。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09008421">
            <w:pPr>
              <w:jc w:val="left"/>
            </w:pPr>
            <w:r>
              <w:rPr>
                <w:rFonts w:ascii="宋体" w:hAnsi="宋体"/>
                <w:sz w:val="18"/>
              </w:rPr>
              <w:t>债务资金支付完成率：100%；债务还款准确率：100%；债务资金按期支付率：100%；债务资金支付率：100%；保障单位良好信用：有效保障；支付对象满意度：90%；债务支付笔数：5</w:t>
            </w:r>
          </w:p>
        </w:tc>
      </w:tr>
      <w:tr w14:paraId="7FE75C1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204D8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54BD0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880D9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2025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64E28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F832D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7891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8256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4C01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2CF9B7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9C5FAF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B3A7AC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D84E6F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E9DF82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D451F1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FC6C76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DC21E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0DFF01">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AFC798B">
            <w:pPr>
              <w:widowControl/>
              <w:jc w:val="left"/>
              <w:rPr>
                <w:rFonts w:hint="eastAsia" w:ascii="宋体" w:hAnsi="宋体" w:cs="宋体"/>
                <w:color w:val="000000"/>
                <w:kern w:val="0"/>
                <w:sz w:val="18"/>
                <w:szCs w:val="18"/>
              </w:rPr>
            </w:pPr>
          </w:p>
        </w:tc>
      </w:tr>
      <w:tr w14:paraId="57ED171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18C308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2D532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7DCB36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DC25F4">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20A8D4D0">
            <w:pPr>
              <w:jc w:val="center"/>
            </w:pPr>
            <w:r>
              <w:rPr>
                <w:rFonts w:ascii="宋体" w:hAnsi="宋体"/>
                <w:sz w:val="18"/>
              </w:rPr>
              <w:t>=5笔</w:t>
            </w:r>
          </w:p>
        </w:tc>
        <w:tc>
          <w:tcPr>
            <w:tcW w:w="1229" w:type="dxa"/>
            <w:tcBorders>
              <w:top w:val="nil"/>
              <w:left w:val="nil"/>
              <w:bottom w:val="single" w:color="auto" w:sz="4" w:space="0"/>
              <w:right w:val="single" w:color="auto" w:sz="4" w:space="0"/>
            </w:tcBorders>
            <w:shd w:val="clear" w:color="auto" w:fill="auto"/>
            <w:vAlign w:val="center"/>
          </w:tcPr>
          <w:p w14:paraId="07F8FADF">
            <w:pPr>
              <w:jc w:val="center"/>
            </w:pPr>
            <w:r>
              <w:rPr>
                <w:rFonts w:ascii="宋体" w:hAnsi="宋体"/>
                <w:sz w:val="18"/>
              </w:rPr>
              <w:t>=6笔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BCDF2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CABAF4">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731B5A">
            <w:pPr>
              <w:jc w:val="center"/>
            </w:pPr>
          </w:p>
        </w:tc>
      </w:tr>
      <w:tr w14:paraId="2D3F61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9B03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DE558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8488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67B468">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2280BFC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0498EB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F47AB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138F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871BB8">
            <w:pPr>
              <w:jc w:val="center"/>
            </w:pPr>
          </w:p>
        </w:tc>
      </w:tr>
      <w:tr w14:paraId="328310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78F9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31879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018CE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86B789">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0E3BCFC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79F947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0F340E">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4CD7F9">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0651F5">
            <w:pPr>
              <w:jc w:val="center"/>
            </w:pPr>
          </w:p>
        </w:tc>
      </w:tr>
      <w:tr w14:paraId="054FA9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9F9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74E8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02A31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38178D">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56EC66C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62F78A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342D0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AB1472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029D0C">
            <w:pPr>
              <w:jc w:val="center"/>
            </w:pPr>
          </w:p>
        </w:tc>
      </w:tr>
      <w:tr w14:paraId="4D6A0D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37D2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89CE9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C6916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C4F880">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087E4FC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0C7096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C100F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4F25C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69FF0B">
            <w:pPr>
              <w:jc w:val="center"/>
            </w:pPr>
          </w:p>
        </w:tc>
      </w:tr>
      <w:tr w14:paraId="3D30E2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8B62A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54C46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CFEDF7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CF6F02">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78E281F4">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24A072DD">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6360A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7EB9E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ADF22F">
            <w:pPr>
              <w:jc w:val="center"/>
            </w:pPr>
          </w:p>
        </w:tc>
      </w:tr>
      <w:tr w14:paraId="458CA1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61777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30128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C429A4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259792">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17348698">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51C44CB">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87F5D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EF07A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04931D">
            <w:pPr>
              <w:jc w:val="center"/>
            </w:pPr>
          </w:p>
        </w:tc>
      </w:tr>
      <w:tr w14:paraId="632669D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185BB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4831B8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4C4C02C">
            <w:pPr>
              <w:jc w:val="center"/>
            </w:pPr>
            <w:r>
              <w:rPr>
                <w:rFonts w:ascii="宋体" w:hAnsi="宋体"/>
                <w:sz w:val="18"/>
              </w:rPr>
              <w:t>98分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0D2A8F">
            <w:pPr>
              <w:jc w:val="center"/>
            </w:pPr>
          </w:p>
        </w:tc>
      </w:tr>
    </w:tbl>
    <w:p w14:paraId="53B85326">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15AA90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C5A86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1446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AD4AF6C">
            <w:pPr>
              <w:jc w:val="center"/>
            </w:pPr>
            <w:r>
              <w:rPr>
                <w:rFonts w:ascii="宋体" w:hAnsi="宋体"/>
                <w:sz w:val="18"/>
              </w:rPr>
              <w:t>关于拨付2022年第四季度纺织服装补助资金的通知奇财建【2023】18号</w:t>
            </w:r>
          </w:p>
        </w:tc>
      </w:tr>
      <w:tr w14:paraId="5F20B2F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7F7BB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5CF79A0">
            <w:pPr>
              <w:jc w:val="center"/>
            </w:pPr>
            <w:r>
              <w:rPr>
                <w:rFonts w:ascii="宋体" w:hAnsi="宋体"/>
                <w:sz w:val="18"/>
              </w:rPr>
              <w:t>奇台县人力资源和社会保障局</w:t>
            </w:r>
          </w:p>
        </w:tc>
        <w:tc>
          <w:tcPr>
            <w:tcW w:w="1276" w:type="dxa"/>
            <w:gridSpan w:val="2"/>
            <w:tcBorders>
              <w:top w:val="nil"/>
              <w:left w:val="nil"/>
              <w:bottom w:val="single" w:color="auto" w:sz="4" w:space="0"/>
              <w:right w:val="single" w:color="000000" w:sz="4" w:space="0"/>
            </w:tcBorders>
            <w:shd w:val="clear" w:color="auto" w:fill="auto"/>
            <w:vAlign w:val="center"/>
          </w:tcPr>
          <w:p w14:paraId="2379C6C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CC2128">
            <w:pPr>
              <w:jc w:val="center"/>
            </w:pPr>
            <w:r>
              <w:rPr>
                <w:rFonts w:ascii="宋体" w:hAnsi="宋体"/>
                <w:sz w:val="18"/>
              </w:rPr>
              <w:t>奇台县人力资源和社会保障局</w:t>
            </w:r>
          </w:p>
        </w:tc>
      </w:tr>
      <w:tr w14:paraId="2E144DD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7F0A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C45BA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FFCD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0F99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1AB4B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38B87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DEF3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63017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D8E60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FB660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871A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09C9EE">
            <w:pPr>
              <w:jc w:val="center"/>
            </w:pPr>
            <w:r>
              <w:rPr>
                <w:rFonts w:ascii="宋体" w:hAnsi="宋体"/>
                <w:sz w:val="18"/>
              </w:rPr>
              <w:t>4.92</w:t>
            </w:r>
          </w:p>
        </w:tc>
        <w:tc>
          <w:tcPr>
            <w:tcW w:w="1266" w:type="dxa"/>
            <w:tcBorders>
              <w:top w:val="nil"/>
              <w:left w:val="nil"/>
              <w:bottom w:val="single" w:color="auto" w:sz="4" w:space="0"/>
              <w:right w:val="single" w:color="auto" w:sz="4" w:space="0"/>
            </w:tcBorders>
            <w:shd w:val="clear" w:color="auto" w:fill="auto"/>
            <w:noWrap/>
            <w:vAlign w:val="center"/>
          </w:tcPr>
          <w:p w14:paraId="4A9478E4">
            <w:pPr>
              <w:jc w:val="center"/>
            </w:pPr>
            <w:r>
              <w:rPr>
                <w:rFonts w:ascii="宋体" w:hAnsi="宋体"/>
                <w:sz w:val="18"/>
              </w:rPr>
              <w:t>12.27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EE9CF8">
            <w:pPr>
              <w:jc w:val="center"/>
            </w:pPr>
            <w:r>
              <w:rPr>
                <w:rFonts w:ascii="宋体" w:hAnsi="宋体"/>
                <w:sz w:val="18"/>
              </w:rPr>
              <w:t>12.27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9089D4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A8675B3">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35E23C1">
            <w:pPr>
              <w:jc w:val="center"/>
            </w:pPr>
            <w:r>
              <w:rPr>
                <w:rFonts w:ascii="宋体" w:hAnsi="宋体"/>
                <w:sz w:val="18"/>
              </w:rPr>
              <w:t>10.00</w:t>
            </w:r>
          </w:p>
        </w:tc>
      </w:tr>
      <w:tr w14:paraId="1DD126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239E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9545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A03FDE">
            <w:pPr>
              <w:jc w:val="center"/>
            </w:pPr>
            <w:r>
              <w:rPr>
                <w:rFonts w:ascii="宋体" w:hAnsi="宋体"/>
                <w:sz w:val="18"/>
              </w:rPr>
              <w:t>4.92</w:t>
            </w:r>
          </w:p>
        </w:tc>
        <w:tc>
          <w:tcPr>
            <w:tcW w:w="1266" w:type="dxa"/>
            <w:tcBorders>
              <w:top w:val="nil"/>
              <w:left w:val="nil"/>
              <w:bottom w:val="single" w:color="auto" w:sz="4" w:space="0"/>
              <w:right w:val="single" w:color="auto" w:sz="4" w:space="0"/>
            </w:tcBorders>
            <w:shd w:val="clear" w:color="auto" w:fill="auto"/>
            <w:noWrap/>
            <w:vAlign w:val="center"/>
          </w:tcPr>
          <w:p w14:paraId="7EBEFEF0">
            <w:pPr>
              <w:jc w:val="center"/>
            </w:pPr>
            <w:r>
              <w:rPr>
                <w:rFonts w:ascii="宋体" w:hAnsi="宋体"/>
                <w:sz w:val="18"/>
              </w:rPr>
              <w:t>12.27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0472E7C">
            <w:pPr>
              <w:jc w:val="center"/>
            </w:pPr>
            <w:r>
              <w:rPr>
                <w:rFonts w:ascii="宋体" w:hAnsi="宋体"/>
                <w:sz w:val="18"/>
              </w:rPr>
              <w:t>12.27</w:t>
            </w:r>
            <w:bookmarkStart w:id="49" w:name="_GoBack"/>
            <w:bookmarkEnd w:id="49"/>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CEF0B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F644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8A144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F4BA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AEA3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B80F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2C2DE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6EA0C6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BEA8D3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37F0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D0540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D9374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D823DD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9586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A47DA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18745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A16B4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8AD14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08C1DEF">
            <w:pPr>
              <w:jc w:val="left"/>
            </w:pPr>
            <w:r>
              <w:rPr>
                <w:rFonts w:ascii="宋体" w:hAnsi="宋体"/>
                <w:sz w:val="18"/>
              </w:rPr>
              <w:t>支付新疆娟子服装有限公司2022年第四季度纺织服装补助资金1笔，支付资金完成率、准确率、及时率达到100%，有效保障纺织企业社保补贴到位，纺织企业满意度达到90%以上。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4A65450C">
            <w:pPr>
              <w:jc w:val="left"/>
            </w:pPr>
            <w:r>
              <w:rPr>
                <w:rFonts w:ascii="宋体" w:hAnsi="宋体"/>
                <w:sz w:val="18"/>
              </w:rPr>
              <w:t>支付第四季度纺织服装补助资金准确率：100%；支付第四季度纺织服装补助资金及时性：100%；第四季度纺织服装补助资金支付率：100%；保障纺织企业社保补贴到位：有效保障；支付对象满意度：90%；支付第四季度纺织服装补助资金笔数：2</w:t>
            </w:r>
          </w:p>
        </w:tc>
      </w:tr>
      <w:tr w14:paraId="752B024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1775D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3112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40C60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D71B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C359A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F7856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760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1E86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1CEF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1BFEDF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E02FD1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3B518A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80883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F6072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F7E7D4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297DEA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745CE2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C01FF4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3AA926B">
            <w:pPr>
              <w:widowControl/>
              <w:jc w:val="left"/>
              <w:rPr>
                <w:rFonts w:hint="eastAsia" w:ascii="宋体" w:hAnsi="宋体" w:cs="宋体"/>
                <w:color w:val="000000"/>
                <w:kern w:val="0"/>
                <w:sz w:val="18"/>
                <w:szCs w:val="18"/>
              </w:rPr>
            </w:pPr>
          </w:p>
        </w:tc>
      </w:tr>
      <w:tr w14:paraId="32850C9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19B19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3BECDE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9EE5E9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B0168E">
            <w:pPr>
              <w:jc w:val="center"/>
            </w:pPr>
            <w:r>
              <w:rPr>
                <w:rFonts w:ascii="宋体" w:hAnsi="宋体"/>
                <w:sz w:val="18"/>
              </w:rPr>
              <w:t>支付第四季度纺织服装补助资金笔数</w:t>
            </w:r>
          </w:p>
        </w:tc>
        <w:tc>
          <w:tcPr>
            <w:tcW w:w="1266" w:type="dxa"/>
            <w:tcBorders>
              <w:top w:val="nil"/>
              <w:left w:val="nil"/>
              <w:bottom w:val="single" w:color="auto" w:sz="4" w:space="0"/>
              <w:right w:val="single" w:color="auto" w:sz="4" w:space="0"/>
            </w:tcBorders>
            <w:shd w:val="clear" w:color="auto" w:fill="auto"/>
            <w:vAlign w:val="center"/>
          </w:tcPr>
          <w:p w14:paraId="465E32E8">
            <w:pPr>
              <w:jc w:val="center"/>
            </w:pPr>
            <w:r>
              <w:rPr>
                <w:rFonts w:ascii="宋体" w:hAnsi="宋体"/>
                <w:sz w:val="18"/>
              </w:rPr>
              <w:t>=2笔</w:t>
            </w:r>
          </w:p>
        </w:tc>
        <w:tc>
          <w:tcPr>
            <w:tcW w:w="1088" w:type="dxa"/>
            <w:tcBorders>
              <w:top w:val="nil"/>
              <w:left w:val="nil"/>
              <w:bottom w:val="single" w:color="auto" w:sz="4" w:space="0"/>
              <w:right w:val="single" w:color="auto" w:sz="4" w:space="0"/>
            </w:tcBorders>
            <w:shd w:val="clear" w:color="auto" w:fill="auto"/>
            <w:vAlign w:val="center"/>
          </w:tcPr>
          <w:p w14:paraId="26D3C8A6">
            <w:pPr>
              <w:jc w:val="center"/>
            </w:pPr>
            <w:r>
              <w:rPr>
                <w:rFonts w:ascii="宋体" w:hAnsi="宋体"/>
                <w:sz w:val="18"/>
              </w:rPr>
              <w:t>=2笔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C53E0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E9757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4B8DA1">
            <w:pPr>
              <w:jc w:val="center"/>
            </w:pPr>
          </w:p>
        </w:tc>
      </w:tr>
      <w:tr w14:paraId="77963A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40D2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C704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FEE36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671082">
            <w:pPr>
              <w:jc w:val="center"/>
            </w:pPr>
            <w:r>
              <w:rPr>
                <w:rFonts w:ascii="宋体" w:hAnsi="宋体"/>
                <w:sz w:val="18"/>
              </w:rPr>
              <w:t>支付第四季度纺织服装补助资金准确率</w:t>
            </w:r>
          </w:p>
        </w:tc>
        <w:tc>
          <w:tcPr>
            <w:tcW w:w="1266" w:type="dxa"/>
            <w:tcBorders>
              <w:top w:val="nil"/>
              <w:left w:val="nil"/>
              <w:bottom w:val="single" w:color="auto" w:sz="4" w:space="0"/>
              <w:right w:val="single" w:color="auto" w:sz="4" w:space="0"/>
            </w:tcBorders>
            <w:shd w:val="clear" w:color="auto" w:fill="auto"/>
            <w:vAlign w:val="center"/>
          </w:tcPr>
          <w:p w14:paraId="74F10B4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E4AFB5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98E9F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5536E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28D593">
            <w:pPr>
              <w:jc w:val="center"/>
            </w:pPr>
          </w:p>
        </w:tc>
      </w:tr>
      <w:tr w14:paraId="58086F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41A4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43A9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CAE0A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194D3E">
            <w:pPr>
              <w:jc w:val="center"/>
            </w:pPr>
            <w:r>
              <w:rPr>
                <w:rFonts w:ascii="宋体" w:hAnsi="宋体"/>
                <w:sz w:val="18"/>
              </w:rPr>
              <w:t>支付第四季度纺织服装补助资金及时性</w:t>
            </w:r>
          </w:p>
        </w:tc>
        <w:tc>
          <w:tcPr>
            <w:tcW w:w="1266" w:type="dxa"/>
            <w:tcBorders>
              <w:top w:val="nil"/>
              <w:left w:val="nil"/>
              <w:bottom w:val="single" w:color="auto" w:sz="4" w:space="0"/>
              <w:right w:val="single" w:color="auto" w:sz="4" w:space="0"/>
            </w:tcBorders>
            <w:shd w:val="clear" w:color="auto" w:fill="auto"/>
            <w:vAlign w:val="center"/>
          </w:tcPr>
          <w:p w14:paraId="2BB536E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2087E5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E4509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F54B9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609387">
            <w:pPr>
              <w:jc w:val="center"/>
            </w:pPr>
          </w:p>
        </w:tc>
      </w:tr>
      <w:tr w14:paraId="72992C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99D4E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88F00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E6CA45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9841C">
            <w:pPr>
              <w:jc w:val="center"/>
            </w:pPr>
            <w:r>
              <w:rPr>
                <w:rFonts w:ascii="宋体" w:hAnsi="宋体"/>
                <w:sz w:val="18"/>
              </w:rPr>
              <w:t>第四季度纺织服装补助资金支付率</w:t>
            </w:r>
          </w:p>
        </w:tc>
        <w:tc>
          <w:tcPr>
            <w:tcW w:w="1266" w:type="dxa"/>
            <w:tcBorders>
              <w:top w:val="nil"/>
              <w:left w:val="nil"/>
              <w:bottom w:val="single" w:color="auto" w:sz="4" w:space="0"/>
              <w:right w:val="single" w:color="auto" w:sz="4" w:space="0"/>
            </w:tcBorders>
            <w:shd w:val="clear" w:color="auto" w:fill="auto"/>
            <w:vAlign w:val="center"/>
          </w:tcPr>
          <w:p w14:paraId="517DEC3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6DC66E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64931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6BDE2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356CBB">
            <w:pPr>
              <w:jc w:val="center"/>
            </w:pPr>
          </w:p>
        </w:tc>
      </w:tr>
      <w:tr w14:paraId="3E987C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4C4FC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9CC70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C8C33A1">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A58A77">
            <w:pPr>
              <w:jc w:val="center"/>
            </w:pPr>
            <w:r>
              <w:rPr>
                <w:rFonts w:ascii="宋体" w:hAnsi="宋体"/>
                <w:sz w:val="18"/>
              </w:rPr>
              <w:t>保障纺织企业社保补贴到位</w:t>
            </w:r>
          </w:p>
        </w:tc>
        <w:tc>
          <w:tcPr>
            <w:tcW w:w="1266" w:type="dxa"/>
            <w:tcBorders>
              <w:top w:val="nil"/>
              <w:left w:val="nil"/>
              <w:bottom w:val="single" w:color="auto" w:sz="4" w:space="0"/>
              <w:right w:val="single" w:color="auto" w:sz="4" w:space="0"/>
            </w:tcBorders>
            <w:shd w:val="clear" w:color="auto" w:fill="auto"/>
            <w:vAlign w:val="center"/>
          </w:tcPr>
          <w:p w14:paraId="0EBDF56A">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287C927D">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0C9AF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A2534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62425A">
            <w:pPr>
              <w:jc w:val="center"/>
            </w:pPr>
          </w:p>
        </w:tc>
      </w:tr>
      <w:tr w14:paraId="050A4F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E51DF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BC5D7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F5A36B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F28CFB">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3E176C5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3A47324">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E1F9A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326F4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E2DB77">
            <w:pPr>
              <w:jc w:val="center"/>
            </w:pPr>
          </w:p>
        </w:tc>
      </w:tr>
      <w:tr w14:paraId="45880ED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9F8BD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EC3C75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C2219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8FED1B">
            <w:pPr>
              <w:jc w:val="center"/>
            </w:pPr>
          </w:p>
        </w:tc>
      </w:tr>
    </w:tbl>
    <w:p w14:paraId="0FADDC1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BE2437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301E7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42FA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E920620">
            <w:pPr>
              <w:jc w:val="center"/>
            </w:pPr>
            <w:r>
              <w:rPr>
                <w:rFonts w:ascii="宋体" w:hAnsi="宋体"/>
                <w:sz w:val="18"/>
              </w:rPr>
              <w:t>奇台县人社局人力资源综合市场建设项目资金</w:t>
            </w:r>
          </w:p>
        </w:tc>
      </w:tr>
      <w:tr w14:paraId="15CE5C4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82A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EFED284">
            <w:pPr>
              <w:jc w:val="center"/>
            </w:pPr>
            <w:r>
              <w:rPr>
                <w:rFonts w:ascii="宋体" w:hAnsi="宋体"/>
                <w:sz w:val="18"/>
              </w:rPr>
              <w:t>奇台县人力资源和社会保障局</w:t>
            </w:r>
          </w:p>
        </w:tc>
        <w:tc>
          <w:tcPr>
            <w:tcW w:w="1276" w:type="dxa"/>
            <w:gridSpan w:val="2"/>
            <w:tcBorders>
              <w:top w:val="nil"/>
              <w:left w:val="nil"/>
              <w:bottom w:val="single" w:color="auto" w:sz="4" w:space="0"/>
              <w:right w:val="single" w:color="000000" w:sz="4" w:space="0"/>
            </w:tcBorders>
            <w:shd w:val="clear" w:color="auto" w:fill="auto"/>
            <w:vAlign w:val="center"/>
          </w:tcPr>
          <w:p w14:paraId="50DED5D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FBE6250">
            <w:pPr>
              <w:jc w:val="center"/>
            </w:pPr>
            <w:r>
              <w:rPr>
                <w:rFonts w:ascii="宋体" w:hAnsi="宋体"/>
                <w:sz w:val="18"/>
              </w:rPr>
              <w:t>奇台县人力资源和社会保障局</w:t>
            </w:r>
          </w:p>
        </w:tc>
      </w:tr>
      <w:tr w14:paraId="5804F6B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B7A3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FAFD5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2D4C0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6E41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68C3F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7054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5FF7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1A6D3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E1C76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7A41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3EBF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44FB53">
            <w:pPr>
              <w:jc w:val="center"/>
            </w:pPr>
            <w:r>
              <w:rPr>
                <w:rFonts w:ascii="宋体" w:hAnsi="宋体"/>
                <w:sz w:val="18"/>
              </w:rPr>
              <w:t>53.26</w:t>
            </w:r>
          </w:p>
        </w:tc>
        <w:tc>
          <w:tcPr>
            <w:tcW w:w="1266" w:type="dxa"/>
            <w:tcBorders>
              <w:top w:val="nil"/>
              <w:left w:val="nil"/>
              <w:bottom w:val="single" w:color="auto" w:sz="4" w:space="0"/>
              <w:right w:val="single" w:color="auto" w:sz="4" w:space="0"/>
            </w:tcBorders>
            <w:shd w:val="clear" w:color="auto" w:fill="auto"/>
            <w:noWrap/>
            <w:vAlign w:val="center"/>
          </w:tcPr>
          <w:p w14:paraId="556A5B9E">
            <w:pPr>
              <w:jc w:val="center"/>
            </w:pPr>
            <w:r>
              <w:rPr>
                <w:rFonts w:ascii="宋体" w:hAnsi="宋体"/>
                <w:sz w:val="18"/>
              </w:rPr>
              <w:t>53.26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C49ACA3">
            <w:pPr>
              <w:jc w:val="center"/>
            </w:pPr>
            <w:r>
              <w:rPr>
                <w:rFonts w:ascii="宋体" w:hAnsi="宋体"/>
                <w:sz w:val="18"/>
              </w:rPr>
              <w:t>53.26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170ED2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47392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B685F49">
            <w:pPr>
              <w:jc w:val="center"/>
            </w:pPr>
            <w:r>
              <w:rPr>
                <w:rFonts w:ascii="宋体" w:hAnsi="宋体"/>
                <w:sz w:val="18"/>
              </w:rPr>
              <w:t>10.00</w:t>
            </w:r>
          </w:p>
        </w:tc>
      </w:tr>
      <w:tr w14:paraId="59FCB9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034C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A56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D4D816">
            <w:pPr>
              <w:jc w:val="center"/>
            </w:pPr>
            <w:r>
              <w:rPr>
                <w:rFonts w:ascii="宋体" w:hAnsi="宋体"/>
                <w:sz w:val="18"/>
              </w:rPr>
              <w:t>53.26</w:t>
            </w:r>
          </w:p>
        </w:tc>
        <w:tc>
          <w:tcPr>
            <w:tcW w:w="1266" w:type="dxa"/>
            <w:tcBorders>
              <w:top w:val="nil"/>
              <w:left w:val="nil"/>
              <w:bottom w:val="single" w:color="auto" w:sz="4" w:space="0"/>
              <w:right w:val="single" w:color="auto" w:sz="4" w:space="0"/>
            </w:tcBorders>
            <w:shd w:val="clear" w:color="auto" w:fill="auto"/>
            <w:noWrap/>
            <w:vAlign w:val="center"/>
          </w:tcPr>
          <w:p w14:paraId="1E7298BD">
            <w:pPr>
              <w:jc w:val="center"/>
            </w:pPr>
            <w:r>
              <w:rPr>
                <w:rFonts w:ascii="宋体" w:hAnsi="宋体"/>
                <w:sz w:val="18"/>
              </w:rPr>
              <w:t>53.26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D5A4ED9">
            <w:pPr>
              <w:jc w:val="center"/>
            </w:pPr>
            <w:r>
              <w:rPr>
                <w:rFonts w:ascii="宋体" w:hAnsi="宋体"/>
                <w:sz w:val="18"/>
              </w:rPr>
              <w:t>53.26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C8F99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C026A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3CEA77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EF7A5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6777B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67AB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3888E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EE92DC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28D408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FF10E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DC14D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BC5D1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4F414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D89E2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DD593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57FA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80F967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8926C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3A25BAC">
            <w:pPr>
              <w:jc w:val="left"/>
            </w:pPr>
            <w:r>
              <w:rPr>
                <w:rFonts w:ascii="宋体" w:hAnsi="宋体"/>
                <w:sz w:val="18"/>
              </w:rPr>
              <w:t>完成1笔债务资金支付，及时、准确、高效化解人社综合市场项目欠款信访问题，确保相关企业对人社综合市场项目欠款信访问题满意。</w:t>
            </w:r>
          </w:p>
        </w:tc>
        <w:tc>
          <w:tcPr>
            <w:tcW w:w="4536" w:type="dxa"/>
            <w:gridSpan w:val="7"/>
            <w:tcBorders>
              <w:top w:val="single" w:color="auto" w:sz="4" w:space="0"/>
              <w:left w:val="nil"/>
              <w:bottom w:val="single" w:color="auto" w:sz="4" w:space="0"/>
              <w:right w:val="single" w:color="000000" w:sz="4" w:space="0"/>
            </w:tcBorders>
            <w:shd w:val="clear" w:color="auto" w:fill="auto"/>
          </w:tcPr>
          <w:p w14:paraId="06A376C2">
            <w:pPr>
              <w:jc w:val="left"/>
            </w:pPr>
            <w:r>
              <w:rPr>
                <w:rFonts w:ascii="宋体" w:hAnsi="宋体"/>
                <w:sz w:val="18"/>
              </w:rPr>
              <w:t>债务支付笔数：1；债务资金支付完成率：100；债务还款准确率：100；债务资金按期支付：100；债务资金支付率：100；保障单位良好信用：有效保障；支付对象满意度：90</w:t>
            </w:r>
          </w:p>
        </w:tc>
      </w:tr>
      <w:tr w14:paraId="6242135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0C309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3B0F7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705AA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78E6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C2EE2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DBD2F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D116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4601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A8DD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6BEA92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EC5AB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56169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528EF6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75218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E93189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C236B0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5CE471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589D29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35FA160">
            <w:pPr>
              <w:widowControl/>
              <w:jc w:val="left"/>
              <w:rPr>
                <w:rFonts w:hint="eastAsia" w:ascii="宋体" w:hAnsi="宋体" w:cs="宋体"/>
                <w:color w:val="000000"/>
                <w:kern w:val="0"/>
                <w:sz w:val="18"/>
                <w:szCs w:val="18"/>
              </w:rPr>
            </w:pPr>
          </w:p>
        </w:tc>
      </w:tr>
      <w:tr w14:paraId="397A558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6C2FB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700EB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5F1975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48A18E">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6D6A8519">
            <w:pPr>
              <w:jc w:val="center"/>
            </w:pPr>
            <w:r>
              <w:rPr>
                <w:rFonts w:ascii="宋体" w:hAnsi="宋体"/>
                <w:sz w:val="18"/>
              </w:rPr>
              <w:t>&gt;=1笔</w:t>
            </w:r>
          </w:p>
        </w:tc>
        <w:tc>
          <w:tcPr>
            <w:tcW w:w="1088" w:type="dxa"/>
            <w:tcBorders>
              <w:top w:val="nil"/>
              <w:left w:val="nil"/>
              <w:bottom w:val="single" w:color="auto" w:sz="4" w:space="0"/>
              <w:right w:val="single" w:color="auto" w:sz="4" w:space="0"/>
            </w:tcBorders>
            <w:shd w:val="clear" w:color="auto" w:fill="auto"/>
            <w:vAlign w:val="center"/>
          </w:tcPr>
          <w:p w14:paraId="2A80F8FC">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C9A6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1C973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E125F7">
            <w:pPr>
              <w:jc w:val="center"/>
            </w:pPr>
          </w:p>
        </w:tc>
      </w:tr>
      <w:tr w14:paraId="515A47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305C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B607F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01F74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796F35">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2BAC387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8FF22F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EC5F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09435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68FA62">
            <w:pPr>
              <w:jc w:val="center"/>
            </w:pPr>
          </w:p>
        </w:tc>
      </w:tr>
      <w:tr w14:paraId="24A345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7BF1D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FA92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D1974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A55389">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3782995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8409D8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E738FA">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81A3D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783558">
            <w:pPr>
              <w:jc w:val="center"/>
            </w:pPr>
          </w:p>
        </w:tc>
      </w:tr>
      <w:tr w14:paraId="0F7D20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B081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7528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8E7B7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22C6DE">
            <w:pPr>
              <w:jc w:val="center"/>
            </w:pPr>
            <w:r>
              <w:rPr>
                <w:rFonts w:ascii="宋体" w:hAnsi="宋体"/>
                <w:sz w:val="18"/>
              </w:rPr>
              <w:t>债务资金按期支付</w:t>
            </w:r>
          </w:p>
        </w:tc>
        <w:tc>
          <w:tcPr>
            <w:tcW w:w="1266" w:type="dxa"/>
            <w:tcBorders>
              <w:top w:val="nil"/>
              <w:left w:val="nil"/>
              <w:bottom w:val="single" w:color="auto" w:sz="4" w:space="0"/>
              <w:right w:val="single" w:color="auto" w:sz="4" w:space="0"/>
            </w:tcBorders>
            <w:shd w:val="clear" w:color="auto" w:fill="auto"/>
            <w:vAlign w:val="center"/>
          </w:tcPr>
          <w:p w14:paraId="4F33EF3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66BFB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A1E8C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6BA2C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4FDA79">
            <w:pPr>
              <w:jc w:val="center"/>
            </w:pPr>
          </w:p>
        </w:tc>
      </w:tr>
      <w:tr w14:paraId="46DF65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4D540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9EA9B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CE21C1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5C57D4">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26A21FC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4AA053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97B6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4F6E5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47E315">
            <w:pPr>
              <w:jc w:val="center"/>
            </w:pPr>
          </w:p>
        </w:tc>
      </w:tr>
      <w:tr w14:paraId="7F33A0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3E68E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C4A702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EBC8D8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8DBE29">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52C504D8">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6B57C1CF">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B31F4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C2E09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2F1B35">
            <w:pPr>
              <w:jc w:val="center"/>
            </w:pPr>
          </w:p>
        </w:tc>
      </w:tr>
      <w:tr w14:paraId="3BA2AB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B3D0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F524FC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3CC908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D1DDE5">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533A5310">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F91617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558F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65E69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4CF6BD">
            <w:pPr>
              <w:jc w:val="center"/>
            </w:pPr>
          </w:p>
        </w:tc>
      </w:tr>
      <w:tr w14:paraId="09F003B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A98E95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73CAB2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D7E333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7F5BC3">
            <w:pPr>
              <w:jc w:val="center"/>
            </w:pPr>
          </w:p>
        </w:tc>
      </w:tr>
    </w:tbl>
    <w:p w14:paraId="57CB159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509003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BE260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55A82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5C4C27">
            <w:pPr>
              <w:jc w:val="center"/>
            </w:pPr>
            <w:r>
              <w:rPr>
                <w:rFonts w:ascii="宋体" w:hAnsi="宋体"/>
                <w:sz w:val="18"/>
              </w:rPr>
              <w:t>就业补助资金</w:t>
            </w:r>
          </w:p>
        </w:tc>
      </w:tr>
      <w:tr w14:paraId="012E32C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9D74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1897170">
            <w:pPr>
              <w:jc w:val="center"/>
            </w:pPr>
            <w:r>
              <w:rPr>
                <w:rFonts w:ascii="宋体" w:hAnsi="宋体"/>
                <w:sz w:val="18"/>
              </w:rPr>
              <w:t>奇台县人力资源和社会保障局</w:t>
            </w:r>
          </w:p>
        </w:tc>
        <w:tc>
          <w:tcPr>
            <w:tcW w:w="1276" w:type="dxa"/>
            <w:gridSpan w:val="2"/>
            <w:tcBorders>
              <w:top w:val="nil"/>
              <w:left w:val="nil"/>
              <w:bottom w:val="single" w:color="auto" w:sz="4" w:space="0"/>
              <w:right w:val="single" w:color="000000" w:sz="4" w:space="0"/>
            </w:tcBorders>
            <w:shd w:val="clear" w:color="auto" w:fill="auto"/>
            <w:vAlign w:val="center"/>
          </w:tcPr>
          <w:p w14:paraId="00D1B3B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7E8987A">
            <w:pPr>
              <w:jc w:val="center"/>
            </w:pPr>
            <w:r>
              <w:rPr>
                <w:rFonts w:ascii="宋体" w:hAnsi="宋体"/>
                <w:sz w:val="18"/>
              </w:rPr>
              <w:t>奇台县人力资源和社会保障局</w:t>
            </w:r>
          </w:p>
        </w:tc>
      </w:tr>
      <w:tr w14:paraId="6A38D54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5DB8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6C45B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6BBC5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C9338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6E891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31EF4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8997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A7D0B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B6F7F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5B3A1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D180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400091">
            <w:pPr>
              <w:jc w:val="center"/>
            </w:pPr>
            <w:r>
              <w:rPr>
                <w:rFonts w:ascii="宋体" w:hAnsi="宋体"/>
                <w:sz w:val="18"/>
              </w:rPr>
              <w:t>1,395.56</w:t>
            </w:r>
          </w:p>
        </w:tc>
        <w:tc>
          <w:tcPr>
            <w:tcW w:w="1266" w:type="dxa"/>
            <w:tcBorders>
              <w:top w:val="nil"/>
              <w:left w:val="nil"/>
              <w:bottom w:val="single" w:color="auto" w:sz="4" w:space="0"/>
              <w:right w:val="single" w:color="auto" w:sz="4" w:space="0"/>
            </w:tcBorders>
            <w:shd w:val="clear" w:color="auto" w:fill="auto"/>
            <w:noWrap/>
            <w:vAlign w:val="center"/>
          </w:tcPr>
          <w:p w14:paraId="4D62AC57">
            <w:pPr>
              <w:jc w:val="center"/>
            </w:pPr>
            <w:r>
              <w:rPr>
                <w:rFonts w:ascii="宋体" w:hAnsi="宋体"/>
                <w:sz w:val="18"/>
              </w:rPr>
              <w:t>1,395.56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D7A747F">
            <w:pPr>
              <w:jc w:val="center"/>
            </w:pPr>
            <w:r>
              <w:rPr>
                <w:rFonts w:ascii="宋体" w:hAnsi="宋体"/>
                <w:sz w:val="18"/>
              </w:rPr>
              <w:t>1,395.56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DD425B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B8E2A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5DC31CD">
            <w:pPr>
              <w:jc w:val="center"/>
            </w:pPr>
            <w:r>
              <w:rPr>
                <w:rFonts w:ascii="宋体" w:hAnsi="宋体"/>
                <w:sz w:val="18"/>
              </w:rPr>
              <w:t>10.00</w:t>
            </w:r>
          </w:p>
        </w:tc>
      </w:tr>
      <w:tr w14:paraId="1FDD06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797A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53E5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A2FF27">
            <w:pPr>
              <w:jc w:val="center"/>
            </w:pPr>
            <w:r>
              <w:rPr>
                <w:rFonts w:ascii="宋体" w:hAnsi="宋体"/>
                <w:sz w:val="18"/>
              </w:rPr>
              <w:t>1,395.56</w:t>
            </w:r>
          </w:p>
        </w:tc>
        <w:tc>
          <w:tcPr>
            <w:tcW w:w="1266" w:type="dxa"/>
            <w:tcBorders>
              <w:top w:val="nil"/>
              <w:left w:val="nil"/>
              <w:bottom w:val="single" w:color="auto" w:sz="4" w:space="0"/>
              <w:right w:val="single" w:color="auto" w:sz="4" w:space="0"/>
            </w:tcBorders>
            <w:shd w:val="clear" w:color="auto" w:fill="auto"/>
            <w:noWrap/>
            <w:vAlign w:val="center"/>
          </w:tcPr>
          <w:p w14:paraId="33233850">
            <w:pPr>
              <w:jc w:val="center"/>
            </w:pPr>
            <w:r>
              <w:rPr>
                <w:rFonts w:ascii="宋体" w:hAnsi="宋体"/>
                <w:sz w:val="18"/>
              </w:rPr>
              <w:t>1,395.56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93410EE">
            <w:pPr>
              <w:jc w:val="center"/>
            </w:pPr>
            <w:r>
              <w:rPr>
                <w:rFonts w:ascii="宋体" w:hAnsi="宋体"/>
                <w:sz w:val="18"/>
              </w:rPr>
              <w:t>1,395.56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7A59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C176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DFE4D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AF68A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567A5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A0EE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F9882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8E92C9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460705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C207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89FFF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D29FB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C793D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4ED1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CB66E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DCA9B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B848D7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37F517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664D1BF">
            <w:pPr>
              <w:jc w:val="left"/>
            </w:pPr>
            <w:r>
              <w:rPr>
                <w:rFonts w:ascii="宋体" w:hAnsi="宋体"/>
                <w:sz w:val="18"/>
              </w:rPr>
              <w:t>支付奇台镇灵活就业社保补贴2笔，支付奇台镇灵活就业社保补贴及时率、准确率、到位率达到100%，提高灵活就业人员满意度达到90%以上。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64CF3080">
            <w:pPr>
              <w:jc w:val="left"/>
            </w:pPr>
            <w:r>
              <w:rPr>
                <w:rFonts w:ascii="宋体" w:hAnsi="宋体"/>
                <w:sz w:val="18"/>
              </w:rPr>
              <w:t>支付奇台镇灵活就业社保补贴完成率：100%；支付奇台镇灵活就业社保补贴笔数：2；支付奇台镇灵活就业社保补贴准确率：100%；支付奇台镇灵活就业社保补贴及时性：100%；奇台镇灵活就业社保补贴支付率：100%；保障灵活就业人员社保补贴到位：有效保障；支付对象满意度：90%</w:t>
            </w:r>
          </w:p>
        </w:tc>
      </w:tr>
      <w:tr w14:paraId="176B474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340EC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28E9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38CE6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72C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226F5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B9824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B56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77F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5CFD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864953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999507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9B0ECD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37B383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927973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EE072D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3A290D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E9BC08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834EF6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1D01FE6">
            <w:pPr>
              <w:widowControl/>
              <w:jc w:val="left"/>
              <w:rPr>
                <w:rFonts w:hint="eastAsia" w:ascii="宋体" w:hAnsi="宋体" w:cs="宋体"/>
                <w:color w:val="000000"/>
                <w:kern w:val="0"/>
                <w:sz w:val="18"/>
                <w:szCs w:val="18"/>
              </w:rPr>
            </w:pPr>
          </w:p>
        </w:tc>
      </w:tr>
      <w:tr w14:paraId="74ECDA5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5BD56F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BBD2DF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3997BC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2F5937">
            <w:pPr>
              <w:jc w:val="center"/>
            </w:pPr>
            <w:r>
              <w:rPr>
                <w:rFonts w:ascii="宋体" w:hAnsi="宋体"/>
                <w:sz w:val="18"/>
              </w:rPr>
              <w:t>支付奇台镇灵活就业社保补贴笔数</w:t>
            </w:r>
          </w:p>
        </w:tc>
        <w:tc>
          <w:tcPr>
            <w:tcW w:w="1266" w:type="dxa"/>
            <w:tcBorders>
              <w:top w:val="nil"/>
              <w:left w:val="nil"/>
              <w:bottom w:val="single" w:color="auto" w:sz="4" w:space="0"/>
              <w:right w:val="single" w:color="auto" w:sz="4" w:space="0"/>
            </w:tcBorders>
            <w:shd w:val="clear" w:color="auto" w:fill="auto"/>
            <w:vAlign w:val="center"/>
          </w:tcPr>
          <w:p w14:paraId="0D7E627C">
            <w:pPr>
              <w:jc w:val="center"/>
            </w:pPr>
            <w:r>
              <w:rPr>
                <w:rFonts w:ascii="宋体" w:hAnsi="宋体"/>
                <w:sz w:val="18"/>
              </w:rPr>
              <w:t>=2笔</w:t>
            </w:r>
          </w:p>
        </w:tc>
        <w:tc>
          <w:tcPr>
            <w:tcW w:w="1088" w:type="dxa"/>
            <w:tcBorders>
              <w:top w:val="nil"/>
              <w:left w:val="nil"/>
              <w:bottom w:val="single" w:color="auto" w:sz="4" w:space="0"/>
              <w:right w:val="single" w:color="auto" w:sz="4" w:space="0"/>
            </w:tcBorders>
            <w:shd w:val="clear" w:color="auto" w:fill="auto"/>
            <w:vAlign w:val="center"/>
          </w:tcPr>
          <w:p w14:paraId="4494D7CF">
            <w:pPr>
              <w:jc w:val="center"/>
            </w:pPr>
            <w:r>
              <w:rPr>
                <w:rFonts w:ascii="宋体" w:hAnsi="宋体"/>
                <w:sz w:val="18"/>
              </w:rPr>
              <w:t>=2笔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27F2D9">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9C2FB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DF8B39">
            <w:pPr>
              <w:jc w:val="center"/>
            </w:pPr>
          </w:p>
        </w:tc>
      </w:tr>
      <w:tr w14:paraId="5E0CA1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80B37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70B1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4F644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C6577F">
            <w:pPr>
              <w:jc w:val="center"/>
            </w:pPr>
            <w:r>
              <w:rPr>
                <w:rFonts w:ascii="宋体" w:hAnsi="宋体"/>
                <w:sz w:val="18"/>
              </w:rPr>
              <w:t>支付奇台镇灵活就业社保补贴完成率</w:t>
            </w:r>
          </w:p>
        </w:tc>
        <w:tc>
          <w:tcPr>
            <w:tcW w:w="1266" w:type="dxa"/>
            <w:tcBorders>
              <w:top w:val="nil"/>
              <w:left w:val="nil"/>
              <w:bottom w:val="single" w:color="auto" w:sz="4" w:space="0"/>
              <w:right w:val="single" w:color="auto" w:sz="4" w:space="0"/>
            </w:tcBorders>
            <w:shd w:val="clear" w:color="auto" w:fill="auto"/>
            <w:vAlign w:val="center"/>
          </w:tcPr>
          <w:p w14:paraId="0317985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B3B854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7539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226D7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CF76C8">
            <w:pPr>
              <w:jc w:val="center"/>
            </w:pPr>
          </w:p>
        </w:tc>
      </w:tr>
      <w:tr w14:paraId="761143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A583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AA672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9432E2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4DC3B1">
            <w:pPr>
              <w:jc w:val="center"/>
            </w:pPr>
            <w:r>
              <w:rPr>
                <w:rFonts w:ascii="宋体" w:hAnsi="宋体"/>
                <w:sz w:val="18"/>
              </w:rPr>
              <w:t>支付奇台镇灵活就业社保补贴准确率</w:t>
            </w:r>
          </w:p>
        </w:tc>
        <w:tc>
          <w:tcPr>
            <w:tcW w:w="1266" w:type="dxa"/>
            <w:tcBorders>
              <w:top w:val="nil"/>
              <w:left w:val="nil"/>
              <w:bottom w:val="single" w:color="auto" w:sz="4" w:space="0"/>
              <w:right w:val="single" w:color="auto" w:sz="4" w:space="0"/>
            </w:tcBorders>
            <w:shd w:val="clear" w:color="auto" w:fill="auto"/>
            <w:vAlign w:val="center"/>
          </w:tcPr>
          <w:p w14:paraId="3F59222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98055F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6E9AC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33B68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EE3FC5">
            <w:pPr>
              <w:jc w:val="center"/>
            </w:pPr>
          </w:p>
        </w:tc>
      </w:tr>
      <w:tr w14:paraId="1E459F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587F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20AC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D985A8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D66609">
            <w:pPr>
              <w:jc w:val="center"/>
            </w:pPr>
            <w:r>
              <w:rPr>
                <w:rFonts w:ascii="宋体" w:hAnsi="宋体"/>
                <w:sz w:val="18"/>
              </w:rPr>
              <w:t>支付奇台镇灵活就业社保补贴及时性</w:t>
            </w:r>
          </w:p>
        </w:tc>
        <w:tc>
          <w:tcPr>
            <w:tcW w:w="1266" w:type="dxa"/>
            <w:tcBorders>
              <w:top w:val="nil"/>
              <w:left w:val="nil"/>
              <w:bottom w:val="single" w:color="auto" w:sz="4" w:space="0"/>
              <w:right w:val="single" w:color="auto" w:sz="4" w:space="0"/>
            </w:tcBorders>
            <w:shd w:val="clear" w:color="auto" w:fill="auto"/>
            <w:vAlign w:val="center"/>
          </w:tcPr>
          <w:p w14:paraId="24150B2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659FDF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70869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E7CF2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0300E1">
            <w:pPr>
              <w:jc w:val="center"/>
            </w:pPr>
          </w:p>
        </w:tc>
      </w:tr>
      <w:tr w14:paraId="1893D3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FCB4C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AFD01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FCE089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CA90D">
            <w:pPr>
              <w:jc w:val="center"/>
            </w:pPr>
            <w:r>
              <w:rPr>
                <w:rFonts w:ascii="宋体" w:hAnsi="宋体"/>
                <w:sz w:val="18"/>
              </w:rPr>
              <w:t>奇台镇灵活就业社保补贴支付率</w:t>
            </w:r>
          </w:p>
        </w:tc>
        <w:tc>
          <w:tcPr>
            <w:tcW w:w="1266" w:type="dxa"/>
            <w:tcBorders>
              <w:top w:val="nil"/>
              <w:left w:val="nil"/>
              <w:bottom w:val="single" w:color="auto" w:sz="4" w:space="0"/>
              <w:right w:val="single" w:color="auto" w:sz="4" w:space="0"/>
            </w:tcBorders>
            <w:shd w:val="clear" w:color="auto" w:fill="auto"/>
            <w:vAlign w:val="center"/>
          </w:tcPr>
          <w:p w14:paraId="425E3EE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49FDC0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C9475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C2E16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4DC538">
            <w:pPr>
              <w:jc w:val="center"/>
            </w:pPr>
          </w:p>
        </w:tc>
      </w:tr>
      <w:tr w14:paraId="0177C9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35279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3CFAE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271BC4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515D51">
            <w:pPr>
              <w:jc w:val="center"/>
            </w:pPr>
            <w:r>
              <w:rPr>
                <w:rFonts w:ascii="宋体" w:hAnsi="宋体"/>
                <w:sz w:val="18"/>
              </w:rPr>
              <w:t>保障灵活就业人员社保补贴到位</w:t>
            </w:r>
          </w:p>
        </w:tc>
        <w:tc>
          <w:tcPr>
            <w:tcW w:w="1266" w:type="dxa"/>
            <w:tcBorders>
              <w:top w:val="nil"/>
              <w:left w:val="nil"/>
              <w:bottom w:val="single" w:color="auto" w:sz="4" w:space="0"/>
              <w:right w:val="single" w:color="auto" w:sz="4" w:space="0"/>
            </w:tcBorders>
            <w:shd w:val="clear" w:color="auto" w:fill="auto"/>
            <w:vAlign w:val="center"/>
          </w:tcPr>
          <w:p w14:paraId="3C75BE9F">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C1EBD92">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5B3B6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03463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AAB894">
            <w:pPr>
              <w:jc w:val="center"/>
            </w:pPr>
          </w:p>
        </w:tc>
      </w:tr>
      <w:tr w14:paraId="6B9116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7A152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8986D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806515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6BB779">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006A654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CBBA00C">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F7A4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73A9A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3FBF0D">
            <w:pPr>
              <w:jc w:val="center"/>
            </w:pPr>
            <w:r>
              <w:rPr>
                <w:rFonts w:ascii="宋体" w:hAnsi="宋体"/>
                <w:sz w:val="18"/>
              </w:rPr>
              <w:t>因奇台镇人民政府较为满意，故超出预期值，改进措施：下年度合理设置目标值</w:t>
            </w:r>
          </w:p>
        </w:tc>
      </w:tr>
      <w:tr w14:paraId="545A819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80924F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1DB924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F86E436">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EDDD96">
            <w:pPr>
              <w:jc w:val="center"/>
            </w:pPr>
          </w:p>
        </w:tc>
      </w:tr>
    </w:tbl>
    <w:p w14:paraId="0DD9FAB8">
      <w:pPr>
        <w:jc w:val="left"/>
        <w:rPr>
          <w:rFonts w:ascii="仿宋_GB2312" w:eastAsia="仿宋_GB2312"/>
          <w:sz w:val="32"/>
          <w:szCs w:val="32"/>
        </w:rPr>
      </w:pPr>
    </w:p>
    <w:p w14:paraId="40270FDF">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598B3E1">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438AECD5">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3AC881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CEE871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5C267C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E1454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CF4BB5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3C4C1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E3634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09933E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69DE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87828C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4C06F5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57D701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84227B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CFAF0B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1F0CC9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DE63E61">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04F41AE9">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23B8FFF0">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B3F62DF">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19C0BFD5">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128C1869">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2391394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155031EA">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4097A9E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55E2990">
      <w:pPr>
        <w:ind w:firstLine="640" w:firstLineChars="200"/>
        <w:rPr>
          <w:rFonts w:ascii="仿宋_GB2312" w:eastAsia="仿宋_GB2312"/>
          <w:sz w:val="32"/>
          <w:szCs w:val="32"/>
        </w:rPr>
      </w:pPr>
    </w:p>
    <w:p w14:paraId="586D2B9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B8849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F6229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5F6229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B0497F"/>
    <w:rsid w:val="00075838"/>
    <w:rsid w:val="000F7A1C"/>
    <w:rsid w:val="00213C59"/>
    <w:rsid w:val="003210CE"/>
    <w:rsid w:val="00472A35"/>
    <w:rsid w:val="004F329B"/>
    <w:rsid w:val="00566E08"/>
    <w:rsid w:val="00715F66"/>
    <w:rsid w:val="008059E5"/>
    <w:rsid w:val="008E0651"/>
    <w:rsid w:val="00907878"/>
    <w:rsid w:val="00AC0E55"/>
    <w:rsid w:val="00B0497F"/>
    <w:rsid w:val="00B63B23"/>
    <w:rsid w:val="00B70D59"/>
    <w:rsid w:val="00C71CAE"/>
    <w:rsid w:val="00D907E0"/>
    <w:rsid w:val="00F0458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903CD6"/>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11203</Words>
  <Characters>13028</Characters>
  <Lines>106</Lines>
  <Paragraphs>29</Paragraphs>
  <TotalTime>0</TotalTime>
  <ScaleCrop>false</ScaleCrop>
  <LinksUpToDate>false</LinksUpToDate>
  <CharactersWithSpaces>13040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2024-12-27T06:59:36Z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