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A9A049">
      <w:pPr>
        <w:rPr>
          <w:rFonts w:hint="eastAsia" w:ascii="黑体" w:hAnsi="黑体" w:eastAsia="黑体"/>
          <w:sz w:val="32"/>
          <w:szCs w:val="32"/>
        </w:rPr>
      </w:pPr>
    </w:p>
    <w:p w14:paraId="2876D1DC">
      <w:pPr>
        <w:jc w:val="center"/>
        <w:rPr>
          <w:rFonts w:hint="eastAsia" w:ascii="方正小标宋_GBK" w:hAnsi="宋体" w:eastAsia="方正小标宋_GBK"/>
          <w:sz w:val="44"/>
          <w:szCs w:val="44"/>
        </w:rPr>
      </w:pPr>
    </w:p>
    <w:p w14:paraId="715DA76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奇台县人民代表大会常务委员会</w:t>
      </w:r>
    </w:p>
    <w:p w14:paraId="30EB38D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4AF13D3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23C74DE4">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003D98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EBDD921">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43F97D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6B0C63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6B0B49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40D272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47A3C74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120CCE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1261992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53D41E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A16723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A27A6E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E39E0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D73E03E">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16E643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03078CF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3B6AFC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2831DE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1B20058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6802218">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CA8D2B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3A81105">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1A1A73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3197A30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155D4B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4CDD33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72CFB0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3A6F82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78B14B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DA65F77">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2A90770">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798F17CB">
      <w:r>
        <w:rPr>
          <w:rFonts w:hint="eastAsia" w:ascii="仿宋_GB2312" w:hAnsi="仿宋_GB2312" w:eastAsia="仿宋_GB2312" w:cs="仿宋_GB2312"/>
          <w:sz w:val="32"/>
          <w:szCs w:val="32"/>
        </w:rPr>
        <w:fldChar w:fldCharType="end"/>
      </w:r>
    </w:p>
    <w:p w14:paraId="0190CB39">
      <w:pPr>
        <w:rPr>
          <w:rFonts w:ascii="仿宋_GB2312" w:eastAsia="仿宋_GB2312"/>
          <w:sz w:val="32"/>
          <w:szCs w:val="32"/>
        </w:rPr>
      </w:pPr>
      <w:r>
        <w:rPr>
          <w:rFonts w:hint="eastAsia" w:ascii="仿宋_GB2312" w:eastAsia="仿宋_GB2312"/>
          <w:sz w:val="32"/>
          <w:szCs w:val="32"/>
        </w:rPr>
        <w:br w:type="page"/>
      </w:r>
    </w:p>
    <w:p w14:paraId="2AD10294">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2F5CBC70">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13B5DD69">
      <w:pPr>
        <w:ind w:firstLine="640" w:firstLineChars="200"/>
        <w:jc w:val="left"/>
        <w:rPr>
          <w:rFonts w:ascii="仿宋_GB2312" w:eastAsia="仿宋_GB2312"/>
          <w:sz w:val="32"/>
          <w:szCs w:val="32"/>
        </w:rPr>
      </w:pPr>
      <w:r>
        <w:rPr>
          <w:rFonts w:hint="eastAsia" w:ascii="仿宋_GB2312" w:eastAsia="仿宋_GB2312"/>
          <w:kern w:val="0"/>
          <w:sz w:val="32"/>
        </w:rPr>
        <w:t>昌吉州奇台县人民代表大会常务委员会是奇台县人民代表大会的常设机构，担负着宪法和法律赋予的重大职责。昌吉州奇台县人民代表大会常务委员会在常委会议、主任会议的领导下工作。负责组织做好“三查（察）”活动，开展好“三会”工作，指导乡镇人大工作。依法监督“一府两院”开展的各项工作。巩固和发展广泛的爱国统一战线，维护社会稳定和民族团结，促进祖国和平统一，促进对外友好往来与合作</w:t>
      </w:r>
      <w:r>
        <w:rPr>
          <w:rFonts w:hint="eastAsia" w:ascii="仿宋_GB2312" w:eastAsia="仿宋_GB2312"/>
          <w:sz w:val="32"/>
          <w:szCs w:val="32"/>
        </w:rPr>
        <w:t>。</w:t>
      </w:r>
    </w:p>
    <w:p w14:paraId="42FBB044">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4CA5FBDA">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奇台县人民代表大会常务委员会2023年度，实有人数</w:t>
      </w:r>
      <w:r>
        <w:rPr>
          <w:rFonts w:hint="eastAsia" w:ascii="仿宋_GB2312" w:eastAsia="仿宋_GB2312"/>
          <w:sz w:val="32"/>
          <w:szCs w:val="32"/>
          <w:lang w:val="zh-CN"/>
        </w:rPr>
        <w:t>66</w:t>
      </w:r>
      <w:r>
        <w:rPr>
          <w:rFonts w:hint="eastAsia" w:ascii="仿宋_GB2312" w:eastAsia="仿宋_GB2312"/>
          <w:sz w:val="32"/>
          <w:szCs w:val="32"/>
        </w:rPr>
        <w:t>人，其中：在职人员</w:t>
      </w:r>
      <w:r>
        <w:rPr>
          <w:rFonts w:hint="eastAsia" w:ascii="仿宋_GB2312" w:eastAsia="仿宋_GB2312"/>
          <w:sz w:val="32"/>
          <w:szCs w:val="32"/>
          <w:lang w:val="zh-CN"/>
        </w:rPr>
        <w:t>29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37</w:t>
      </w:r>
      <w:r>
        <w:rPr>
          <w:rFonts w:hint="eastAsia" w:ascii="仿宋_GB2312" w:eastAsia="仿宋_GB2312"/>
          <w:sz w:val="32"/>
          <w:szCs w:val="32"/>
        </w:rPr>
        <w:t>人。</w:t>
      </w:r>
    </w:p>
    <w:p w14:paraId="21802B13">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法制工作委员会、预算工作委员会、教科文卫工作委员会、代表工作委员会、农牧工作委员会。</w:t>
      </w:r>
    </w:p>
    <w:p w14:paraId="3CA59008">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369368CF">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5028A83D">
      <w:pPr>
        <w:ind w:firstLine="640" w:firstLineChars="200"/>
        <w:jc w:val="left"/>
        <w:rPr>
          <w:rFonts w:ascii="仿宋_GB2312" w:eastAsia="仿宋_GB2312"/>
          <w:sz w:val="32"/>
          <w:szCs w:val="32"/>
        </w:rPr>
      </w:pPr>
      <w:r>
        <w:rPr>
          <w:rFonts w:hint="eastAsia" w:ascii="仿宋_GB2312" w:eastAsia="仿宋_GB2312"/>
          <w:sz w:val="32"/>
          <w:szCs w:val="32"/>
        </w:rPr>
        <w:t>2023年度收入总计789.80万元，其中：本年收入合计789.80万元，使用非财政拨款结余0.00万元，年初结转和结余0.00万元。</w:t>
      </w:r>
    </w:p>
    <w:p w14:paraId="42CAFA3C">
      <w:pPr>
        <w:ind w:firstLine="640" w:firstLineChars="200"/>
        <w:jc w:val="left"/>
        <w:rPr>
          <w:rFonts w:ascii="仿宋_GB2312" w:eastAsia="仿宋_GB2312"/>
          <w:sz w:val="32"/>
          <w:szCs w:val="32"/>
        </w:rPr>
      </w:pPr>
      <w:r>
        <w:rPr>
          <w:rFonts w:hint="eastAsia" w:ascii="仿宋_GB2312" w:eastAsia="仿宋_GB2312"/>
          <w:sz w:val="32"/>
          <w:szCs w:val="32"/>
        </w:rPr>
        <w:t>2023年度支出总计789.80万元，其中：本年支出合计789.80万元，结余分配0.00万元，年末结转和结余0.00万元。</w:t>
      </w:r>
    </w:p>
    <w:p w14:paraId="7FEEB3F9">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增加98.95万元</w:t>
      </w:r>
      <w:r>
        <w:rPr>
          <w:rFonts w:hint="eastAsia" w:ascii="仿宋_GB2312" w:eastAsia="仿宋_GB2312"/>
          <w:sz w:val="32"/>
          <w:szCs w:val="32"/>
        </w:rPr>
        <w:t>，增长14.32%，主要原因是：本年单位增加电车租赁费、基层人大补助经费等项目经费。</w:t>
      </w:r>
    </w:p>
    <w:p w14:paraId="037B520B">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2D0729C4">
      <w:pPr>
        <w:ind w:firstLine="640" w:firstLineChars="200"/>
        <w:jc w:val="left"/>
        <w:rPr>
          <w:rFonts w:ascii="仿宋_GB2312" w:eastAsia="仿宋_GB2312"/>
          <w:sz w:val="32"/>
          <w:szCs w:val="32"/>
        </w:rPr>
      </w:pPr>
      <w:r>
        <w:rPr>
          <w:rFonts w:hint="eastAsia" w:ascii="仿宋_GB2312" w:eastAsia="仿宋_GB2312"/>
          <w:sz w:val="32"/>
          <w:szCs w:val="32"/>
        </w:rPr>
        <w:t>本年收入789.80万元，其中：财政拨款收入</w:t>
      </w:r>
      <w:r>
        <w:rPr>
          <w:rFonts w:hint="eastAsia" w:ascii="仿宋_GB2312" w:eastAsia="仿宋_GB2312"/>
          <w:sz w:val="32"/>
          <w:szCs w:val="32"/>
          <w:lang w:val="zh-CN"/>
        </w:rPr>
        <w:t>765.46</w:t>
      </w:r>
      <w:r>
        <w:rPr>
          <w:rFonts w:hint="eastAsia" w:ascii="仿宋_GB2312" w:eastAsia="仿宋_GB2312"/>
          <w:sz w:val="32"/>
          <w:szCs w:val="32"/>
        </w:rPr>
        <w:t>万元，占</w:t>
      </w:r>
      <w:r>
        <w:rPr>
          <w:rFonts w:hint="eastAsia" w:ascii="仿宋_GB2312" w:eastAsia="仿宋_GB2312"/>
          <w:sz w:val="32"/>
          <w:szCs w:val="32"/>
          <w:lang w:val="zh-CN"/>
        </w:rPr>
        <w:t>96.92%</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24.34</w:t>
      </w:r>
      <w:r>
        <w:rPr>
          <w:rFonts w:hint="eastAsia" w:ascii="仿宋_GB2312" w:eastAsia="仿宋_GB2312"/>
          <w:sz w:val="32"/>
          <w:szCs w:val="32"/>
        </w:rPr>
        <w:t>万元，占</w:t>
      </w:r>
      <w:r>
        <w:rPr>
          <w:rFonts w:hint="eastAsia" w:ascii="仿宋_GB2312" w:eastAsia="仿宋_GB2312"/>
          <w:sz w:val="32"/>
          <w:szCs w:val="32"/>
          <w:lang w:val="zh-CN"/>
        </w:rPr>
        <w:t>3.08%</w:t>
      </w:r>
      <w:r>
        <w:rPr>
          <w:rFonts w:hint="eastAsia" w:ascii="仿宋_GB2312" w:eastAsia="仿宋_GB2312"/>
          <w:sz w:val="32"/>
          <w:szCs w:val="32"/>
        </w:rPr>
        <w:t>。</w:t>
      </w:r>
    </w:p>
    <w:p w14:paraId="06DA1FC5">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79017AB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本年支出789.80万元，其中：基本支出746.34万元，占94.50%；项目支出43.45万元，占5.50%；上缴上级支出0.00万元，占0.00%；经营支出0.00万元，占0.00%；对附属单位补助支出0.00万元，占0.00%。</w:t>
      </w:r>
    </w:p>
    <w:p w14:paraId="48CCC5FF">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72D49E7A">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765.46</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765.46</w:t>
      </w:r>
      <w:r>
        <w:rPr>
          <w:rFonts w:hint="eastAsia" w:ascii="仿宋_GB2312" w:eastAsia="仿宋_GB2312"/>
          <w:sz w:val="32"/>
          <w:szCs w:val="32"/>
        </w:rPr>
        <w:t>万元。财政拨款支出总计</w:t>
      </w:r>
      <w:r>
        <w:rPr>
          <w:rFonts w:hint="eastAsia" w:ascii="仿宋_GB2312" w:eastAsia="仿宋_GB2312"/>
          <w:sz w:val="32"/>
          <w:szCs w:val="32"/>
          <w:lang w:val="zh-CN"/>
        </w:rPr>
        <w:t>765.46</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765.46</w:t>
      </w:r>
      <w:r>
        <w:rPr>
          <w:rFonts w:hint="eastAsia" w:ascii="仿宋_GB2312" w:eastAsia="仿宋_GB2312"/>
          <w:sz w:val="32"/>
          <w:szCs w:val="32"/>
        </w:rPr>
        <w:t>万元。</w:t>
      </w:r>
    </w:p>
    <w:p w14:paraId="61D09C2A">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增加79.70万元</w:t>
      </w:r>
      <w:r>
        <w:rPr>
          <w:rFonts w:hint="eastAsia" w:ascii="仿宋_GB2312" w:eastAsia="仿宋_GB2312"/>
          <w:sz w:val="32"/>
          <w:szCs w:val="32"/>
        </w:rPr>
        <w:t>，增长11.62%,主要原因是：本年单位增加电车租赁费、基层人大补助经费等项目经费。与年初预算相比，年初预算数</w:t>
      </w:r>
      <w:r>
        <w:rPr>
          <w:rFonts w:hint="eastAsia" w:ascii="仿宋_GB2312" w:eastAsia="仿宋_GB2312"/>
          <w:sz w:val="32"/>
          <w:szCs w:val="32"/>
          <w:lang w:val="zh-CN"/>
        </w:rPr>
        <w:t>726.72</w:t>
      </w:r>
      <w:r>
        <w:rPr>
          <w:rFonts w:hint="eastAsia" w:ascii="仿宋_GB2312" w:eastAsia="仿宋_GB2312"/>
          <w:sz w:val="32"/>
          <w:szCs w:val="32"/>
        </w:rPr>
        <w:t>万元，决算数</w:t>
      </w:r>
      <w:r>
        <w:rPr>
          <w:rFonts w:hint="eastAsia" w:ascii="仿宋_GB2312" w:eastAsia="仿宋_GB2312"/>
          <w:sz w:val="32"/>
          <w:szCs w:val="32"/>
          <w:lang w:val="zh-CN"/>
        </w:rPr>
        <w:t>765.46</w:t>
      </w:r>
      <w:r>
        <w:rPr>
          <w:rFonts w:hint="eastAsia" w:ascii="仿宋_GB2312" w:eastAsia="仿宋_GB2312"/>
          <w:sz w:val="32"/>
          <w:szCs w:val="32"/>
        </w:rPr>
        <w:t>万元，预决算差异率5.33%，主要原因是：人员薪资调增，年中追加人员工资、津补贴等人员经费。</w:t>
      </w:r>
    </w:p>
    <w:p w14:paraId="1B03DC30">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7E22EA9C">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C8F6653">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2023年度一般公共预算财政拨款支出765.46万元，占本年支出合计的</w:t>
      </w:r>
      <w:r>
        <w:rPr>
          <w:rFonts w:hint="eastAsia" w:ascii="仿宋_GB2312" w:eastAsia="仿宋_GB2312"/>
          <w:sz w:val="32"/>
          <w:szCs w:val="32"/>
          <w:lang w:val="zh-CN"/>
        </w:rPr>
        <w:t>96.92%</w:t>
      </w:r>
      <w:r>
        <w:rPr>
          <w:rFonts w:hint="eastAsia" w:ascii="仿宋_GB2312" w:eastAsia="仿宋_GB2312"/>
          <w:sz w:val="32"/>
          <w:szCs w:val="32"/>
        </w:rPr>
        <w:t>。与上年相比，</w:t>
      </w:r>
      <w:r>
        <w:rPr>
          <w:rFonts w:hint="eastAsia" w:ascii="仿宋_GB2312" w:eastAsia="仿宋_GB2312"/>
          <w:sz w:val="32"/>
          <w:szCs w:val="32"/>
          <w:lang w:val="zh-CN"/>
        </w:rPr>
        <w:t>增加79.70万元</w:t>
      </w:r>
      <w:r>
        <w:rPr>
          <w:rFonts w:hint="eastAsia" w:ascii="仿宋_GB2312" w:eastAsia="仿宋_GB2312"/>
          <w:sz w:val="32"/>
          <w:szCs w:val="32"/>
        </w:rPr>
        <w:t>，增长11.62%,主要原因是：本年单位增加电车租赁费、基层人大补助经费等项目经费。与年初预算相比，年初预算数</w:t>
      </w:r>
      <w:r>
        <w:rPr>
          <w:rFonts w:hint="eastAsia" w:ascii="仿宋_GB2312" w:eastAsia="仿宋_GB2312"/>
          <w:sz w:val="32"/>
          <w:szCs w:val="32"/>
          <w:lang w:val="zh-CN"/>
        </w:rPr>
        <w:t>726.72</w:t>
      </w:r>
      <w:r>
        <w:rPr>
          <w:rFonts w:hint="eastAsia" w:ascii="仿宋_GB2312" w:eastAsia="仿宋_GB2312"/>
          <w:sz w:val="32"/>
          <w:szCs w:val="32"/>
        </w:rPr>
        <w:t>万元，决算数</w:t>
      </w:r>
      <w:r>
        <w:rPr>
          <w:rFonts w:hint="eastAsia" w:ascii="仿宋_GB2312" w:eastAsia="仿宋_GB2312"/>
          <w:sz w:val="32"/>
          <w:szCs w:val="32"/>
          <w:lang w:val="zh-CN"/>
        </w:rPr>
        <w:t>765.46</w:t>
      </w:r>
      <w:r>
        <w:rPr>
          <w:rFonts w:hint="eastAsia" w:ascii="仿宋_GB2312" w:eastAsia="仿宋_GB2312"/>
          <w:sz w:val="32"/>
          <w:szCs w:val="32"/>
        </w:rPr>
        <w:t>万元，预决算差异率</w:t>
      </w:r>
      <w:r>
        <w:rPr>
          <w:rFonts w:hint="eastAsia" w:ascii="仿宋_GB2312" w:eastAsia="仿宋_GB2312"/>
          <w:sz w:val="32"/>
          <w:szCs w:val="32"/>
          <w:lang w:val="zh-CN"/>
        </w:rPr>
        <w:t>5.33%</w:t>
      </w:r>
      <w:r>
        <w:rPr>
          <w:rFonts w:hint="eastAsia" w:ascii="仿宋_GB2312" w:eastAsia="仿宋_GB2312"/>
          <w:sz w:val="32"/>
          <w:szCs w:val="32"/>
        </w:rPr>
        <w:t>，主要原因是：人员薪资调增，年中追加人员工资、津补贴等人员经费。</w:t>
      </w:r>
    </w:p>
    <w:p w14:paraId="4455372C">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14327598">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465.26</w:t>
      </w:r>
      <w:r>
        <w:rPr>
          <w:rFonts w:ascii="仿宋_GB2312" w:eastAsia="仿宋_GB2312"/>
          <w:kern w:val="2"/>
          <w:sz w:val="32"/>
          <w:szCs w:val="32"/>
          <w:lang w:val="zh-CN"/>
        </w:rPr>
        <w:t>万元，占</w:t>
      </w:r>
      <w:r>
        <w:rPr>
          <w:rFonts w:hint="eastAsia" w:ascii="仿宋_GB2312" w:eastAsia="仿宋_GB2312"/>
          <w:kern w:val="2"/>
          <w:sz w:val="32"/>
          <w:szCs w:val="32"/>
          <w:lang w:val="zh-CN"/>
        </w:rPr>
        <w:t>60.78%</w:t>
      </w:r>
      <w:r>
        <w:rPr>
          <w:rFonts w:ascii="仿宋_GB2312" w:eastAsia="仿宋_GB2312"/>
          <w:kern w:val="2"/>
          <w:sz w:val="32"/>
          <w:szCs w:val="32"/>
          <w:lang w:val="zh-CN"/>
        </w:rPr>
        <w:t>；</w:t>
      </w:r>
    </w:p>
    <w:p w14:paraId="6ED5FD3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223.86</w:t>
      </w:r>
      <w:r>
        <w:rPr>
          <w:rFonts w:ascii="仿宋_GB2312" w:eastAsia="仿宋_GB2312"/>
          <w:kern w:val="2"/>
          <w:sz w:val="32"/>
          <w:szCs w:val="32"/>
          <w:lang w:val="zh-CN"/>
        </w:rPr>
        <w:t>万元，占</w:t>
      </w:r>
      <w:r>
        <w:rPr>
          <w:rFonts w:hint="eastAsia" w:ascii="仿宋_GB2312" w:eastAsia="仿宋_GB2312"/>
          <w:kern w:val="2"/>
          <w:sz w:val="32"/>
          <w:szCs w:val="32"/>
          <w:lang w:val="zh-CN"/>
        </w:rPr>
        <w:t>29.25%</w:t>
      </w:r>
      <w:r>
        <w:rPr>
          <w:rFonts w:ascii="仿宋_GB2312" w:eastAsia="仿宋_GB2312"/>
          <w:kern w:val="2"/>
          <w:sz w:val="32"/>
          <w:szCs w:val="32"/>
          <w:lang w:val="zh-CN"/>
        </w:rPr>
        <w:t>；</w:t>
      </w:r>
    </w:p>
    <w:p w14:paraId="225F2AC0">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35.06</w:t>
      </w:r>
      <w:r>
        <w:rPr>
          <w:rFonts w:ascii="仿宋_GB2312" w:eastAsia="仿宋_GB2312"/>
          <w:kern w:val="2"/>
          <w:sz w:val="32"/>
          <w:szCs w:val="32"/>
          <w:lang w:val="zh-CN"/>
        </w:rPr>
        <w:t>万元，占</w:t>
      </w:r>
      <w:r>
        <w:rPr>
          <w:rFonts w:hint="eastAsia" w:ascii="仿宋_GB2312" w:eastAsia="仿宋_GB2312"/>
          <w:kern w:val="2"/>
          <w:sz w:val="32"/>
          <w:szCs w:val="32"/>
          <w:lang w:val="zh-CN"/>
        </w:rPr>
        <w:t>4.58%</w:t>
      </w:r>
      <w:r>
        <w:rPr>
          <w:rFonts w:ascii="仿宋_GB2312" w:eastAsia="仿宋_GB2312"/>
          <w:kern w:val="2"/>
          <w:sz w:val="32"/>
          <w:szCs w:val="32"/>
          <w:lang w:val="zh-CN"/>
        </w:rPr>
        <w:t>；</w:t>
      </w:r>
    </w:p>
    <w:p w14:paraId="37F7DB9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41.28</w:t>
      </w:r>
      <w:r>
        <w:rPr>
          <w:rFonts w:ascii="仿宋_GB2312" w:eastAsia="仿宋_GB2312"/>
          <w:kern w:val="2"/>
          <w:sz w:val="32"/>
          <w:szCs w:val="32"/>
          <w:lang w:val="zh-CN"/>
        </w:rPr>
        <w:t>万元，占</w:t>
      </w:r>
      <w:r>
        <w:rPr>
          <w:rFonts w:hint="eastAsia" w:ascii="仿宋_GB2312" w:eastAsia="仿宋_GB2312"/>
          <w:kern w:val="2"/>
          <w:sz w:val="32"/>
          <w:szCs w:val="32"/>
          <w:lang w:val="zh-CN"/>
        </w:rPr>
        <w:t>5.39%。</w:t>
      </w:r>
    </w:p>
    <w:p w14:paraId="3AB039E0">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15A9102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1.一般公共服务支出（类）人大事务（款）人大会议（项）:支出决算数为15.00万元，比上年决算增加10.00万元，增长200.00%，主要原因是：</w:t>
      </w:r>
      <w:r>
        <w:rPr>
          <w:rFonts w:hint="eastAsia" w:ascii="仿宋_GB2312" w:hAnsi="仿宋_GB2312" w:eastAsia="仿宋_GB2312" w:cs="仿宋_GB2312"/>
          <w:sz w:val="32"/>
          <w:szCs w:val="32"/>
          <w:lang w:val="zh-CN"/>
        </w:rPr>
        <w:t>本年我单位</w:t>
      </w:r>
      <w:r>
        <w:rPr>
          <w:rFonts w:hint="eastAsia" w:ascii="仿宋_GB2312" w:hAnsi="仿宋_GB2312" w:eastAsia="仿宋_GB2312" w:cs="仿宋_GB2312"/>
          <w:sz w:val="32"/>
          <w:szCs w:val="32"/>
          <w:lang w:val="en-US" w:eastAsia="zh-CN"/>
        </w:rPr>
        <w:t>增加人大</w:t>
      </w:r>
      <w:r>
        <w:rPr>
          <w:rFonts w:hint="eastAsia" w:ascii="仿宋_GB2312" w:hAnsi="仿宋_GB2312" w:eastAsia="仿宋_GB2312" w:cs="仿宋_GB2312"/>
          <w:sz w:val="32"/>
          <w:szCs w:val="32"/>
          <w:lang w:val="zh-CN"/>
        </w:rPr>
        <w:t>会议费。</w:t>
      </w:r>
    </w:p>
    <w:p w14:paraId="11DE8B5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2.卫生健康支出（类）行政事业单位医疗（款）其他行政事业单位医疗支出（项）:支出决算数为0.37万元，比上年决算增加0.21万元，增</w:t>
      </w:r>
      <w:bookmarkStart w:id="55" w:name="_GoBack"/>
      <w:bookmarkEnd w:id="55"/>
      <w:r>
        <w:rPr>
          <w:rFonts w:hint="eastAsia" w:ascii="仿宋_GB2312" w:hAnsi="仿宋_GB2312" w:eastAsia="仿宋_GB2312" w:cs="仿宋_GB2312"/>
          <w:sz w:val="32"/>
          <w:szCs w:val="32"/>
        </w:rPr>
        <w:t>长131.25%，主要原因是：</w:t>
      </w:r>
      <w:bookmarkStart w:id="18" w:name="_Hlk177999590"/>
      <w:bookmarkStart w:id="19" w:name="_Hlk178004261"/>
      <w:r>
        <w:rPr>
          <w:rFonts w:hint="eastAsia" w:ascii="仿宋_GB2312" w:hAnsi="仿宋_GB2312" w:eastAsia="仿宋_GB2312" w:cs="仿宋_GB2312"/>
          <w:sz w:val="32"/>
          <w:szCs w:val="32"/>
        </w:rPr>
        <w:t>单位</w:t>
      </w:r>
      <w:r>
        <w:rPr>
          <w:rFonts w:hint="eastAsia" w:ascii="仿宋_GB2312" w:hAnsi="仿宋_GB2312" w:eastAsia="仿宋_GB2312" w:cs="仿宋_GB2312"/>
          <w:sz w:val="32"/>
          <w:szCs w:val="32"/>
          <w:lang w:val="zh-CN"/>
        </w:rPr>
        <w:t>人员大病医疗补助经费较上年</w:t>
      </w:r>
      <w:bookmarkEnd w:id="18"/>
      <w:bookmarkEnd w:id="19"/>
      <w:r>
        <w:rPr>
          <w:rFonts w:hint="eastAsia" w:ascii="仿宋_GB2312" w:hAnsi="仿宋_GB2312" w:eastAsia="仿宋_GB2312" w:cs="仿宋_GB2312"/>
          <w:sz w:val="32"/>
          <w:szCs w:val="32"/>
          <w:lang w:val="zh-CN"/>
        </w:rPr>
        <w:t>增加。</w:t>
      </w:r>
    </w:p>
    <w:p w14:paraId="2193EE7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3.卫生健康支出（类）行政事业单位医疗（款）行政单位医疗（项）:支出决算数为27.61万元，比上年决算减少22.39万元，下降44.78%，主要原因是：</w:t>
      </w:r>
      <w:r>
        <w:rPr>
          <w:rFonts w:hint="eastAsia" w:ascii="仿宋_GB2312" w:hAnsi="仿宋_GB2312" w:eastAsia="仿宋_GB2312" w:cs="仿宋_GB2312"/>
          <w:sz w:val="32"/>
          <w:szCs w:val="32"/>
          <w:lang w:val="zh-CN"/>
        </w:rPr>
        <w:t>单位人员减少，职工基本医疗保险缴费减少。</w:t>
      </w:r>
    </w:p>
    <w:p w14:paraId="432FC94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4.卫生健康支出（类）行政事业单位医疗（款）公务员医疗补助（项）:支出决算数为7.08万元，比上年决算减少5.91万元，下降45.50%，主要原因是：</w:t>
      </w:r>
      <w:r>
        <w:rPr>
          <w:rFonts w:hint="eastAsia" w:ascii="仿宋_GB2312" w:hAnsi="仿宋_GB2312" w:eastAsia="仿宋_GB2312" w:cs="仿宋_GB2312"/>
          <w:sz w:val="32"/>
          <w:szCs w:val="32"/>
          <w:lang w:val="zh-CN"/>
        </w:rPr>
        <w:t>单位人员减少，公务员医疗补助缴费减少。</w:t>
      </w:r>
    </w:p>
    <w:p w14:paraId="1B49B3A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5.一般公共服务支出（类）人大事务（款）代表工作（项）:支出决算数为10.14万元，比上年决算增加10.14万元，增长100%，主要原因是：本年单位增加</w:t>
      </w:r>
      <w:r>
        <w:rPr>
          <w:rFonts w:hint="eastAsia" w:ascii="仿宋_GB2312" w:hAnsi="仿宋_GB2312" w:eastAsia="仿宋_GB2312" w:cs="仿宋_GB2312"/>
          <w:sz w:val="32"/>
          <w:szCs w:val="32"/>
          <w:lang w:val="zh-CN"/>
        </w:rPr>
        <w:t>州人大代表补助工作经费。</w:t>
      </w:r>
    </w:p>
    <w:p w14:paraId="757D3DF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6.住房保障支出（类）住房改革支出（款）住房公积金（项）:支出决算数为41.28万元，比上年决算减少3.99万元，下降8.81%，主要原因是：</w:t>
      </w:r>
      <w:r>
        <w:rPr>
          <w:rFonts w:hint="eastAsia" w:ascii="仿宋_GB2312" w:hAnsi="仿宋_GB2312" w:eastAsia="仿宋_GB2312" w:cs="仿宋_GB2312"/>
          <w:sz w:val="32"/>
          <w:szCs w:val="32"/>
          <w:lang w:val="zh-CN"/>
        </w:rPr>
        <w:t>单位人员减少，人员</w:t>
      </w:r>
      <w:r>
        <w:rPr>
          <w:rFonts w:hint="eastAsia" w:ascii="仿宋_GB2312" w:hAnsi="仿宋_GB2312" w:eastAsia="仿宋_GB2312" w:cs="仿宋_GB2312"/>
          <w:sz w:val="32"/>
          <w:szCs w:val="32"/>
        </w:rPr>
        <w:t>住房公积金缴费减少</w:t>
      </w:r>
      <w:r>
        <w:rPr>
          <w:rFonts w:hint="eastAsia" w:ascii="仿宋_GB2312" w:hAnsi="仿宋_GB2312" w:eastAsia="仿宋_GB2312" w:cs="仿宋_GB2312"/>
          <w:sz w:val="32"/>
          <w:szCs w:val="32"/>
          <w:lang w:val="zh-CN"/>
        </w:rPr>
        <w:t>。</w:t>
      </w:r>
    </w:p>
    <w:p w14:paraId="60BE3C9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7.社会保障和就业支出（类）抚恤（款）死亡抚恤（项）:支出决算数为123.85万元，比上年决算增加122.54万元，增长9,354.20%，主要原因是：2023年退休人员死亡3人，相应增加人员死亡抚恤金</w:t>
      </w:r>
      <w:r>
        <w:rPr>
          <w:rFonts w:hint="eastAsia" w:ascii="仿宋_GB2312" w:hAnsi="仿宋_GB2312" w:eastAsia="仿宋_GB2312" w:cs="仿宋_GB2312"/>
          <w:sz w:val="32"/>
          <w:szCs w:val="32"/>
          <w:lang w:val="zh-CN"/>
        </w:rPr>
        <w:t>。</w:t>
      </w:r>
    </w:p>
    <w:p w14:paraId="7D263D7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8.社会保障和就业支出（类）行政事业单位养老支出（款）行政单位离退休（项）:支出决算数为18.56万元，比上年决算增加18.56万元，增长100%，主要原因是：</w:t>
      </w:r>
      <w:r>
        <w:rPr>
          <w:rFonts w:hint="eastAsia" w:ascii="仿宋_GB2312" w:hAnsi="仿宋_GB2312" w:eastAsia="仿宋_GB2312" w:cs="仿宋_GB2312"/>
          <w:sz w:val="32"/>
          <w:szCs w:val="32"/>
          <w:lang w:val="zh-CN"/>
        </w:rPr>
        <w:t>科目调整细化，新增退休人员取暖费、独生子女奖励金等。</w:t>
      </w:r>
    </w:p>
    <w:p w14:paraId="3F10362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9.一般公共服务支出（类）人大事务（款）行政运行（项）:支出决算数为406.81万元，比上年决算减少90.24万元，下降18.16%，主要原因是：</w:t>
      </w:r>
      <w:r>
        <w:rPr>
          <w:rFonts w:hint="eastAsia" w:ascii="仿宋_GB2312" w:hAnsi="仿宋_GB2312" w:eastAsia="仿宋_GB2312" w:cs="仿宋_GB2312"/>
          <w:sz w:val="32"/>
          <w:szCs w:val="32"/>
          <w:lang w:val="zh-CN"/>
        </w:rPr>
        <w:t>单位人员减少，人员工资、津补贴等较上年减少。</w:t>
      </w:r>
    </w:p>
    <w:p w14:paraId="6BFA33D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10.一般公共服务支出（类）人大事务（款）其他人大事务支出（项）:支出决算数为33.31万元，比上年决算增加33.31万元，增长100%，主要原因是：本年单位增加</w:t>
      </w:r>
      <w:r>
        <w:rPr>
          <w:rFonts w:hint="eastAsia" w:ascii="仿宋_GB2312" w:hAnsi="仿宋_GB2312" w:eastAsia="仿宋_GB2312" w:cs="仿宋_GB2312"/>
          <w:sz w:val="32"/>
          <w:szCs w:val="32"/>
          <w:lang w:val="zh-CN"/>
        </w:rPr>
        <w:t>电车租赁费、基层人大补助经费等项目经费。</w:t>
      </w:r>
    </w:p>
    <w:p w14:paraId="78A35F0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11.社会保障和就业支出（类）行政事业单位养老支出（款）机关事业单位职业年金缴费支出（项）:支出决算数为30.61万元，比上年决算增加5.11万元，增长20.04%，主要原因是：</w:t>
      </w:r>
      <w:r>
        <w:rPr>
          <w:rFonts w:hint="eastAsia" w:ascii="仿宋_GB2312" w:hAnsi="仿宋_GB2312" w:eastAsia="仿宋_GB2312" w:cs="仿宋_GB2312"/>
          <w:sz w:val="32"/>
          <w:szCs w:val="32"/>
          <w:lang w:val="zh-CN"/>
        </w:rPr>
        <w:t>本年退休人员增加，人员</w:t>
      </w:r>
      <w:r>
        <w:rPr>
          <w:rFonts w:hint="eastAsia" w:ascii="仿宋_GB2312" w:hAnsi="仿宋_GB2312" w:eastAsia="仿宋_GB2312" w:cs="仿宋_GB2312"/>
          <w:sz w:val="32"/>
          <w:szCs w:val="32"/>
        </w:rPr>
        <w:t>职业年金缴费增加</w:t>
      </w:r>
      <w:r>
        <w:rPr>
          <w:rFonts w:hint="eastAsia" w:ascii="仿宋_GB2312" w:hAnsi="仿宋_GB2312" w:eastAsia="仿宋_GB2312" w:cs="仿宋_GB2312"/>
          <w:sz w:val="32"/>
          <w:szCs w:val="32"/>
          <w:lang w:val="zh-CN"/>
        </w:rPr>
        <w:t>。</w:t>
      </w:r>
    </w:p>
    <w:p w14:paraId="2E8151B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12.社会保障和就业支出（类）行政事业单位养老支出（款）机关事业单位基本养老保险缴费支出（项）:支出决算数为50.84万元，比上年决算增加2.87万元，增长5.98%，主要原因是：</w:t>
      </w:r>
      <w:bookmarkStart w:id="20" w:name="_Hlk177987165"/>
      <w:r>
        <w:rPr>
          <w:rFonts w:hint="eastAsia" w:eastAsia="仿宋_GB2312"/>
          <w:sz w:val="32"/>
          <w:szCs w:val="32"/>
        </w:rPr>
        <w:t>本年单位社保缴费基数调增，人员养老保险缴费增加</w:t>
      </w:r>
      <w:bookmarkEnd w:id="20"/>
      <w:r>
        <w:rPr>
          <w:rFonts w:hint="eastAsia" w:ascii="仿宋_GB2312" w:hAnsi="仿宋_GB2312" w:eastAsia="仿宋_GB2312" w:cs="仿宋_GB2312"/>
          <w:sz w:val="32"/>
          <w:szCs w:val="32"/>
          <w:lang w:val="zh-CN"/>
        </w:rPr>
        <w:t>。</w:t>
      </w:r>
    </w:p>
    <w:p w14:paraId="32284F3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13.卫生健康支出（类）行政事业单位医疗（款）事业单位医疗（项）:支出决算数为0.00万元，比上年决算减少0.51万元，下降100%，主要原因是：</w:t>
      </w:r>
      <w:r>
        <w:rPr>
          <w:rFonts w:hint="eastAsia" w:ascii="仿宋_GB2312" w:eastAsia="仿宋_GB2312"/>
          <w:sz w:val="32"/>
          <w:szCs w:val="32"/>
          <w:lang w:val="zh-CN"/>
        </w:rPr>
        <w:t>单位科目调整，本年此科目减少职工基本医疗保险缴费</w:t>
      </w:r>
      <w:r>
        <w:rPr>
          <w:rFonts w:hint="eastAsia" w:ascii="仿宋_GB2312" w:hAnsi="仿宋_GB2312" w:eastAsia="仿宋_GB2312" w:cs="仿宋_GB2312"/>
          <w:sz w:val="32"/>
          <w:szCs w:val="32"/>
          <w:lang w:val="zh-CN"/>
        </w:rPr>
        <w:t>。</w:t>
      </w:r>
    </w:p>
    <w:p w14:paraId="4F73CF3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8E24455">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722.00万元，其中：人员经费696.20万元，包括：基本工资、津贴补贴、奖金、绩效工资、机关事业单位基本养老保险缴费、职业年金缴费、职工基本医疗保险缴费、公务员医疗补助缴费、其他社会保障缴费、住房公积金、其他工资福利支出、退休费、抚恤金、奖励金。</w:t>
      </w:r>
    </w:p>
    <w:p w14:paraId="0B643D4F">
      <w:pPr>
        <w:ind w:firstLine="640" w:firstLineChars="200"/>
        <w:jc w:val="left"/>
        <w:rPr>
          <w:rFonts w:ascii="仿宋_GB2312" w:eastAsia="仿宋_GB2312"/>
          <w:sz w:val="32"/>
          <w:szCs w:val="32"/>
        </w:rPr>
      </w:pPr>
      <w:r>
        <w:rPr>
          <w:rFonts w:hint="eastAsia" w:ascii="仿宋_GB2312" w:eastAsia="仿宋_GB2312"/>
          <w:sz w:val="32"/>
          <w:szCs w:val="32"/>
        </w:rPr>
        <w:t>公用经费25.80万元，包括：办公费、邮电费、差旅费、会议费、公务用车运行维护费。</w:t>
      </w:r>
    </w:p>
    <w:p w14:paraId="1F90BDA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EC904E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“三公”经费支出7.00万元，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主要原因是：本年无此项经费；公务用车购置及运行维护费支出7.00万元，占100.00%，比上年增加0.00万元，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14:paraId="50CE5CE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17CEBFD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71A37918">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公务用车购置及运行维护费7.00万元，其中：公务用车购置费0.00万元，公务用车运行维护费7.00万元。公务用车运行维护费开支内容包括</w:t>
      </w:r>
      <w:bookmarkStart w:id="21" w:name="_Hlk176442988"/>
      <w:r>
        <w:rPr>
          <w:rFonts w:hint="eastAsia" w:ascii="仿宋_GB2312" w:eastAsia="仿宋_GB2312" w:cs="仿宋_GB2312"/>
          <w:kern w:val="0"/>
          <w:sz w:val="32"/>
          <w:szCs w:val="32"/>
        </w:rPr>
        <w:t>公务用车燃油费、车辆维修维护费、保险费、过路费等</w:t>
      </w:r>
      <w:bookmarkEnd w:id="21"/>
      <w:r>
        <w:rPr>
          <w:rFonts w:hint="eastAsia" w:ascii="仿宋_GB2312" w:eastAsia="仿宋_GB2312"/>
          <w:sz w:val="32"/>
          <w:szCs w:val="32"/>
          <w:lang w:val="zh-CN"/>
        </w:rPr>
        <w:t>。公务用车购置数0辆，公务用车保有量8辆。国有资产占用情况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8辆，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22" w:name="_Hlk181961318"/>
      <w:r>
        <w:rPr>
          <w:rFonts w:hint="eastAsia" w:ascii="仿宋_GB2312" w:eastAsia="仿宋_GB2312"/>
          <w:sz w:val="32"/>
          <w:szCs w:val="32"/>
          <w:lang w:val="zh-CN"/>
        </w:rPr>
        <w:t>国有资产车辆与公务用车保有量无差异</w:t>
      </w:r>
      <w:bookmarkEnd w:id="22"/>
      <w:r>
        <w:rPr>
          <w:rFonts w:hint="eastAsia" w:ascii="仿宋_GB2312" w:eastAsia="仿宋_GB2312"/>
          <w:sz w:val="32"/>
          <w:szCs w:val="32"/>
          <w:lang w:val="zh-CN"/>
        </w:rPr>
        <w:t>。</w:t>
      </w:r>
    </w:p>
    <w:p w14:paraId="2769789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14:paraId="14432D6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预算数7.00万元，决算数7.00万元，预决算差异率0.00%，主要原因是：</w:t>
      </w:r>
      <w:bookmarkStart w:id="23" w:name="_Hlk176443013"/>
      <w:r>
        <w:rPr>
          <w:rFonts w:hint="eastAsia" w:ascii="仿宋_GB2312" w:eastAsia="仿宋_GB2312"/>
          <w:sz w:val="32"/>
          <w:szCs w:val="32"/>
          <w:lang w:val="zh-CN"/>
        </w:rPr>
        <w:t>本年严格按年初预算执行“三公”经费，预决算对比无差异</w:t>
      </w:r>
      <w:bookmarkEnd w:id="23"/>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预算数7.00万元，决算数7.00万元，预决算差异率0.00%，主要原因是：本年严格按年初预算执行“三公”经费，预决算对比无差异；公务接待费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14:paraId="70321412">
      <w:pPr>
        <w:ind w:firstLine="640" w:firstLineChars="200"/>
        <w:jc w:val="left"/>
        <w:outlineLvl w:val="1"/>
        <w:rPr>
          <w:rFonts w:hint="eastAsia" w:ascii="黑体" w:hAnsi="黑体" w:eastAsia="黑体" w:cs="宋体"/>
          <w:bCs/>
          <w:kern w:val="0"/>
          <w:sz w:val="32"/>
          <w:szCs w:val="32"/>
        </w:rPr>
      </w:pPr>
      <w:bookmarkStart w:id="24" w:name="_Toc7927"/>
      <w:bookmarkStart w:id="25" w:name="_Toc5810"/>
      <w:r>
        <w:rPr>
          <w:rFonts w:hint="eastAsia" w:ascii="黑体" w:hAnsi="黑体" w:eastAsia="黑体" w:cs="宋体"/>
          <w:bCs/>
          <w:kern w:val="0"/>
          <w:sz w:val="32"/>
          <w:szCs w:val="32"/>
        </w:rPr>
        <w:t>八、政府性基金预算财政拨款收入支出决算情况说明</w:t>
      </w:r>
      <w:bookmarkEnd w:id="24"/>
      <w:bookmarkEnd w:id="25"/>
    </w:p>
    <w:p w14:paraId="4C38EB34">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EA3FCB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421BAC3">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D06A7FB">
      <w:pPr>
        <w:ind w:firstLine="640" w:firstLineChars="200"/>
        <w:jc w:val="left"/>
        <w:outlineLvl w:val="1"/>
        <w:rPr>
          <w:rFonts w:hint="eastAsia" w:ascii="黑体" w:hAnsi="黑体" w:eastAsia="黑体" w:cs="宋体"/>
          <w:bCs/>
          <w:kern w:val="0"/>
          <w:sz w:val="32"/>
          <w:szCs w:val="32"/>
        </w:rPr>
      </w:pPr>
      <w:bookmarkStart w:id="26" w:name="_Toc1235"/>
      <w:bookmarkStart w:id="27" w:name="_Toc7314"/>
      <w:r>
        <w:rPr>
          <w:rFonts w:hint="eastAsia" w:ascii="黑体" w:hAnsi="黑体" w:eastAsia="黑体" w:cs="宋体"/>
          <w:bCs/>
          <w:kern w:val="0"/>
          <w:sz w:val="32"/>
          <w:szCs w:val="32"/>
        </w:rPr>
        <w:t>十、其他重要事项的情况说明</w:t>
      </w:r>
      <w:bookmarkEnd w:id="26"/>
      <w:bookmarkEnd w:id="27"/>
    </w:p>
    <w:p w14:paraId="5366F331">
      <w:pPr>
        <w:ind w:firstLine="640" w:firstLineChars="200"/>
        <w:jc w:val="left"/>
        <w:outlineLvl w:val="2"/>
        <w:rPr>
          <w:rFonts w:hint="eastAsia" w:ascii="黑体" w:hAnsi="黑体" w:eastAsia="黑体"/>
          <w:sz w:val="32"/>
          <w:szCs w:val="32"/>
        </w:rPr>
      </w:pPr>
      <w:bookmarkStart w:id="28" w:name="_Toc13105"/>
      <w:bookmarkStart w:id="29" w:name="_Toc14519"/>
      <w:r>
        <w:rPr>
          <w:rFonts w:hint="eastAsia" w:ascii="黑体" w:hAnsi="黑体" w:eastAsia="黑体"/>
          <w:sz w:val="32"/>
          <w:szCs w:val="32"/>
        </w:rPr>
        <w:t>（一）机关运行经费支出情况</w:t>
      </w:r>
      <w:bookmarkEnd w:id="28"/>
      <w:bookmarkEnd w:id="29"/>
    </w:p>
    <w:p w14:paraId="2F8C82AE">
      <w:pPr>
        <w:ind w:firstLine="640" w:firstLineChars="200"/>
        <w:rPr>
          <w:rFonts w:hint="eastAsia" w:ascii="仿宋_GB2312" w:hAnsi="仿宋_GB2312" w:eastAsia="仿宋_GB2312" w:cs="仿宋_GB2312"/>
          <w:sz w:val="32"/>
          <w:szCs w:val="32"/>
          <w:lang w:val="zh-CN"/>
        </w:rPr>
      </w:pPr>
      <w:bookmarkStart w:id="30" w:name="_Toc227"/>
      <w:bookmarkStart w:id="31"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奇台县人民代表大会常务委员会（行政单位和参照公务员法管理事业单位）机关运行经费支出25.80万元，</w:t>
      </w:r>
      <w:r>
        <w:rPr>
          <w:rFonts w:hint="eastAsia" w:ascii="仿宋_GB2312" w:hAnsi="仿宋_GB2312" w:eastAsia="仿宋_GB2312" w:cs="仿宋_GB2312"/>
          <w:sz w:val="32"/>
          <w:szCs w:val="32"/>
          <w:lang w:val="zh-CN"/>
        </w:rPr>
        <w:t>比上年减少16.25万元，下降38.64%，主要原因是：本年单位</w:t>
      </w:r>
      <w:r>
        <w:rPr>
          <w:rFonts w:hint="eastAsia" w:ascii="仿宋_GB2312" w:eastAsia="仿宋_GB2312"/>
          <w:sz w:val="32"/>
          <w:szCs w:val="32"/>
        </w:rPr>
        <w:t>办公费、邮电费、差旅费等较上年减少</w:t>
      </w:r>
      <w:r>
        <w:rPr>
          <w:rFonts w:hint="eastAsia" w:ascii="仿宋_GB2312" w:hAnsi="仿宋_GB2312" w:eastAsia="仿宋_GB2312" w:cs="仿宋_GB2312"/>
          <w:sz w:val="32"/>
          <w:szCs w:val="32"/>
          <w:lang w:val="zh-CN"/>
        </w:rPr>
        <w:t>。</w:t>
      </w:r>
    </w:p>
    <w:p w14:paraId="3C7E2BEC">
      <w:pPr>
        <w:ind w:firstLine="640" w:firstLineChars="200"/>
        <w:jc w:val="left"/>
        <w:rPr>
          <w:rFonts w:eastAsia="黑体"/>
          <w:sz w:val="32"/>
          <w:szCs w:val="30"/>
          <w:lang w:val="zh-CN"/>
        </w:rPr>
      </w:pPr>
      <w:r>
        <w:rPr>
          <w:rFonts w:hint="eastAsia" w:eastAsia="黑体"/>
          <w:sz w:val="32"/>
          <w:szCs w:val="30"/>
          <w:lang w:val="zh-CN"/>
        </w:rPr>
        <w:t>（二）政府采购情况</w:t>
      </w:r>
      <w:bookmarkEnd w:id="30"/>
      <w:bookmarkEnd w:id="31"/>
    </w:p>
    <w:p w14:paraId="4F67C6F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2023年度政府采购支出总额39.30万元，其中：政府采购货物支出12.06万元、政府采购工程支出1.28万元、政府采购服务支出25.95万元。</w:t>
      </w:r>
    </w:p>
    <w:p w14:paraId="5B49B1F9">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授予中小企业合同金额36.77万元，占政府采购支出总额的93.56%，其中：授予小微企业合同金额36.77万元，占政府采购支出总额的93.56%</w:t>
      </w:r>
      <w:r>
        <w:rPr>
          <w:rFonts w:hint="eastAsia" w:ascii="仿宋_GB2312" w:hAnsi="仿宋_GB2312" w:eastAsia="仿宋_GB2312" w:cs="仿宋_GB2312"/>
          <w:sz w:val="32"/>
          <w:szCs w:val="32"/>
        </w:rPr>
        <w:t>。</w:t>
      </w:r>
    </w:p>
    <w:p w14:paraId="353D8409">
      <w:pPr>
        <w:ind w:firstLine="640" w:firstLineChars="200"/>
        <w:jc w:val="left"/>
        <w:rPr>
          <w:rFonts w:eastAsia="黑体"/>
          <w:sz w:val="32"/>
          <w:szCs w:val="30"/>
          <w:lang w:val="zh-CN"/>
        </w:rPr>
      </w:pPr>
      <w:bookmarkStart w:id="32" w:name="_Toc4591"/>
      <w:bookmarkStart w:id="33" w:name="_Toc8391"/>
      <w:r>
        <w:rPr>
          <w:rFonts w:hint="eastAsia" w:eastAsia="黑体"/>
          <w:sz w:val="32"/>
          <w:szCs w:val="30"/>
          <w:lang w:val="zh-CN"/>
        </w:rPr>
        <w:t>（三）国有资产占用情况说明</w:t>
      </w:r>
      <w:bookmarkEnd w:id="32"/>
      <w:bookmarkEnd w:id="33"/>
    </w:p>
    <w:p w14:paraId="13FF1A4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282.90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屋0.00平方米，价值0.00万元。车辆8辆，价值178.50万元，其中：副部（省）级及以上领导用车0辆、主要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用车0辆、其他用车8辆，其他用车主要是：单位</w:t>
      </w:r>
      <w:r>
        <w:rPr>
          <w:rFonts w:hint="eastAsia" w:ascii="仿宋_GB2312" w:hAnsi="仿宋_GB2312" w:eastAsia="仿宋_GB2312" w:cs="仿宋_GB2312"/>
          <w:sz w:val="32"/>
          <w:szCs w:val="32"/>
        </w:rPr>
        <w:t>业</w:t>
      </w:r>
      <w:r>
        <w:rPr>
          <w:rFonts w:hint="eastAsia" w:ascii="仿宋_GB2312" w:hAnsi="仿宋_GB2312" w:eastAsia="仿宋_GB2312" w:cs="仿宋_GB2312"/>
          <w:sz w:val="32"/>
          <w:szCs w:val="32"/>
          <w:lang w:val="zh-CN"/>
        </w:rPr>
        <w:t>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3CA0A4F5">
      <w:pPr>
        <w:ind w:firstLine="640" w:firstLineChars="200"/>
        <w:jc w:val="left"/>
        <w:outlineLvl w:val="1"/>
        <w:rPr>
          <w:rFonts w:hint="eastAsia" w:ascii="黑体" w:hAnsi="黑体" w:eastAsia="黑体" w:cs="宋体"/>
          <w:bCs/>
          <w:kern w:val="0"/>
          <w:sz w:val="32"/>
          <w:szCs w:val="32"/>
        </w:rPr>
      </w:pPr>
      <w:bookmarkStart w:id="34" w:name="_Toc435"/>
      <w:bookmarkStart w:id="35" w:name="_Toc11283"/>
      <w:r>
        <w:rPr>
          <w:rFonts w:hint="eastAsia" w:ascii="黑体" w:hAnsi="黑体" w:eastAsia="黑体" w:cs="宋体"/>
          <w:bCs/>
          <w:kern w:val="0"/>
          <w:sz w:val="32"/>
          <w:szCs w:val="32"/>
        </w:rPr>
        <w:t>十一、预算绩效的情况说明</w:t>
      </w:r>
      <w:bookmarkEnd w:id="34"/>
      <w:bookmarkEnd w:id="35"/>
    </w:p>
    <w:p w14:paraId="79E5328D">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789.80</w:t>
      </w:r>
      <w:r>
        <w:rPr>
          <w:rFonts w:hint="eastAsia" w:ascii="仿宋_GB2312" w:eastAsia="仿宋_GB2312"/>
          <w:sz w:val="32"/>
          <w:szCs w:val="32"/>
        </w:rPr>
        <w:t>万元，实际执行总额</w:t>
      </w:r>
      <w:r>
        <w:rPr>
          <w:rFonts w:ascii="仿宋_GB2312" w:eastAsia="仿宋_GB2312"/>
          <w:sz w:val="32"/>
          <w:szCs w:val="32"/>
        </w:rPr>
        <w:t>789.80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ascii="仿宋_GB2312" w:eastAsia="仿宋_GB2312"/>
          <w:sz w:val="32"/>
          <w:szCs w:val="32"/>
        </w:rPr>
        <w:t>3</w:t>
      </w:r>
      <w:r>
        <w:rPr>
          <w:rFonts w:hint="eastAsia" w:ascii="仿宋_GB2312" w:eastAsia="仿宋_GB2312"/>
          <w:sz w:val="32"/>
          <w:szCs w:val="32"/>
        </w:rPr>
        <w:t>个，全年预算数</w:t>
      </w:r>
      <w:r>
        <w:rPr>
          <w:rFonts w:ascii="仿宋_GB2312" w:eastAsia="仿宋_GB2312"/>
          <w:sz w:val="32"/>
          <w:szCs w:val="32"/>
        </w:rPr>
        <w:t>37.14</w:t>
      </w:r>
      <w:r>
        <w:rPr>
          <w:rFonts w:hint="eastAsia" w:ascii="仿宋_GB2312" w:eastAsia="仿宋_GB2312"/>
          <w:sz w:val="32"/>
          <w:szCs w:val="32"/>
        </w:rPr>
        <w:t>万元，全年执行数</w:t>
      </w:r>
      <w:r>
        <w:rPr>
          <w:rFonts w:ascii="仿宋_GB2312" w:eastAsia="仿宋_GB2312"/>
          <w:sz w:val="32"/>
          <w:szCs w:val="32"/>
        </w:rPr>
        <w:t>37.14</w:t>
      </w:r>
      <w:r>
        <w:rPr>
          <w:rFonts w:hint="eastAsia" w:ascii="仿宋_GB2312" w:eastAsia="仿宋_GB2312"/>
          <w:sz w:val="32"/>
          <w:szCs w:val="32"/>
        </w:rPr>
        <w:t>万元。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68D14C79">
      <w:pPr>
        <w:jc w:val="center"/>
        <w:rPr>
          <w:rFonts w:hint="eastAsia" w:ascii="宋体" w:hAnsi="宋体" w:cs="宋体"/>
          <w:b/>
          <w:bCs/>
          <w:kern w:val="0"/>
          <w:sz w:val="28"/>
          <w:szCs w:val="28"/>
        </w:rPr>
      </w:pPr>
      <w:bookmarkStart w:id="36" w:name="_Hlk174962300"/>
      <w:r>
        <w:rPr>
          <w:rFonts w:hint="eastAsia" w:ascii="宋体" w:hAnsi="宋体" w:cs="宋体"/>
          <w:b/>
          <w:bCs/>
          <w:kern w:val="0"/>
          <w:sz w:val="28"/>
          <w:szCs w:val="28"/>
        </w:rPr>
        <w:t>部门（单位）整体支出绩效目标自评表</w:t>
      </w:r>
    </w:p>
    <w:p w14:paraId="406FA48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07D154F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607E8CC">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87AA975">
            <w:pPr>
              <w:jc w:val="center"/>
            </w:pPr>
            <w:r>
              <w:rPr>
                <w:rFonts w:ascii="宋体" w:hAnsi="宋体"/>
                <w:sz w:val="18"/>
              </w:rPr>
              <w:t>奇台县人民代表大会常务委员会</w:t>
            </w:r>
          </w:p>
        </w:tc>
        <w:tc>
          <w:tcPr>
            <w:tcW w:w="284" w:type="dxa"/>
            <w:tcBorders>
              <w:top w:val="nil"/>
              <w:left w:val="nil"/>
              <w:bottom w:val="nil"/>
              <w:right w:val="nil"/>
            </w:tcBorders>
            <w:shd w:val="clear" w:color="auto" w:fill="auto"/>
            <w:noWrap/>
            <w:vAlign w:val="center"/>
          </w:tcPr>
          <w:p w14:paraId="24C3D50F">
            <w:pPr>
              <w:widowControl/>
              <w:jc w:val="left"/>
              <w:rPr>
                <w:rFonts w:hint="eastAsia" w:ascii="宋体" w:hAnsi="宋体" w:cs="宋体"/>
                <w:b/>
                <w:bCs/>
                <w:kern w:val="0"/>
                <w:sz w:val="18"/>
                <w:szCs w:val="18"/>
              </w:rPr>
            </w:pPr>
          </w:p>
        </w:tc>
      </w:tr>
      <w:tr w14:paraId="104E4D4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B5BAF6">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AD2356D">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D586A10">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43E9F55A">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01765C2F">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34BB2C6D">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0BA411AB">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046715A">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9774993">
            <w:pPr>
              <w:widowControl/>
              <w:jc w:val="center"/>
              <w:rPr>
                <w:rFonts w:hint="eastAsia" w:ascii="宋体" w:hAnsi="宋体" w:cs="宋体"/>
                <w:b/>
                <w:bCs/>
                <w:kern w:val="0"/>
                <w:sz w:val="18"/>
                <w:szCs w:val="18"/>
              </w:rPr>
            </w:pPr>
          </w:p>
        </w:tc>
      </w:tr>
      <w:tr w14:paraId="2ACE00CC">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6F6855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A65A704">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08C52F31">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FB027CC">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73F36B0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C5E45BC">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27A614BD">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29766F87">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FA151DA">
            <w:pPr>
              <w:widowControl/>
              <w:jc w:val="center"/>
              <w:rPr>
                <w:rFonts w:hint="eastAsia" w:ascii="宋体" w:hAnsi="宋体" w:cs="宋体"/>
                <w:b/>
                <w:bCs/>
                <w:kern w:val="0"/>
                <w:sz w:val="18"/>
                <w:szCs w:val="18"/>
              </w:rPr>
            </w:pPr>
          </w:p>
        </w:tc>
      </w:tr>
      <w:tr w14:paraId="36B599BD">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C015B7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B1EB767">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046EB5BA">
            <w:pPr>
              <w:jc w:val="center"/>
            </w:pPr>
            <w:r>
              <w:rPr>
                <w:rFonts w:ascii="宋体" w:hAnsi="宋体"/>
                <w:sz w:val="18"/>
              </w:rPr>
              <w:t>7.00</w:t>
            </w:r>
          </w:p>
        </w:tc>
        <w:tc>
          <w:tcPr>
            <w:tcW w:w="1276" w:type="dxa"/>
            <w:tcBorders>
              <w:top w:val="nil"/>
              <w:left w:val="nil"/>
              <w:bottom w:val="single" w:color="auto" w:sz="4" w:space="0"/>
              <w:right w:val="single" w:color="auto" w:sz="4" w:space="0"/>
            </w:tcBorders>
            <w:shd w:val="clear" w:color="auto" w:fill="auto"/>
            <w:vAlign w:val="center"/>
          </w:tcPr>
          <w:p w14:paraId="263E42BD">
            <w:pPr>
              <w:jc w:val="center"/>
            </w:pPr>
            <w:r>
              <w:rPr>
                <w:rFonts w:ascii="宋体" w:hAnsi="宋体"/>
                <w:sz w:val="18"/>
              </w:rPr>
              <w:t>7.00</w:t>
            </w:r>
          </w:p>
        </w:tc>
        <w:tc>
          <w:tcPr>
            <w:tcW w:w="1701" w:type="dxa"/>
            <w:tcBorders>
              <w:top w:val="nil"/>
              <w:left w:val="nil"/>
              <w:bottom w:val="single" w:color="auto" w:sz="4" w:space="0"/>
              <w:right w:val="single" w:color="auto" w:sz="4" w:space="0"/>
            </w:tcBorders>
            <w:shd w:val="clear" w:color="auto" w:fill="auto"/>
            <w:vAlign w:val="center"/>
          </w:tcPr>
          <w:p w14:paraId="3D931FE8">
            <w:pPr>
              <w:jc w:val="center"/>
            </w:pPr>
            <w:r>
              <w:rPr>
                <w:rFonts w:ascii="宋体" w:hAnsi="宋体"/>
                <w:sz w:val="18"/>
              </w:rPr>
              <w:t>7.00</w:t>
            </w:r>
          </w:p>
        </w:tc>
        <w:tc>
          <w:tcPr>
            <w:tcW w:w="1134" w:type="dxa"/>
            <w:tcBorders>
              <w:top w:val="nil"/>
              <w:left w:val="nil"/>
              <w:bottom w:val="single" w:color="auto" w:sz="4" w:space="0"/>
              <w:right w:val="single" w:color="auto" w:sz="4" w:space="0"/>
            </w:tcBorders>
            <w:shd w:val="clear" w:color="auto" w:fill="auto"/>
            <w:vAlign w:val="center"/>
          </w:tcPr>
          <w:p w14:paraId="503BD98D">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315E0F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9656A42">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2AA34B9">
            <w:pPr>
              <w:widowControl/>
              <w:jc w:val="center"/>
              <w:rPr>
                <w:rFonts w:hint="eastAsia" w:ascii="宋体" w:hAnsi="宋体" w:cs="宋体"/>
                <w:kern w:val="0"/>
                <w:sz w:val="18"/>
                <w:szCs w:val="18"/>
              </w:rPr>
            </w:pPr>
          </w:p>
        </w:tc>
      </w:tr>
      <w:tr w14:paraId="2455E67F">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D7BD2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28064AC">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52A2FCB7">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1C5D757">
            <w:pPr>
              <w:jc w:val="center"/>
            </w:pPr>
            <w:r>
              <w:rPr>
                <w:rFonts w:ascii="宋体" w:hAnsi="宋体"/>
                <w:sz w:val="18"/>
              </w:rPr>
              <w:t>10.14</w:t>
            </w:r>
          </w:p>
        </w:tc>
        <w:tc>
          <w:tcPr>
            <w:tcW w:w="1701" w:type="dxa"/>
            <w:tcBorders>
              <w:top w:val="nil"/>
              <w:left w:val="nil"/>
              <w:bottom w:val="single" w:color="auto" w:sz="4" w:space="0"/>
              <w:right w:val="single" w:color="auto" w:sz="4" w:space="0"/>
            </w:tcBorders>
            <w:shd w:val="clear" w:color="auto" w:fill="auto"/>
            <w:vAlign w:val="center"/>
          </w:tcPr>
          <w:p w14:paraId="2DE2FCCC">
            <w:pPr>
              <w:jc w:val="center"/>
            </w:pPr>
            <w:r>
              <w:rPr>
                <w:rFonts w:ascii="宋体" w:hAnsi="宋体"/>
                <w:sz w:val="18"/>
              </w:rPr>
              <w:t>10.14</w:t>
            </w:r>
          </w:p>
        </w:tc>
        <w:tc>
          <w:tcPr>
            <w:tcW w:w="1134" w:type="dxa"/>
            <w:tcBorders>
              <w:top w:val="nil"/>
              <w:left w:val="nil"/>
              <w:bottom w:val="single" w:color="auto" w:sz="4" w:space="0"/>
              <w:right w:val="single" w:color="auto" w:sz="4" w:space="0"/>
            </w:tcBorders>
            <w:shd w:val="clear" w:color="auto" w:fill="auto"/>
            <w:vAlign w:val="center"/>
          </w:tcPr>
          <w:p w14:paraId="7808EFEE">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9E964CA">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9CC5F7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0764586">
            <w:pPr>
              <w:widowControl/>
              <w:jc w:val="center"/>
              <w:rPr>
                <w:rFonts w:hint="eastAsia" w:ascii="宋体" w:hAnsi="宋体" w:cs="宋体"/>
                <w:kern w:val="0"/>
                <w:sz w:val="18"/>
                <w:szCs w:val="18"/>
              </w:rPr>
            </w:pPr>
          </w:p>
        </w:tc>
      </w:tr>
      <w:tr w14:paraId="0A711749">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E784E3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85C35D2">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44897D79">
            <w:pPr>
              <w:jc w:val="center"/>
            </w:pPr>
            <w:r>
              <w:rPr>
                <w:rFonts w:ascii="宋体" w:hAnsi="宋体"/>
                <w:sz w:val="18"/>
              </w:rPr>
              <w:t>719.72</w:t>
            </w:r>
          </w:p>
        </w:tc>
        <w:tc>
          <w:tcPr>
            <w:tcW w:w="1276" w:type="dxa"/>
            <w:tcBorders>
              <w:top w:val="nil"/>
              <w:left w:val="nil"/>
              <w:bottom w:val="single" w:color="auto" w:sz="4" w:space="0"/>
              <w:right w:val="single" w:color="auto" w:sz="4" w:space="0"/>
            </w:tcBorders>
            <w:shd w:val="clear" w:color="auto" w:fill="auto"/>
            <w:vAlign w:val="center"/>
          </w:tcPr>
          <w:p w14:paraId="699F7008">
            <w:pPr>
              <w:jc w:val="center"/>
            </w:pPr>
            <w:r>
              <w:rPr>
                <w:rFonts w:ascii="宋体" w:hAnsi="宋体"/>
                <w:sz w:val="18"/>
              </w:rPr>
              <w:t>748.32</w:t>
            </w:r>
          </w:p>
        </w:tc>
        <w:tc>
          <w:tcPr>
            <w:tcW w:w="1701" w:type="dxa"/>
            <w:tcBorders>
              <w:top w:val="nil"/>
              <w:left w:val="nil"/>
              <w:bottom w:val="single" w:color="auto" w:sz="4" w:space="0"/>
              <w:right w:val="single" w:color="auto" w:sz="4" w:space="0"/>
            </w:tcBorders>
            <w:shd w:val="clear" w:color="auto" w:fill="auto"/>
            <w:vAlign w:val="center"/>
          </w:tcPr>
          <w:p w14:paraId="2499E462">
            <w:pPr>
              <w:jc w:val="center"/>
            </w:pPr>
            <w:r>
              <w:rPr>
                <w:rFonts w:ascii="宋体" w:hAnsi="宋体"/>
                <w:sz w:val="18"/>
              </w:rPr>
              <w:t>748.32</w:t>
            </w:r>
          </w:p>
        </w:tc>
        <w:tc>
          <w:tcPr>
            <w:tcW w:w="1134" w:type="dxa"/>
            <w:tcBorders>
              <w:top w:val="nil"/>
              <w:left w:val="nil"/>
              <w:bottom w:val="single" w:color="auto" w:sz="4" w:space="0"/>
              <w:right w:val="single" w:color="auto" w:sz="4" w:space="0"/>
            </w:tcBorders>
            <w:shd w:val="clear" w:color="auto" w:fill="auto"/>
            <w:vAlign w:val="center"/>
          </w:tcPr>
          <w:p w14:paraId="3EDB58A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FE491F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EC1DE9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E8549E7">
            <w:pPr>
              <w:widowControl/>
              <w:jc w:val="center"/>
              <w:rPr>
                <w:rFonts w:hint="eastAsia" w:ascii="宋体" w:hAnsi="宋体" w:cs="宋体"/>
                <w:kern w:val="0"/>
                <w:sz w:val="18"/>
                <w:szCs w:val="18"/>
              </w:rPr>
            </w:pPr>
          </w:p>
        </w:tc>
      </w:tr>
      <w:tr w14:paraId="0594D46E">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F97027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F45885C">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398D0D0F">
            <w:pPr>
              <w:jc w:val="center"/>
            </w:pPr>
            <w:r>
              <w:rPr>
                <w:rFonts w:ascii="宋体" w:hAnsi="宋体"/>
                <w:sz w:val="18"/>
              </w:rPr>
              <w:t>25.60</w:t>
            </w:r>
          </w:p>
        </w:tc>
        <w:tc>
          <w:tcPr>
            <w:tcW w:w="1276" w:type="dxa"/>
            <w:tcBorders>
              <w:top w:val="nil"/>
              <w:left w:val="nil"/>
              <w:bottom w:val="single" w:color="auto" w:sz="4" w:space="0"/>
              <w:right w:val="single" w:color="auto" w:sz="4" w:space="0"/>
            </w:tcBorders>
            <w:shd w:val="clear" w:color="auto" w:fill="auto"/>
            <w:vAlign w:val="center"/>
          </w:tcPr>
          <w:p w14:paraId="733AD7E8">
            <w:pPr>
              <w:jc w:val="center"/>
            </w:pPr>
            <w:r>
              <w:rPr>
                <w:rFonts w:ascii="宋体" w:hAnsi="宋体"/>
                <w:sz w:val="18"/>
              </w:rPr>
              <w:t>24.34</w:t>
            </w:r>
          </w:p>
        </w:tc>
        <w:tc>
          <w:tcPr>
            <w:tcW w:w="1701" w:type="dxa"/>
            <w:tcBorders>
              <w:top w:val="nil"/>
              <w:left w:val="nil"/>
              <w:bottom w:val="single" w:color="auto" w:sz="4" w:space="0"/>
              <w:right w:val="single" w:color="auto" w:sz="4" w:space="0"/>
            </w:tcBorders>
            <w:shd w:val="clear" w:color="auto" w:fill="auto"/>
            <w:vAlign w:val="center"/>
          </w:tcPr>
          <w:p w14:paraId="3379C8DB">
            <w:pPr>
              <w:jc w:val="center"/>
            </w:pPr>
            <w:r>
              <w:rPr>
                <w:rFonts w:ascii="宋体" w:hAnsi="宋体"/>
                <w:sz w:val="18"/>
              </w:rPr>
              <w:t>24.34</w:t>
            </w:r>
          </w:p>
        </w:tc>
        <w:tc>
          <w:tcPr>
            <w:tcW w:w="1134" w:type="dxa"/>
            <w:tcBorders>
              <w:top w:val="nil"/>
              <w:left w:val="nil"/>
              <w:bottom w:val="single" w:color="auto" w:sz="4" w:space="0"/>
              <w:right w:val="single" w:color="auto" w:sz="4" w:space="0"/>
            </w:tcBorders>
            <w:shd w:val="clear" w:color="auto" w:fill="auto"/>
            <w:vAlign w:val="center"/>
          </w:tcPr>
          <w:p w14:paraId="621B50D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CF9862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B9B45A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ECCE5B3">
            <w:pPr>
              <w:widowControl/>
              <w:jc w:val="center"/>
              <w:rPr>
                <w:rFonts w:hint="eastAsia" w:ascii="宋体" w:hAnsi="宋体" w:cs="宋体"/>
                <w:kern w:val="0"/>
                <w:sz w:val="18"/>
                <w:szCs w:val="18"/>
              </w:rPr>
            </w:pPr>
          </w:p>
        </w:tc>
      </w:tr>
      <w:tr w14:paraId="17D6361F">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9A62F9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77D87F5">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65D58763">
            <w:pPr>
              <w:jc w:val="center"/>
            </w:pPr>
            <w:r>
              <w:rPr>
                <w:rFonts w:ascii="宋体" w:hAnsi="宋体"/>
                <w:sz w:val="18"/>
              </w:rPr>
              <w:t>752.32</w:t>
            </w:r>
          </w:p>
        </w:tc>
        <w:tc>
          <w:tcPr>
            <w:tcW w:w="1276" w:type="dxa"/>
            <w:tcBorders>
              <w:top w:val="nil"/>
              <w:left w:val="nil"/>
              <w:bottom w:val="single" w:color="auto" w:sz="4" w:space="0"/>
              <w:right w:val="single" w:color="auto" w:sz="4" w:space="0"/>
            </w:tcBorders>
            <w:shd w:val="clear" w:color="auto" w:fill="auto"/>
            <w:vAlign w:val="center"/>
          </w:tcPr>
          <w:p w14:paraId="4BB7C272">
            <w:pPr>
              <w:jc w:val="center"/>
            </w:pPr>
            <w:r>
              <w:rPr>
                <w:rFonts w:ascii="宋体" w:hAnsi="宋体"/>
                <w:sz w:val="18"/>
              </w:rPr>
              <w:t>789.80</w:t>
            </w:r>
          </w:p>
        </w:tc>
        <w:tc>
          <w:tcPr>
            <w:tcW w:w="1701" w:type="dxa"/>
            <w:tcBorders>
              <w:top w:val="nil"/>
              <w:left w:val="nil"/>
              <w:bottom w:val="single" w:color="auto" w:sz="4" w:space="0"/>
              <w:right w:val="single" w:color="auto" w:sz="4" w:space="0"/>
            </w:tcBorders>
            <w:shd w:val="clear" w:color="auto" w:fill="auto"/>
            <w:vAlign w:val="center"/>
          </w:tcPr>
          <w:p w14:paraId="63AB7551">
            <w:pPr>
              <w:jc w:val="center"/>
            </w:pPr>
            <w:r>
              <w:rPr>
                <w:rFonts w:ascii="宋体" w:hAnsi="宋体"/>
                <w:sz w:val="18"/>
              </w:rPr>
              <w:t>789.80</w:t>
            </w:r>
          </w:p>
        </w:tc>
        <w:tc>
          <w:tcPr>
            <w:tcW w:w="1134" w:type="dxa"/>
            <w:tcBorders>
              <w:top w:val="nil"/>
              <w:left w:val="nil"/>
              <w:bottom w:val="single" w:color="auto" w:sz="4" w:space="0"/>
              <w:right w:val="single" w:color="auto" w:sz="4" w:space="0"/>
            </w:tcBorders>
            <w:shd w:val="clear" w:color="auto" w:fill="auto"/>
            <w:vAlign w:val="center"/>
          </w:tcPr>
          <w:p w14:paraId="43C07F7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AE6C64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252828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265D62D">
            <w:pPr>
              <w:widowControl/>
              <w:jc w:val="center"/>
              <w:rPr>
                <w:rFonts w:hint="eastAsia" w:ascii="宋体" w:hAnsi="宋体" w:cs="宋体"/>
                <w:kern w:val="0"/>
                <w:sz w:val="18"/>
                <w:szCs w:val="18"/>
              </w:rPr>
            </w:pPr>
          </w:p>
        </w:tc>
      </w:tr>
      <w:tr w14:paraId="044151BD">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E6F877">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2AD6B65D">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0A1ECC0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5A86E663">
            <w:pPr>
              <w:widowControl/>
              <w:jc w:val="left"/>
              <w:rPr>
                <w:rFonts w:hint="eastAsia" w:ascii="宋体" w:hAnsi="宋体" w:cs="宋体"/>
                <w:b/>
                <w:bCs/>
                <w:kern w:val="0"/>
                <w:sz w:val="18"/>
                <w:szCs w:val="18"/>
              </w:rPr>
            </w:pPr>
          </w:p>
        </w:tc>
      </w:tr>
      <w:tr w14:paraId="416AF9D4">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E9771B">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0F8B3089">
            <w:pPr>
              <w:jc w:val="left"/>
            </w:pPr>
            <w:r>
              <w:rPr>
                <w:rFonts w:ascii="宋体" w:hAnsi="宋体"/>
                <w:sz w:val="18"/>
              </w:rPr>
              <w:t>目标1：坚决贯彻落实自治区党委工作部署和州、县党委工作要求，坚持正确监督、有效监督相统一。目标2：健全完善代表意见建议受理、转办、督办、落实、答复工作机制，规范意见建议办理工作，使人民群众的合理诉求得到积极回应。</w:t>
            </w:r>
          </w:p>
        </w:tc>
        <w:tc>
          <w:tcPr>
            <w:tcW w:w="4547" w:type="dxa"/>
            <w:gridSpan w:val="4"/>
            <w:tcBorders>
              <w:top w:val="single" w:color="auto" w:sz="4" w:space="0"/>
              <w:left w:val="nil"/>
              <w:bottom w:val="single" w:color="auto" w:sz="4" w:space="0"/>
              <w:right w:val="single" w:color="auto" w:sz="4" w:space="0"/>
            </w:tcBorders>
            <w:shd w:val="clear" w:color="auto" w:fill="auto"/>
          </w:tcPr>
          <w:p w14:paraId="69D1B68F">
            <w:pPr>
              <w:jc w:val="left"/>
            </w:pPr>
            <w:r>
              <w:rPr>
                <w:rFonts w:ascii="宋体" w:hAnsi="宋体"/>
                <w:sz w:val="18"/>
              </w:rPr>
              <w:t>人大常委会始终坚持党对人大工作的全面领导，坚决贯彻落实自治区党委工作部署和州、县党委工作要求。全年召开常委会会议8次，开展专题调研活动5次，调研任务完成率100%，圆满完成了各项工作任务。</w:t>
            </w:r>
          </w:p>
        </w:tc>
        <w:tc>
          <w:tcPr>
            <w:tcW w:w="284" w:type="dxa"/>
            <w:tcBorders>
              <w:top w:val="nil"/>
              <w:left w:val="nil"/>
              <w:bottom w:val="nil"/>
              <w:right w:val="nil"/>
            </w:tcBorders>
            <w:shd w:val="clear" w:color="auto" w:fill="auto"/>
            <w:noWrap/>
            <w:vAlign w:val="center"/>
          </w:tcPr>
          <w:p w14:paraId="2D556E08">
            <w:pPr>
              <w:widowControl/>
              <w:jc w:val="left"/>
              <w:rPr>
                <w:rFonts w:hint="eastAsia" w:ascii="宋体" w:hAnsi="宋体" w:cs="宋体"/>
                <w:kern w:val="0"/>
                <w:sz w:val="18"/>
                <w:szCs w:val="18"/>
              </w:rPr>
            </w:pPr>
          </w:p>
        </w:tc>
      </w:tr>
      <w:tr w14:paraId="24F2C25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FFF1A73">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38A67EDA">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665D3933">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216848B9">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38BAA9F7">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6C172A8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4FC6F639">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1EE0D4AE">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24BE73C">
            <w:pPr>
              <w:widowControl/>
              <w:jc w:val="left"/>
              <w:rPr>
                <w:rFonts w:hint="eastAsia" w:ascii="宋体" w:hAnsi="宋体" w:cs="宋体"/>
                <w:b/>
                <w:bCs/>
                <w:kern w:val="0"/>
                <w:sz w:val="18"/>
                <w:szCs w:val="18"/>
              </w:rPr>
            </w:pPr>
          </w:p>
        </w:tc>
      </w:tr>
      <w:tr w14:paraId="6BF074AA">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0163968">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3FA50E4B">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3A221FF9">
            <w:pPr>
              <w:jc w:val="center"/>
            </w:pPr>
            <w:r>
              <w:rPr>
                <w:rFonts w:ascii="宋体" w:hAnsi="宋体"/>
                <w:sz w:val="18"/>
              </w:rPr>
              <w:t>常委会召开数量</w:t>
            </w:r>
          </w:p>
        </w:tc>
        <w:tc>
          <w:tcPr>
            <w:tcW w:w="1276" w:type="dxa"/>
            <w:tcBorders>
              <w:top w:val="nil"/>
              <w:left w:val="nil"/>
              <w:bottom w:val="single" w:color="auto" w:sz="4" w:space="0"/>
              <w:right w:val="single" w:color="auto" w:sz="4" w:space="0"/>
            </w:tcBorders>
            <w:shd w:val="clear" w:color="auto" w:fill="auto"/>
            <w:noWrap/>
            <w:vAlign w:val="center"/>
          </w:tcPr>
          <w:p w14:paraId="4A316D4C">
            <w:pPr>
              <w:jc w:val="center"/>
            </w:pPr>
            <w:r>
              <w:rPr>
                <w:rFonts w:ascii="宋体" w:hAnsi="宋体"/>
                <w:sz w:val="18"/>
              </w:rPr>
              <w:t>&gt;=6次</w:t>
            </w:r>
          </w:p>
        </w:tc>
        <w:tc>
          <w:tcPr>
            <w:tcW w:w="1701" w:type="dxa"/>
            <w:tcBorders>
              <w:top w:val="nil"/>
              <w:left w:val="nil"/>
              <w:bottom w:val="single" w:color="auto" w:sz="4" w:space="0"/>
              <w:right w:val="single" w:color="auto" w:sz="4" w:space="0"/>
            </w:tcBorders>
            <w:shd w:val="clear" w:color="auto" w:fill="auto"/>
            <w:noWrap/>
            <w:vAlign w:val="center"/>
          </w:tcPr>
          <w:p w14:paraId="653ACE47">
            <w:pPr>
              <w:jc w:val="center"/>
            </w:pPr>
            <w:r>
              <w:rPr>
                <w:rFonts w:ascii="宋体" w:hAnsi="宋体"/>
                <w:sz w:val="18"/>
              </w:rPr>
              <w:t>奇台县人大常委会2023年工作要</w:t>
            </w:r>
          </w:p>
        </w:tc>
        <w:tc>
          <w:tcPr>
            <w:tcW w:w="1134" w:type="dxa"/>
            <w:tcBorders>
              <w:top w:val="nil"/>
              <w:left w:val="nil"/>
              <w:bottom w:val="single" w:color="auto" w:sz="4" w:space="0"/>
              <w:right w:val="single" w:color="auto" w:sz="4" w:space="0"/>
            </w:tcBorders>
            <w:shd w:val="clear" w:color="auto" w:fill="auto"/>
            <w:noWrap/>
            <w:vAlign w:val="center"/>
          </w:tcPr>
          <w:p w14:paraId="1C08798C">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0C2BBE17">
            <w:pPr>
              <w:jc w:val="center"/>
            </w:pPr>
            <w:r>
              <w:rPr>
                <w:rFonts w:ascii="宋体" w:hAnsi="宋体"/>
                <w:sz w:val="18"/>
              </w:rPr>
              <w:t>8次</w:t>
            </w:r>
          </w:p>
        </w:tc>
        <w:tc>
          <w:tcPr>
            <w:tcW w:w="720" w:type="dxa"/>
            <w:tcBorders>
              <w:top w:val="nil"/>
              <w:left w:val="nil"/>
              <w:bottom w:val="single" w:color="auto" w:sz="4" w:space="0"/>
              <w:right w:val="single" w:color="auto" w:sz="4" w:space="0"/>
            </w:tcBorders>
            <w:shd w:val="clear" w:color="auto" w:fill="auto"/>
            <w:noWrap/>
            <w:vAlign w:val="center"/>
          </w:tcPr>
          <w:p w14:paraId="05281DC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F09F45D">
            <w:pPr>
              <w:widowControl/>
              <w:jc w:val="center"/>
              <w:rPr>
                <w:rFonts w:hint="eastAsia" w:ascii="宋体" w:hAnsi="宋体" w:cs="宋体"/>
                <w:kern w:val="0"/>
                <w:sz w:val="18"/>
                <w:szCs w:val="18"/>
              </w:rPr>
            </w:pPr>
          </w:p>
        </w:tc>
      </w:tr>
      <w:tr w14:paraId="0759B1E3">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2B898B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EC7812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6B31C8C">
            <w:pPr>
              <w:jc w:val="center"/>
            </w:pPr>
            <w:r>
              <w:rPr>
                <w:rFonts w:ascii="宋体" w:hAnsi="宋体"/>
                <w:sz w:val="18"/>
              </w:rPr>
              <w:t>组织参观调研活动次数</w:t>
            </w:r>
          </w:p>
        </w:tc>
        <w:tc>
          <w:tcPr>
            <w:tcW w:w="1276" w:type="dxa"/>
            <w:tcBorders>
              <w:top w:val="nil"/>
              <w:left w:val="nil"/>
              <w:bottom w:val="single" w:color="auto" w:sz="4" w:space="0"/>
              <w:right w:val="single" w:color="auto" w:sz="4" w:space="0"/>
            </w:tcBorders>
            <w:shd w:val="clear" w:color="auto" w:fill="auto"/>
            <w:noWrap/>
            <w:vAlign w:val="center"/>
          </w:tcPr>
          <w:p w14:paraId="605B142E">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21220314">
            <w:pPr>
              <w:jc w:val="center"/>
            </w:pPr>
            <w:r>
              <w:rPr>
                <w:rFonts w:ascii="宋体" w:hAnsi="宋体"/>
                <w:sz w:val="18"/>
              </w:rPr>
              <w:t>奇台县人大常委会2023年工作要点</w:t>
            </w:r>
          </w:p>
        </w:tc>
        <w:tc>
          <w:tcPr>
            <w:tcW w:w="1134" w:type="dxa"/>
            <w:tcBorders>
              <w:top w:val="nil"/>
              <w:left w:val="nil"/>
              <w:bottom w:val="single" w:color="auto" w:sz="4" w:space="0"/>
              <w:right w:val="single" w:color="auto" w:sz="4" w:space="0"/>
            </w:tcBorders>
            <w:shd w:val="clear" w:color="auto" w:fill="auto"/>
            <w:noWrap/>
            <w:vAlign w:val="center"/>
          </w:tcPr>
          <w:p w14:paraId="30DCCBFE">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218A8BD1">
            <w:pPr>
              <w:jc w:val="center"/>
            </w:pPr>
            <w:r>
              <w:rPr>
                <w:rFonts w:ascii="宋体" w:hAnsi="宋体"/>
                <w:sz w:val="18"/>
              </w:rPr>
              <w:t>5次</w:t>
            </w:r>
          </w:p>
        </w:tc>
        <w:tc>
          <w:tcPr>
            <w:tcW w:w="720" w:type="dxa"/>
            <w:tcBorders>
              <w:top w:val="nil"/>
              <w:left w:val="nil"/>
              <w:bottom w:val="single" w:color="auto" w:sz="4" w:space="0"/>
              <w:right w:val="single" w:color="auto" w:sz="4" w:space="0"/>
            </w:tcBorders>
            <w:shd w:val="clear" w:color="auto" w:fill="auto"/>
            <w:noWrap/>
            <w:vAlign w:val="center"/>
          </w:tcPr>
          <w:p w14:paraId="5B22A1C6">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AA50265">
            <w:pPr>
              <w:widowControl/>
              <w:jc w:val="center"/>
              <w:rPr>
                <w:rFonts w:hint="eastAsia" w:ascii="宋体" w:hAnsi="宋体" w:cs="宋体"/>
                <w:kern w:val="0"/>
                <w:sz w:val="18"/>
                <w:szCs w:val="18"/>
              </w:rPr>
            </w:pPr>
          </w:p>
        </w:tc>
      </w:tr>
      <w:tr w14:paraId="266DE149">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70A1919">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971A06E">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17249FB0">
            <w:pPr>
              <w:jc w:val="center"/>
            </w:pPr>
            <w:r>
              <w:rPr>
                <w:rFonts w:ascii="宋体" w:hAnsi="宋体"/>
                <w:sz w:val="18"/>
              </w:rPr>
              <w:t>调研任务完成率</w:t>
            </w:r>
          </w:p>
        </w:tc>
        <w:tc>
          <w:tcPr>
            <w:tcW w:w="1276" w:type="dxa"/>
            <w:tcBorders>
              <w:top w:val="nil"/>
              <w:left w:val="nil"/>
              <w:bottom w:val="single" w:color="auto" w:sz="4" w:space="0"/>
              <w:right w:val="single" w:color="auto" w:sz="4" w:space="0"/>
            </w:tcBorders>
            <w:shd w:val="clear" w:color="auto" w:fill="auto"/>
            <w:noWrap/>
            <w:vAlign w:val="center"/>
          </w:tcPr>
          <w:p w14:paraId="730EE300">
            <w:pPr>
              <w:jc w:val="center"/>
            </w:pPr>
            <w:r>
              <w:rPr>
                <w:rFonts w:ascii="宋体" w:hAnsi="宋体"/>
                <w:sz w:val="18"/>
              </w:rPr>
              <w:t>=100%</w:t>
            </w:r>
          </w:p>
        </w:tc>
        <w:tc>
          <w:tcPr>
            <w:tcW w:w="1701" w:type="dxa"/>
            <w:tcBorders>
              <w:top w:val="nil"/>
              <w:left w:val="nil"/>
              <w:bottom w:val="single" w:color="auto" w:sz="4" w:space="0"/>
              <w:right w:val="single" w:color="auto" w:sz="4" w:space="0"/>
            </w:tcBorders>
            <w:shd w:val="clear" w:color="auto" w:fill="auto"/>
            <w:noWrap/>
            <w:vAlign w:val="center"/>
          </w:tcPr>
          <w:p w14:paraId="1D275C75">
            <w:pPr>
              <w:jc w:val="center"/>
            </w:pPr>
            <w:r>
              <w:rPr>
                <w:rFonts w:ascii="宋体" w:hAnsi="宋体"/>
                <w:sz w:val="18"/>
              </w:rPr>
              <w:t>奇台县人大常委会2023年工作要点</w:t>
            </w:r>
          </w:p>
        </w:tc>
        <w:tc>
          <w:tcPr>
            <w:tcW w:w="1134" w:type="dxa"/>
            <w:tcBorders>
              <w:top w:val="nil"/>
              <w:left w:val="nil"/>
              <w:bottom w:val="single" w:color="auto" w:sz="4" w:space="0"/>
              <w:right w:val="single" w:color="auto" w:sz="4" w:space="0"/>
            </w:tcBorders>
            <w:shd w:val="clear" w:color="auto" w:fill="auto"/>
            <w:noWrap/>
            <w:vAlign w:val="center"/>
          </w:tcPr>
          <w:p w14:paraId="0A12A5E3">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08729D7B">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30102B0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74ED5D2">
            <w:pPr>
              <w:widowControl/>
              <w:jc w:val="center"/>
              <w:rPr>
                <w:rFonts w:hint="eastAsia" w:ascii="宋体" w:hAnsi="宋体" w:cs="宋体"/>
                <w:kern w:val="0"/>
                <w:sz w:val="18"/>
                <w:szCs w:val="18"/>
              </w:rPr>
            </w:pPr>
          </w:p>
        </w:tc>
      </w:tr>
    </w:tbl>
    <w:p w14:paraId="60687B12">
      <w:pPr>
        <w:jc w:val="center"/>
        <w:rPr>
          <w:rFonts w:hint="eastAsia" w:ascii="宋体" w:hAnsi="宋体" w:cs="宋体"/>
          <w:b/>
          <w:bCs/>
          <w:kern w:val="0"/>
          <w:sz w:val="28"/>
          <w:szCs w:val="28"/>
        </w:rPr>
      </w:pPr>
    </w:p>
    <w:p w14:paraId="23463B4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85DEA0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C8DF88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5E85F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E96DC4A">
            <w:pPr>
              <w:jc w:val="center"/>
            </w:pPr>
            <w:r>
              <w:rPr>
                <w:rFonts w:ascii="宋体" w:hAnsi="宋体"/>
                <w:sz w:val="18"/>
              </w:rPr>
              <w:t>2023年人大代表活动经费</w:t>
            </w:r>
          </w:p>
        </w:tc>
      </w:tr>
      <w:tr w14:paraId="25BA1E9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D83E6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583DE490">
            <w:pPr>
              <w:jc w:val="center"/>
            </w:pPr>
            <w:r>
              <w:rPr>
                <w:rFonts w:ascii="宋体" w:hAnsi="宋体"/>
                <w:sz w:val="18"/>
              </w:rPr>
              <w:t>奇台县人民代表大会常务委员会</w:t>
            </w:r>
          </w:p>
        </w:tc>
        <w:tc>
          <w:tcPr>
            <w:tcW w:w="1275" w:type="dxa"/>
            <w:gridSpan w:val="2"/>
            <w:tcBorders>
              <w:top w:val="nil"/>
              <w:left w:val="nil"/>
              <w:bottom w:val="single" w:color="auto" w:sz="4" w:space="0"/>
              <w:right w:val="single" w:color="000000" w:sz="4" w:space="0"/>
            </w:tcBorders>
            <w:shd w:val="clear" w:color="auto" w:fill="auto"/>
            <w:vAlign w:val="center"/>
          </w:tcPr>
          <w:p w14:paraId="59764E7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AAC0EA2">
            <w:pPr>
              <w:jc w:val="center"/>
            </w:pPr>
            <w:r>
              <w:rPr>
                <w:rFonts w:ascii="宋体" w:hAnsi="宋体"/>
                <w:sz w:val="18"/>
              </w:rPr>
              <w:t>奇台县人民代表大会常务委员会</w:t>
            </w:r>
          </w:p>
        </w:tc>
      </w:tr>
      <w:tr w14:paraId="1AE2F31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335F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E7FA0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770B3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9B027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5E1B4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EE037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ACCEF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30391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B75779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94358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D698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AA4FDCE">
            <w:pPr>
              <w:jc w:val="center"/>
            </w:pPr>
            <w:r>
              <w:rPr>
                <w:rFonts w:ascii="宋体" w:hAnsi="宋体"/>
                <w:sz w:val="18"/>
              </w:rPr>
              <w:t>10.14</w:t>
            </w:r>
          </w:p>
        </w:tc>
        <w:tc>
          <w:tcPr>
            <w:tcW w:w="1125" w:type="dxa"/>
            <w:tcBorders>
              <w:top w:val="nil"/>
              <w:left w:val="nil"/>
              <w:bottom w:val="single" w:color="auto" w:sz="4" w:space="0"/>
              <w:right w:val="single" w:color="auto" w:sz="4" w:space="0"/>
            </w:tcBorders>
            <w:shd w:val="clear" w:color="auto" w:fill="auto"/>
            <w:noWrap/>
            <w:vAlign w:val="center"/>
          </w:tcPr>
          <w:p w14:paraId="46A98E1E">
            <w:pPr>
              <w:jc w:val="center"/>
            </w:pPr>
            <w:r>
              <w:rPr>
                <w:rFonts w:ascii="宋体" w:hAnsi="宋体"/>
                <w:sz w:val="18"/>
              </w:rPr>
              <w:t>10.14</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1BDFD45">
            <w:pPr>
              <w:jc w:val="center"/>
            </w:pPr>
            <w:r>
              <w:rPr>
                <w:rFonts w:ascii="宋体" w:hAnsi="宋体"/>
                <w:sz w:val="18"/>
              </w:rPr>
              <w:t>10.14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0AA413F">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E95C70F">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30254A2">
            <w:pPr>
              <w:jc w:val="center"/>
            </w:pPr>
            <w:r>
              <w:rPr>
                <w:rFonts w:ascii="宋体" w:hAnsi="宋体"/>
                <w:sz w:val="18"/>
              </w:rPr>
              <w:t>10.00</w:t>
            </w:r>
          </w:p>
        </w:tc>
      </w:tr>
      <w:tr w14:paraId="51B7472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7979D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4386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09220FE">
            <w:pPr>
              <w:jc w:val="center"/>
            </w:pPr>
            <w:r>
              <w:rPr>
                <w:rFonts w:ascii="宋体" w:hAnsi="宋体"/>
                <w:sz w:val="18"/>
              </w:rPr>
              <w:t>10.14</w:t>
            </w:r>
          </w:p>
        </w:tc>
        <w:tc>
          <w:tcPr>
            <w:tcW w:w="1125" w:type="dxa"/>
            <w:tcBorders>
              <w:top w:val="nil"/>
              <w:left w:val="nil"/>
              <w:bottom w:val="single" w:color="auto" w:sz="4" w:space="0"/>
              <w:right w:val="single" w:color="auto" w:sz="4" w:space="0"/>
            </w:tcBorders>
            <w:shd w:val="clear" w:color="auto" w:fill="auto"/>
            <w:noWrap/>
            <w:vAlign w:val="center"/>
          </w:tcPr>
          <w:p w14:paraId="11088612">
            <w:pPr>
              <w:jc w:val="center"/>
            </w:pPr>
            <w:r>
              <w:rPr>
                <w:rFonts w:ascii="宋体" w:hAnsi="宋体"/>
                <w:sz w:val="18"/>
              </w:rPr>
              <w:t>10.14</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F0C2A32">
            <w:pPr>
              <w:jc w:val="center"/>
            </w:pPr>
            <w:r>
              <w:rPr>
                <w:rFonts w:ascii="宋体" w:hAnsi="宋体"/>
                <w:sz w:val="18"/>
              </w:rPr>
              <w:t>10.14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0BB88D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57DA7A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0957BB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C584D0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32C90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566A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03AFF0C">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32574EF8">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A7D513D">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4A2868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A0EA1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E4B5D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5C0DB2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8F6A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2E6EE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05EF3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9D89DC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2A57F3B">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20EB626">
            <w:pPr>
              <w:jc w:val="left"/>
            </w:pPr>
            <w:r>
              <w:rPr>
                <w:rFonts w:ascii="宋体" w:hAnsi="宋体"/>
                <w:sz w:val="18"/>
              </w:rPr>
              <w:t>本项目拟投入10.14万元用于州人大代表经费，主要建设（实施）内容为：用于州人大代表正常开展三查（察）活动。确保州人大代表参加三查（察）活动次数》=2次，州人大代表出勤率》=90%，州人大代表开展三查（察）活动出情率》=90%，人大代表参会及时率》=98%，州人大代表开展三查（察）活动及时率》=98%，保证“一府一委两院”依法行政》=95%，群众对人大代表履行职责满意度》=98%。</w:t>
            </w:r>
          </w:p>
        </w:tc>
        <w:tc>
          <w:tcPr>
            <w:tcW w:w="4677" w:type="dxa"/>
            <w:gridSpan w:val="7"/>
            <w:tcBorders>
              <w:top w:val="single" w:color="auto" w:sz="4" w:space="0"/>
              <w:left w:val="nil"/>
              <w:bottom w:val="single" w:color="auto" w:sz="4" w:space="0"/>
              <w:right w:val="single" w:color="000000" w:sz="4" w:space="0"/>
            </w:tcBorders>
            <w:shd w:val="clear" w:color="auto" w:fill="auto"/>
          </w:tcPr>
          <w:p w14:paraId="396EC717">
            <w:pPr>
              <w:jc w:val="left"/>
            </w:pPr>
            <w:r>
              <w:rPr>
                <w:rFonts w:ascii="宋体" w:hAnsi="宋体"/>
                <w:sz w:val="18"/>
              </w:rPr>
              <w:t>本项目拟投入10.14万元用于州人大代表经费，主要建设（实施）内容为：用于州人大代表正常开展三查（察）活动。确保州人大代表参加三查（察）活动次数》=2次，州人大代表出勤率》=90%，州人大代表开展三查（察）活动出情率》=90%，人大代表参会及时率》=98%，州人大代表开展三查（察）活动及时率》=98%，保证“一府一委两院”依法行政》=95%，群众对人大代表履行职责满意度》=98%。</w:t>
            </w:r>
          </w:p>
        </w:tc>
      </w:tr>
      <w:tr w14:paraId="5B545CE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62A1F7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90593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5F8D1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86E4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30BA6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0EE79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C073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2509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0DA21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191C1A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E7C377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E69E47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F6EA79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31EFC3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6BF30C2">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FBE6DB4">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783432B">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1B4ABFA">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B366A1D">
            <w:pPr>
              <w:widowControl/>
              <w:jc w:val="left"/>
              <w:rPr>
                <w:rFonts w:hint="eastAsia" w:ascii="宋体" w:hAnsi="宋体" w:cs="宋体"/>
                <w:color w:val="000000"/>
                <w:kern w:val="0"/>
                <w:sz w:val="18"/>
                <w:szCs w:val="18"/>
              </w:rPr>
            </w:pPr>
          </w:p>
        </w:tc>
      </w:tr>
      <w:tr w14:paraId="64D0ECE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FBE61A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5B542F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5D7154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596326">
            <w:pPr>
              <w:jc w:val="center"/>
            </w:pPr>
            <w:r>
              <w:rPr>
                <w:rFonts w:ascii="宋体" w:hAnsi="宋体"/>
                <w:sz w:val="18"/>
              </w:rPr>
              <w:t>州人大代表总人数</w:t>
            </w:r>
          </w:p>
        </w:tc>
        <w:tc>
          <w:tcPr>
            <w:tcW w:w="1125" w:type="dxa"/>
            <w:tcBorders>
              <w:top w:val="nil"/>
              <w:left w:val="nil"/>
              <w:bottom w:val="single" w:color="auto" w:sz="4" w:space="0"/>
              <w:right w:val="single" w:color="auto" w:sz="4" w:space="0"/>
            </w:tcBorders>
            <w:shd w:val="clear" w:color="auto" w:fill="auto"/>
            <w:vAlign w:val="center"/>
          </w:tcPr>
          <w:p w14:paraId="7B3D6E69">
            <w:pPr>
              <w:jc w:val="center"/>
            </w:pPr>
            <w:r>
              <w:rPr>
                <w:rFonts w:ascii="宋体" w:hAnsi="宋体"/>
                <w:sz w:val="18"/>
              </w:rPr>
              <w:t>=48人</w:t>
            </w:r>
          </w:p>
        </w:tc>
        <w:tc>
          <w:tcPr>
            <w:tcW w:w="1229" w:type="dxa"/>
            <w:tcBorders>
              <w:top w:val="nil"/>
              <w:left w:val="nil"/>
              <w:bottom w:val="single" w:color="auto" w:sz="4" w:space="0"/>
              <w:right w:val="single" w:color="auto" w:sz="4" w:space="0"/>
            </w:tcBorders>
            <w:shd w:val="clear" w:color="auto" w:fill="auto"/>
            <w:vAlign w:val="center"/>
          </w:tcPr>
          <w:p w14:paraId="7EC1A887">
            <w:pPr>
              <w:jc w:val="center"/>
            </w:pPr>
            <w:r>
              <w:rPr>
                <w:rFonts w:ascii="宋体" w:hAnsi="宋体"/>
                <w:sz w:val="18"/>
              </w:rPr>
              <w:t>=48人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66B42F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BF41A2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E9C14A6">
            <w:pPr>
              <w:jc w:val="center"/>
            </w:pPr>
          </w:p>
        </w:tc>
      </w:tr>
      <w:tr w14:paraId="386EAF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1D80D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E5461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2BE0BB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D32F09">
            <w:pPr>
              <w:jc w:val="center"/>
            </w:pPr>
            <w:r>
              <w:rPr>
                <w:rFonts w:ascii="宋体" w:hAnsi="宋体"/>
                <w:sz w:val="18"/>
              </w:rPr>
              <w:t>州人大代表参加三查“察”活动次数</w:t>
            </w:r>
          </w:p>
        </w:tc>
        <w:tc>
          <w:tcPr>
            <w:tcW w:w="1125" w:type="dxa"/>
            <w:tcBorders>
              <w:top w:val="nil"/>
              <w:left w:val="nil"/>
              <w:bottom w:val="single" w:color="auto" w:sz="4" w:space="0"/>
              <w:right w:val="single" w:color="auto" w:sz="4" w:space="0"/>
            </w:tcBorders>
            <w:shd w:val="clear" w:color="auto" w:fill="auto"/>
            <w:vAlign w:val="center"/>
          </w:tcPr>
          <w:p w14:paraId="43C04CC7">
            <w:pPr>
              <w:jc w:val="center"/>
            </w:pPr>
            <w:r>
              <w:rPr>
                <w:rFonts w:ascii="宋体" w:hAnsi="宋体"/>
                <w:sz w:val="18"/>
              </w:rPr>
              <w:t>&gt;=2次</w:t>
            </w:r>
          </w:p>
        </w:tc>
        <w:tc>
          <w:tcPr>
            <w:tcW w:w="1229" w:type="dxa"/>
            <w:tcBorders>
              <w:top w:val="nil"/>
              <w:left w:val="nil"/>
              <w:bottom w:val="single" w:color="auto" w:sz="4" w:space="0"/>
              <w:right w:val="single" w:color="auto" w:sz="4" w:space="0"/>
            </w:tcBorders>
            <w:shd w:val="clear" w:color="auto" w:fill="auto"/>
            <w:vAlign w:val="center"/>
          </w:tcPr>
          <w:p w14:paraId="434E4655">
            <w:pPr>
              <w:jc w:val="center"/>
            </w:pPr>
            <w:r>
              <w:rPr>
                <w:rFonts w:ascii="宋体" w:hAnsi="宋体"/>
                <w:sz w:val="18"/>
              </w:rPr>
              <w:t>=2次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CED152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E505C3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BEDAF67">
            <w:pPr>
              <w:jc w:val="center"/>
            </w:pPr>
          </w:p>
        </w:tc>
      </w:tr>
      <w:tr w14:paraId="6B8C68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536EB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CBAFD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126600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3F46A9">
            <w:pPr>
              <w:jc w:val="center"/>
            </w:pPr>
            <w:r>
              <w:rPr>
                <w:rFonts w:ascii="宋体" w:hAnsi="宋体"/>
                <w:sz w:val="18"/>
              </w:rPr>
              <w:t>州人大代表出勤率</w:t>
            </w:r>
          </w:p>
        </w:tc>
        <w:tc>
          <w:tcPr>
            <w:tcW w:w="1125" w:type="dxa"/>
            <w:tcBorders>
              <w:top w:val="nil"/>
              <w:left w:val="nil"/>
              <w:bottom w:val="single" w:color="auto" w:sz="4" w:space="0"/>
              <w:right w:val="single" w:color="auto" w:sz="4" w:space="0"/>
            </w:tcBorders>
            <w:shd w:val="clear" w:color="auto" w:fill="auto"/>
            <w:vAlign w:val="center"/>
          </w:tcPr>
          <w:p w14:paraId="6E8691DE">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B96DA19">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39D304">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6610371">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2CDC85D">
            <w:pPr>
              <w:jc w:val="center"/>
            </w:pPr>
          </w:p>
        </w:tc>
      </w:tr>
      <w:tr w14:paraId="45FF63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82C93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6E5B7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B789D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30045B">
            <w:pPr>
              <w:jc w:val="center"/>
            </w:pPr>
            <w:r>
              <w:rPr>
                <w:rFonts w:ascii="宋体" w:hAnsi="宋体"/>
                <w:sz w:val="18"/>
              </w:rPr>
              <w:t>州人大代表开展三查（察）活动出勤率</w:t>
            </w:r>
          </w:p>
        </w:tc>
        <w:tc>
          <w:tcPr>
            <w:tcW w:w="1125" w:type="dxa"/>
            <w:tcBorders>
              <w:top w:val="nil"/>
              <w:left w:val="nil"/>
              <w:bottom w:val="single" w:color="auto" w:sz="4" w:space="0"/>
              <w:right w:val="single" w:color="auto" w:sz="4" w:space="0"/>
            </w:tcBorders>
            <w:shd w:val="clear" w:color="auto" w:fill="auto"/>
            <w:vAlign w:val="center"/>
          </w:tcPr>
          <w:p w14:paraId="0523C538">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4851A4A0">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F255933">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6DBF9E1">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0E0C6C">
            <w:pPr>
              <w:jc w:val="center"/>
            </w:pPr>
          </w:p>
        </w:tc>
      </w:tr>
      <w:tr w14:paraId="281F23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933E8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8D36C4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EED87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F2DE76">
            <w:pPr>
              <w:jc w:val="center"/>
            </w:pPr>
            <w:r>
              <w:rPr>
                <w:rFonts w:ascii="宋体" w:hAnsi="宋体"/>
                <w:sz w:val="18"/>
              </w:rPr>
              <w:t>人大代表参会及时率</w:t>
            </w:r>
          </w:p>
        </w:tc>
        <w:tc>
          <w:tcPr>
            <w:tcW w:w="1125" w:type="dxa"/>
            <w:tcBorders>
              <w:top w:val="nil"/>
              <w:left w:val="nil"/>
              <w:bottom w:val="single" w:color="auto" w:sz="4" w:space="0"/>
              <w:right w:val="single" w:color="auto" w:sz="4" w:space="0"/>
            </w:tcBorders>
            <w:shd w:val="clear" w:color="auto" w:fill="auto"/>
            <w:vAlign w:val="center"/>
          </w:tcPr>
          <w:p w14:paraId="1A4D4C88">
            <w:pPr>
              <w:jc w:val="center"/>
            </w:pPr>
            <w:r>
              <w:rPr>
                <w:rFonts w:ascii="宋体" w:hAnsi="宋体"/>
                <w:sz w:val="18"/>
              </w:rPr>
              <w:t>&gt;=98%</w:t>
            </w:r>
          </w:p>
        </w:tc>
        <w:tc>
          <w:tcPr>
            <w:tcW w:w="1229" w:type="dxa"/>
            <w:tcBorders>
              <w:top w:val="nil"/>
              <w:left w:val="nil"/>
              <w:bottom w:val="single" w:color="auto" w:sz="4" w:space="0"/>
              <w:right w:val="single" w:color="auto" w:sz="4" w:space="0"/>
            </w:tcBorders>
            <w:shd w:val="clear" w:color="auto" w:fill="auto"/>
            <w:vAlign w:val="center"/>
          </w:tcPr>
          <w:p w14:paraId="227DB3F5">
            <w:pPr>
              <w:jc w:val="center"/>
            </w:pPr>
            <w:r>
              <w:rPr>
                <w:rFonts w:ascii="宋体" w:hAnsi="宋体"/>
                <w:sz w:val="18"/>
              </w:rPr>
              <w:t>=98%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B6D7A78">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2003DD6">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E511854">
            <w:pPr>
              <w:jc w:val="center"/>
            </w:pPr>
          </w:p>
        </w:tc>
      </w:tr>
      <w:tr w14:paraId="2F3E15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9B656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8DB4A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581FC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C88044">
            <w:pPr>
              <w:jc w:val="center"/>
            </w:pPr>
            <w:r>
              <w:rPr>
                <w:rFonts w:ascii="宋体" w:hAnsi="宋体"/>
                <w:sz w:val="18"/>
              </w:rPr>
              <w:t>州人大代表开展三查（察）活动及时率</w:t>
            </w:r>
          </w:p>
        </w:tc>
        <w:tc>
          <w:tcPr>
            <w:tcW w:w="1125" w:type="dxa"/>
            <w:tcBorders>
              <w:top w:val="nil"/>
              <w:left w:val="nil"/>
              <w:bottom w:val="single" w:color="auto" w:sz="4" w:space="0"/>
              <w:right w:val="single" w:color="auto" w:sz="4" w:space="0"/>
            </w:tcBorders>
            <w:shd w:val="clear" w:color="auto" w:fill="auto"/>
            <w:vAlign w:val="center"/>
          </w:tcPr>
          <w:p w14:paraId="79EDA284">
            <w:pPr>
              <w:jc w:val="center"/>
            </w:pPr>
            <w:r>
              <w:rPr>
                <w:rFonts w:ascii="宋体" w:hAnsi="宋体"/>
                <w:sz w:val="18"/>
              </w:rPr>
              <w:t>&gt;=98%</w:t>
            </w:r>
          </w:p>
        </w:tc>
        <w:tc>
          <w:tcPr>
            <w:tcW w:w="1229" w:type="dxa"/>
            <w:tcBorders>
              <w:top w:val="nil"/>
              <w:left w:val="nil"/>
              <w:bottom w:val="single" w:color="auto" w:sz="4" w:space="0"/>
              <w:right w:val="single" w:color="auto" w:sz="4" w:space="0"/>
            </w:tcBorders>
            <w:shd w:val="clear" w:color="auto" w:fill="auto"/>
            <w:vAlign w:val="center"/>
          </w:tcPr>
          <w:p w14:paraId="2C809EDC">
            <w:pPr>
              <w:jc w:val="center"/>
            </w:pPr>
            <w:r>
              <w:rPr>
                <w:rFonts w:ascii="宋体" w:hAnsi="宋体"/>
                <w:sz w:val="18"/>
              </w:rPr>
              <w:t>=98%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D5B2FF8">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E4C12F7">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780475A">
            <w:pPr>
              <w:jc w:val="center"/>
            </w:pPr>
          </w:p>
        </w:tc>
      </w:tr>
      <w:tr w14:paraId="2FB9C4E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C4CB8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7C09A4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2EADA6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C86D24">
            <w:pPr>
              <w:jc w:val="center"/>
            </w:pPr>
            <w:r>
              <w:rPr>
                <w:rFonts w:ascii="宋体" w:hAnsi="宋体"/>
                <w:sz w:val="18"/>
              </w:rPr>
              <w:t>州人大代表活动经费标准</w:t>
            </w:r>
          </w:p>
        </w:tc>
        <w:tc>
          <w:tcPr>
            <w:tcW w:w="1125" w:type="dxa"/>
            <w:tcBorders>
              <w:top w:val="nil"/>
              <w:left w:val="nil"/>
              <w:bottom w:val="single" w:color="auto" w:sz="4" w:space="0"/>
              <w:right w:val="single" w:color="auto" w:sz="4" w:space="0"/>
            </w:tcBorders>
            <w:shd w:val="clear" w:color="auto" w:fill="auto"/>
            <w:vAlign w:val="center"/>
          </w:tcPr>
          <w:p w14:paraId="120FD6DF">
            <w:pPr>
              <w:jc w:val="center"/>
            </w:pPr>
            <w:r>
              <w:rPr>
                <w:rFonts w:ascii="宋体" w:hAnsi="宋体"/>
                <w:sz w:val="18"/>
              </w:rPr>
              <w:t>=0.21万元/人</w:t>
            </w:r>
          </w:p>
        </w:tc>
        <w:tc>
          <w:tcPr>
            <w:tcW w:w="1229" w:type="dxa"/>
            <w:tcBorders>
              <w:top w:val="nil"/>
              <w:left w:val="nil"/>
              <w:bottom w:val="single" w:color="auto" w:sz="4" w:space="0"/>
              <w:right w:val="single" w:color="auto" w:sz="4" w:space="0"/>
            </w:tcBorders>
            <w:shd w:val="clear" w:color="auto" w:fill="auto"/>
            <w:vAlign w:val="center"/>
          </w:tcPr>
          <w:p w14:paraId="04B2E5DC">
            <w:pPr>
              <w:jc w:val="center"/>
            </w:pPr>
            <w:r>
              <w:rPr>
                <w:rFonts w:ascii="宋体" w:hAnsi="宋体"/>
                <w:sz w:val="18"/>
              </w:rPr>
              <w:t>=0.21万元/人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E28C8EA">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DB0A85A">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375B63">
            <w:pPr>
              <w:jc w:val="center"/>
            </w:pPr>
          </w:p>
        </w:tc>
      </w:tr>
      <w:tr w14:paraId="16ACEB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C28C0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682F3C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8CE460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621BC3">
            <w:pPr>
              <w:jc w:val="center"/>
            </w:pPr>
            <w:r>
              <w:rPr>
                <w:rFonts w:ascii="宋体" w:hAnsi="宋体"/>
                <w:sz w:val="18"/>
              </w:rPr>
              <w:t>保证“一府一委两院”依法行政</w:t>
            </w:r>
          </w:p>
        </w:tc>
        <w:tc>
          <w:tcPr>
            <w:tcW w:w="1125" w:type="dxa"/>
            <w:tcBorders>
              <w:top w:val="nil"/>
              <w:left w:val="nil"/>
              <w:bottom w:val="single" w:color="auto" w:sz="4" w:space="0"/>
              <w:right w:val="single" w:color="auto" w:sz="4" w:space="0"/>
            </w:tcBorders>
            <w:shd w:val="clear" w:color="auto" w:fill="auto"/>
            <w:vAlign w:val="center"/>
          </w:tcPr>
          <w:p w14:paraId="5AD00D23">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7A94D6F2">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B06FCF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622B3A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C5291B7">
            <w:pPr>
              <w:jc w:val="center"/>
            </w:pPr>
          </w:p>
        </w:tc>
      </w:tr>
      <w:tr w14:paraId="0A1521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E5AF2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07C98F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705585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1A977B">
            <w:pPr>
              <w:jc w:val="center"/>
            </w:pPr>
            <w:r>
              <w:rPr>
                <w:rFonts w:ascii="宋体" w:hAnsi="宋体"/>
                <w:sz w:val="18"/>
              </w:rPr>
              <w:t>人大代表满意度</w:t>
            </w:r>
          </w:p>
        </w:tc>
        <w:tc>
          <w:tcPr>
            <w:tcW w:w="1125" w:type="dxa"/>
            <w:tcBorders>
              <w:top w:val="nil"/>
              <w:left w:val="nil"/>
              <w:bottom w:val="single" w:color="auto" w:sz="4" w:space="0"/>
              <w:right w:val="single" w:color="auto" w:sz="4" w:space="0"/>
            </w:tcBorders>
            <w:shd w:val="clear" w:color="auto" w:fill="auto"/>
            <w:vAlign w:val="center"/>
          </w:tcPr>
          <w:p w14:paraId="5E324B62">
            <w:pPr>
              <w:jc w:val="center"/>
            </w:pPr>
            <w:r>
              <w:rPr>
                <w:rFonts w:ascii="宋体" w:hAnsi="宋体"/>
                <w:sz w:val="18"/>
              </w:rPr>
              <w:t>&gt;=98%</w:t>
            </w:r>
          </w:p>
        </w:tc>
        <w:tc>
          <w:tcPr>
            <w:tcW w:w="1229" w:type="dxa"/>
            <w:tcBorders>
              <w:top w:val="nil"/>
              <w:left w:val="nil"/>
              <w:bottom w:val="single" w:color="auto" w:sz="4" w:space="0"/>
              <w:right w:val="single" w:color="auto" w:sz="4" w:space="0"/>
            </w:tcBorders>
            <w:shd w:val="clear" w:color="auto" w:fill="auto"/>
            <w:vAlign w:val="center"/>
          </w:tcPr>
          <w:p w14:paraId="4A82D8A0">
            <w:pPr>
              <w:jc w:val="center"/>
            </w:pPr>
            <w:r>
              <w:rPr>
                <w:rFonts w:ascii="宋体" w:hAnsi="宋体"/>
                <w:sz w:val="18"/>
              </w:rPr>
              <w:t>=98%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8BD4CC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137B2F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0DA199B">
            <w:pPr>
              <w:jc w:val="center"/>
            </w:pPr>
          </w:p>
        </w:tc>
      </w:tr>
      <w:tr w14:paraId="130CD29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7B8F568">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DAB8CA5">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93F6510">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0150FD3">
            <w:pPr>
              <w:jc w:val="center"/>
            </w:pPr>
          </w:p>
        </w:tc>
      </w:tr>
      <w:bookmarkEnd w:id="36"/>
    </w:tbl>
    <w:p w14:paraId="6DF8BD61">
      <w:pPr>
        <w:jc w:val="center"/>
        <w:rPr>
          <w:rFonts w:hint="eastAsia" w:ascii="宋体" w:hAnsi="宋体" w:cs="宋体"/>
          <w:b/>
          <w:bCs/>
          <w:kern w:val="0"/>
          <w:sz w:val="28"/>
          <w:szCs w:val="28"/>
        </w:rPr>
      </w:pPr>
    </w:p>
    <w:p w14:paraId="7A86251A">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74A41D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A8BEE5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CBD4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491057B">
            <w:pPr>
              <w:jc w:val="center"/>
            </w:pPr>
            <w:r>
              <w:rPr>
                <w:rFonts w:ascii="宋体" w:hAnsi="宋体"/>
                <w:sz w:val="18"/>
              </w:rPr>
              <w:t>2023年自治区基层人大补助经费</w:t>
            </w:r>
          </w:p>
        </w:tc>
      </w:tr>
      <w:tr w14:paraId="4CCB73F3">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54445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7384411">
            <w:pPr>
              <w:jc w:val="center"/>
            </w:pPr>
            <w:r>
              <w:rPr>
                <w:rFonts w:ascii="宋体" w:hAnsi="宋体"/>
                <w:sz w:val="18"/>
              </w:rPr>
              <w:t>奇台县人民代表大会常务委员会</w:t>
            </w:r>
          </w:p>
        </w:tc>
        <w:tc>
          <w:tcPr>
            <w:tcW w:w="1276" w:type="dxa"/>
            <w:gridSpan w:val="2"/>
            <w:tcBorders>
              <w:top w:val="nil"/>
              <w:left w:val="nil"/>
              <w:bottom w:val="single" w:color="auto" w:sz="4" w:space="0"/>
              <w:right w:val="single" w:color="000000" w:sz="4" w:space="0"/>
            </w:tcBorders>
            <w:shd w:val="clear" w:color="auto" w:fill="auto"/>
            <w:vAlign w:val="center"/>
          </w:tcPr>
          <w:p w14:paraId="3497F66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4D57A8E">
            <w:pPr>
              <w:jc w:val="center"/>
            </w:pPr>
            <w:r>
              <w:rPr>
                <w:rFonts w:ascii="宋体" w:hAnsi="宋体"/>
                <w:sz w:val="18"/>
              </w:rPr>
              <w:t>奇台县人民代表大会常务委员会</w:t>
            </w:r>
          </w:p>
        </w:tc>
      </w:tr>
      <w:tr w14:paraId="4170003A">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2C0D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098BB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E40D6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86449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A5BB1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AAC1E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82D02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1D19C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F8E036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C5889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15C2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ECCD035">
            <w:pPr>
              <w:jc w:val="center"/>
            </w:pPr>
            <w:r>
              <w:rPr>
                <w:rFonts w:ascii="宋体" w:hAnsi="宋体"/>
                <w:sz w:val="18"/>
              </w:rPr>
              <w:t>7.00</w:t>
            </w:r>
          </w:p>
        </w:tc>
        <w:tc>
          <w:tcPr>
            <w:tcW w:w="1266" w:type="dxa"/>
            <w:tcBorders>
              <w:top w:val="nil"/>
              <w:left w:val="nil"/>
              <w:bottom w:val="single" w:color="auto" w:sz="4" w:space="0"/>
              <w:right w:val="single" w:color="auto" w:sz="4" w:space="0"/>
            </w:tcBorders>
            <w:shd w:val="clear" w:color="auto" w:fill="auto"/>
            <w:noWrap/>
            <w:vAlign w:val="center"/>
          </w:tcPr>
          <w:p w14:paraId="325C4F5E">
            <w:pPr>
              <w:jc w:val="center"/>
            </w:pPr>
            <w:r>
              <w:rPr>
                <w:rFonts w:ascii="宋体" w:hAnsi="宋体"/>
                <w:sz w:val="18"/>
              </w:rPr>
              <w:t>7.00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A5D9DA2">
            <w:pPr>
              <w:jc w:val="center"/>
            </w:pPr>
            <w:r>
              <w:rPr>
                <w:rFonts w:ascii="宋体" w:hAnsi="宋体"/>
                <w:sz w:val="18"/>
              </w:rPr>
              <w:t>7.00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4750ED5">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9C6BB55">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080DAC0C">
            <w:pPr>
              <w:jc w:val="center"/>
            </w:pPr>
            <w:r>
              <w:rPr>
                <w:rFonts w:ascii="宋体" w:hAnsi="宋体"/>
                <w:sz w:val="18"/>
              </w:rPr>
              <w:t>10.00</w:t>
            </w:r>
          </w:p>
        </w:tc>
      </w:tr>
      <w:tr w14:paraId="616A227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25655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AE0C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72FFB42">
            <w:pPr>
              <w:jc w:val="center"/>
            </w:pPr>
            <w:r>
              <w:rPr>
                <w:rFonts w:ascii="宋体" w:hAnsi="宋体"/>
                <w:sz w:val="18"/>
              </w:rPr>
              <w:t>7.00</w:t>
            </w:r>
          </w:p>
        </w:tc>
        <w:tc>
          <w:tcPr>
            <w:tcW w:w="1266" w:type="dxa"/>
            <w:tcBorders>
              <w:top w:val="nil"/>
              <w:left w:val="nil"/>
              <w:bottom w:val="single" w:color="auto" w:sz="4" w:space="0"/>
              <w:right w:val="single" w:color="auto" w:sz="4" w:space="0"/>
            </w:tcBorders>
            <w:shd w:val="clear" w:color="auto" w:fill="auto"/>
            <w:noWrap/>
            <w:vAlign w:val="center"/>
          </w:tcPr>
          <w:p w14:paraId="06C6FAC2">
            <w:pPr>
              <w:jc w:val="center"/>
            </w:pPr>
            <w:r>
              <w:rPr>
                <w:rFonts w:ascii="宋体" w:hAnsi="宋体"/>
                <w:sz w:val="18"/>
              </w:rPr>
              <w:t>7.00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A8E879F">
            <w:pPr>
              <w:jc w:val="center"/>
            </w:pPr>
            <w:r>
              <w:rPr>
                <w:rFonts w:ascii="宋体" w:hAnsi="宋体"/>
                <w:sz w:val="18"/>
              </w:rPr>
              <w:t>7.00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8F599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0ED3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0CC872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2164A5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B8D84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4E7D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2DAF30">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2A684F4">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947472E">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E826E9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CD8E67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80DBCF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3FF44F4">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C2F78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440C2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3367E6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D0D3DCA">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3051350">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4C2D9A0">
            <w:pPr>
              <w:jc w:val="left"/>
            </w:pPr>
            <w:r>
              <w:rPr>
                <w:rFonts w:ascii="宋体" w:hAnsi="宋体"/>
                <w:sz w:val="18"/>
              </w:rPr>
              <w:t>本项目拟投入7万元用于基层人大经费，主要建设（实施）内容为：改善基层人大办公条件，提升办公效率，于2022年12月31日前完工，通过本项目的实施，满足人大代表履职的需要，促进基层人大的发展，加强人大代表活动阵地建设，改善代表之家办公环境,使人大代表满意度达到95%.</w:t>
            </w:r>
          </w:p>
        </w:tc>
        <w:tc>
          <w:tcPr>
            <w:tcW w:w="4536" w:type="dxa"/>
            <w:gridSpan w:val="7"/>
            <w:tcBorders>
              <w:top w:val="single" w:color="auto" w:sz="4" w:space="0"/>
              <w:left w:val="nil"/>
              <w:bottom w:val="single" w:color="auto" w:sz="4" w:space="0"/>
              <w:right w:val="single" w:color="000000" w:sz="4" w:space="0"/>
            </w:tcBorders>
            <w:shd w:val="clear" w:color="auto" w:fill="auto"/>
          </w:tcPr>
          <w:p w14:paraId="5223A8BD">
            <w:pPr>
              <w:jc w:val="left"/>
            </w:pPr>
            <w:r>
              <w:rPr>
                <w:rFonts w:ascii="宋体" w:hAnsi="宋体"/>
                <w:sz w:val="18"/>
              </w:rPr>
              <w:t>乡（街道）“代表之家”个数：16；提升办公效率：10；补助经费拨付完成率：100；“代表之家”建设费用：5.3；提高各基层人大代表履职能力：10%；改善各基层人大办公环境：有所改善；各基层人大工委对于补助经费到位情况满意度：90；弥补办公经费：1.7；村社区代表之家数量：47</w:t>
            </w:r>
          </w:p>
        </w:tc>
      </w:tr>
      <w:tr w14:paraId="18C2701A">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08542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A908F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6EA1B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23FC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55ABF7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1523B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D0BE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2417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B402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94E0417">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6534D3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4C5300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BD09E0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D4AC3B7">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843092A">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EC3674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95CD7A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9CA97A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C28EE62">
            <w:pPr>
              <w:widowControl/>
              <w:jc w:val="left"/>
              <w:rPr>
                <w:rFonts w:hint="eastAsia" w:ascii="宋体" w:hAnsi="宋体" w:cs="宋体"/>
                <w:color w:val="000000"/>
                <w:kern w:val="0"/>
                <w:sz w:val="18"/>
                <w:szCs w:val="18"/>
              </w:rPr>
            </w:pPr>
          </w:p>
        </w:tc>
      </w:tr>
      <w:tr w14:paraId="27A0E191">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0FF9BB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9052ED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6E1ED6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5C79D4">
            <w:pPr>
              <w:jc w:val="center"/>
            </w:pPr>
            <w:r>
              <w:rPr>
                <w:rFonts w:ascii="宋体" w:hAnsi="宋体"/>
                <w:sz w:val="18"/>
              </w:rPr>
              <w:t>拨付基层人大个数</w:t>
            </w:r>
          </w:p>
        </w:tc>
        <w:tc>
          <w:tcPr>
            <w:tcW w:w="1266" w:type="dxa"/>
            <w:tcBorders>
              <w:top w:val="nil"/>
              <w:left w:val="nil"/>
              <w:bottom w:val="single" w:color="auto" w:sz="4" w:space="0"/>
              <w:right w:val="single" w:color="auto" w:sz="4" w:space="0"/>
            </w:tcBorders>
            <w:shd w:val="clear" w:color="auto" w:fill="auto"/>
            <w:vAlign w:val="center"/>
          </w:tcPr>
          <w:p w14:paraId="1ABAA0D2">
            <w:pPr>
              <w:jc w:val="center"/>
            </w:pPr>
            <w:r>
              <w:rPr>
                <w:rFonts w:ascii="宋体" w:hAnsi="宋体"/>
                <w:sz w:val="18"/>
              </w:rPr>
              <w:t>=15个</w:t>
            </w:r>
          </w:p>
        </w:tc>
        <w:tc>
          <w:tcPr>
            <w:tcW w:w="1088" w:type="dxa"/>
            <w:tcBorders>
              <w:top w:val="nil"/>
              <w:left w:val="nil"/>
              <w:bottom w:val="single" w:color="auto" w:sz="4" w:space="0"/>
              <w:right w:val="single" w:color="auto" w:sz="4" w:space="0"/>
            </w:tcBorders>
            <w:shd w:val="clear" w:color="auto" w:fill="auto"/>
            <w:vAlign w:val="center"/>
          </w:tcPr>
          <w:p w14:paraId="04B853DC">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75E1E9">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6869F4">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B5AC53">
            <w:pPr>
              <w:jc w:val="center"/>
            </w:pPr>
            <w:r>
              <w:rPr>
                <w:rFonts w:ascii="宋体" w:hAnsi="宋体"/>
                <w:sz w:val="18"/>
              </w:rPr>
              <w:t>拨付至奇台县人大常委会机关，用于15个乡镇的人大代表培训等费用，今后将按实际情况设定目标，严格按照绩效目标执行，减少偏差</w:t>
            </w:r>
          </w:p>
        </w:tc>
      </w:tr>
      <w:tr w14:paraId="580058C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FA436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F99EF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B533E1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810D0F">
            <w:pPr>
              <w:jc w:val="center"/>
            </w:pPr>
            <w:r>
              <w:rPr>
                <w:rFonts w:ascii="宋体" w:hAnsi="宋体"/>
                <w:sz w:val="18"/>
              </w:rPr>
              <w:t>乡（街道）“代表之家”个数</w:t>
            </w:r>
          </w:p>
        </w:tc>
        <w:tc>
          <w:tcPr>
            <w:tcW w:w="1266" w:type="dxa"/>
            <w:tcBorders>
              <w:top w:val="nil"/>
              <w:left w:val="nil"/>
              <w:bottom w:val="single" w:color="auto" w:sz="4" w:space="0"/>
              <w:right w:val="single" w:color="auto" w:sz="4" w:space="0"/>
            </w:tcBorders>
            <w:shd w:val="clear" w:color="auto" w:fill="auto"/>
            <w:vAlign w:val="center"/>
          </w:tcPr>
          <w:p w14:paraId="48DECE18">
            <w:pPr>
              <w:jc w:val="center"/>
            </w:pPr>
            <w:r>
              <w:rPr>
                <w:rFonts w:ascii="宋体" w:hAnsi="宋体"/>
                <w:sz w:val="18"/>
              </w:rPr>
              <w:t>=16个</w:t>
            </w:r>
          </w:p>
        </w:tc>
        <w:tc>
          <w:tcPr>
            <w:tcW w:w="1088" w:type="dxa"/>
            <w:tcBorders>
              <w:top w:val="nil"/>
              <w:left w:val="nil"/>
              <w:bottom w:val="single" w:color="auto" w:sz="4" w:space="0"/>
              <w:right w:val="single" w:color="auto" w:sz="4" w:space="0"/>
            </w:tcBorders>
            <w:shd w:val="clear" w:color="auto" w:fill="auto"/>
            <w:vAlign w:val="center"/>
          </w:tcPr>
          <w:p w14:paraId="269539CC">
            <w:pPr>
              <w:jc w:val="center"/>
            </w:pPr>
            <w:r>
              <w:rPr>
                <w:rFonts w:ascii="宋体" w:hAnsi="宋体"/>
                <w:sz w:val="18"/>
              </w:rPr>
              <w:t>=16个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D72119">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1D9BB0">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EAA673">
            <w:pPr>
              <w:jc w:val="center"/>
            </w:pPr>
            <w:r>
              <w:rPr>
                <w:rFonts w:ascii="宋体" w:hAnsi="宋体"/>
                <w:sz w:val="18"/>
              </w:rPr>
              <w:t>增加了芨芨湖镇代表之家，今后将及时掌握代表之家变化，减少偏差</w:t>
            </w:r>
          </w:p>
        </w:tc>
      </w:tr>
      <w:tr w14:paraId="3DC46D2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59A8D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AE6FC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103304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60382F">
            <w:pPr>
              <w:jc w:val="center"/>
            </w:pPr>
            <w:r>
              <w:rPr>
                <w:rFonts w:ascii="宋体" w:hAnsi="宋体"/>
                <w:sz w:val="18"/>
              </w:rPr>
              <w:t>村社区代表之家数量</w:t>
            </w:r>
          </w:p>
        </w:tc>
        <w:tc>
          <w:tcPr>
            <w:tcW w:w="1266" w:type="dxa"/>
            <w:tcBorders>
              <w:top w:val="nil"/>
              <w:left w:val="nil"/>
              <w:bottom w:val="single" w:color="auto" w:sz="4" w:space="0"/>
              <w:right w:val="single" w:color="auto" w:sz="4" w:space="0"/>
            </w:tcBorders>
            <w:shd w:val="clear" w:color="auto" w:fill="auto"/>
            <w:vAlign w:val="center"/>
          </w:tcPr>
          <w:p w14:paraId="705850D8">
            <w:pPr>
              <w:jc w:val="center"/>
            </w:pPr>
            <w:r>
              <w:rPr>
                <w:rFonts w:ascii="宋体" w:hAnsi="宋体"/>
                <w:sz w:val="18"/>
              </w:rPr>
              <w:t>=47个</w:t>
            </w:r>
          </w:p>
        </w:tc>
        <w:tc>
          <w:tcPr>
            <w:tcW w:w="1088" w:type="dxa"/>
            <w:tcBorders>
              <w:top w:val="nil"/>
              <w:left w:val="nil"/>
              <w:bottom w:val="single" w:color="auto" w:sz="4" w:space="0"/>
              <w:right w:val="single" w:color="auto" w:sz="4" w:space="0"/>
            </w:tcBorders>
            <w:shd w:val="clear" w:color="auto" w:fill="auto"/>
            <w:vAlign w:val="center"/>
          </w:tcPr>
          <w:p w14:paraId="072257E6">
            <w:pPr>
              <w:jc w:val="center"/>
            </w:pPr>
            <w:r>
              <w:rPr>
                <w:rFonts w:ascii="宋体" w:hAnsi="宋体"/>
                <w:sz w:val="18"/>
              </w:rPr>
              <w:t>=47个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92B58C">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4B8F07">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BAF136">
            <w:pPr>
              <w:jc w:val="center"/>
            </w:pPr>
            <w:r>
              <w:rPr>
                <w:rFonts w:ascii="宋体" w:hAnsi="宋体"/>
                <w:sz w:val="18"/>
              </w:rPr>
              <w:t>减少了老满城社区代表之家，今后将及时掌握代表之家变化，减少偏差</w:t>
            </w:r>
          </w:p>
        </w:tc>
      </w:tr>
      <w:tr w14:paraId="0F66E76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9C1E0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39AAF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61BD0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9E48FB">
            <w:pPr>
              <w:jc w:val="center"/>
            </w:pPr>
            <w:r>
              <w:rPr>
                <w:rFonts w:ascii="宋体" w:hAnsi="宋体"/>
                <w:sz w:val="18"/>
              </w:rPr>
              <w:t>县市代表之家数量</w:t>
            </w:r>
          </w:p>
        </w:tc>
        <w:tc>
          <w:tcPr>
            <w:tcW w:w="1266" w:type="dxa"/>
            <w:tcBorders>
              <w:top w:val="nil"/>
              <w:left w:val="nil"/>
              <w:bottom w:val="single" w:color="auto" w:sz="4" w:space="0"/>
              <w:right w:val="single" w:color="auto" w:sz="4" w:space="0"/>
            </w:tcBorders>
            <w:shd w:val="clear" w:color="auto" w:fill="auto"/>
            <w:vAlign w:val="center"/>
          </w:tcPr>
          <w:p w14:paraId="2D6293EF">
            <w:pPr>
              <w:jc w:val="center"/>
            </w:pPr>
            <w:r>
              <w:rPr>
                <w:rFonts w:ascii="宋体" w:hAnsi="宋体"/>
                <w:sz w:val="18"/>
              </w:rPr>
              <w:t>=0</w:t>
            </w:r>
          </w:p>
        </w:tc>
        <w:tc>
          <w:tcPr>
            <w:tcW w:w="1088" w:type="dxa"/>
            <w:tcBorders>
              <w:top w:val="nil"/>
              <w:left w:val="nil"/>
              <w:bottom w:val="single" w:color="auto" w:sz="4" w:space="0"/>
              <w:right w:val="single" w:color="auto" w:sz="4" w:space="0"/>
            </w:tcBorders>
            <w:shd w:val="clear" w:color="auto" w:fill="auto"/>
            <w:vAlign w:val="center"/>
          </w:tcPr>
          <w:p w14:paraId="39D20DFE">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6F9EC4">
            <w:pPr>
              <w:jc w:val="center"/>
            </w:pPr>
            <w:r>
              <w:rPr>
                <w:rFonts w:ascii="宋体" w:hAnsi="宋体"/>
                <w:sz w:val="18"/>
              </w:rPr>
              <w:t>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72AA8B5">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9709FB">
            <w:pPr>
              <w:jc w:val="center"/>
            </w:pPr>
          </w:p>
        </w:tc>
      </w:tr>
      <w:tr w14:paraId="3795E27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C8591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0FDA0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92BD10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FFB465">
            <w:pPr>
              <w:jc w:val="center"/>
            </w:pPr>
            <w:r>
              <w:rPr>
                <w:rFonts w:ascii="宋体" w:hAnsi="宋体"/>
                <w:sz w:val="18"/>
              </w:rPr>
              <w:t>提升办公效率</w:t>
            </w:r>
          </w:p>
        </w:tc>
        <w:tc>
          <w:tcPr>
            <w:tcW w:w="1266" w:type="dxa"/>
            <w:tcBorders>
              <w:top w:val="nil"/>
              <w:left w:val="nil"/>
              <w:bottom w:val="single" w:color="auto" w:sz="4" w:space="0"/>
              <w:right w:val="single" w:color="auto" w:sz="4" w:space="0"/>
            </w:tcBorders>
            <w:shd w:val="clear" w:color="auto" w:fill="auto"/>
            <w:vAlign w:val="center"/>
          </w:tcPr>
          <w:p w14:paraId="0CB84410">
            <w:pPr>
              <w:jc w:val="center"/>
            </w:pPr>
            <w:r>
              <w:rPr>
                <w:rFonts w:ascii="宋体" w:hAnsi="宋体"/>
                <w:sz w:val="18"/>
              </w:rPr>
              <w:t>&gt;=10%</w:t>
            </w:r>
          </w:p>
        </w:tc>
        <w:tc>
          <w:tcPr>
            <w:tcW w:w="1088" w:type="dxa"/>
            <w:tcBorders>
              <w:top w:val="nil"/>
              <w:left w:val="nil"/>
              <w:bottom w:val="single" w:color="auto" w:sz="4" w:space="0"/>
              <w:right w:val="single" w:color="auto" w:sz="4" w:space="0"/>
            </w:tcBorders>
            <w:shd w:val="clear" w:color="auto" w:fill="auto"/>
            <w:vAlign w:val="center"/>
          </w:tcPr>
          <w:p w14:paraId="1417C43A">
            <w:pPr>
              <w:jc w:val="center"/>
            </w:pPr>
            <w:r>
              <w:rPr>
                <w:rFonts w:ascii="宋体" w:hAnsi="宋体"/>
                <w:sz w:val="18"/>
              </w:rPr>
              <w:t>=10%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CF9133">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025135">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F22582">
            <w:pPr>
              <w:jc w:val="center"/>
            </w:pPr>
          </w:p>
        </w:tc>
      </w:tr>
      <w:tr w14:paraId="5292633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1DBAF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9B218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961F29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A352E7">
            <w:pPr>
              <w:jc w:val="center"/>
            </w:pPr>
            <w:r>
              <w:rPr>
                <w:rFonts w:ascii="宋体" w:hAnsi="宋体"/>
                <w:sz w:val="18"/>
              </w:rPr>
              <w:t>补助经费拨付完成率</w:t>
            </w:r>
          </w:p>
        </w:tc>
        <w:tc>
          <w:tcPr>
            <w:tcW w:w="1266" w:type="dxa"/>
            <w:tcBorders>
              <w:top w:val="nil"/>
              <w:left w:val="nil"/>
              <w:bottom w:val="single" w:color="auto" w:sz="4" w:space="0"/>
              <w:right w:val="single" w:color="auto" w:sz="4" w:space="0"/>
            </w:tcBorders>
            <w:shd w:val="clear" w:color="auto" w:fill="auto"/>
            <w:vAlign w:val="center"/>
          </w:tcPr>
          <w:p w14:paraId="7DB06AE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4019A2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837E3D">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8EF3A7">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263380">
            <w:pPr>
              <w:jc w:val="center"/>
            </w:pPr>
          </w:p>
        </w:tc>
      </w:tr>
      <w:tr w14:paraId="7AF4B94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F4BA7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BA1B19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52678D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F7D162">
            <w:pPr>
              <w:jc w:val="center"/>
            </w:pPr>
            <w:r>
              <w:rPr>
                <w:rFonts w:ascii="宋体" w:hAnsi="宋体"/>
                <w:sz w:val="18"/>
              </w:rPr>
              <w:t>“代表之家”建设费用</w:t>
            </w:r>
          </w:p>
        </w:tc>
        <w:tc>
          <w:tcPr>
            <w:tcW w:w="1266" w:type="dxa"/>
            <w:tcBorders>
              <w:top w:val="nil"/>
              <w:left w:val="nil"/>
              <w:bottom w:val="single" w:color="auto" w:sz="4" w:space="0"/>
              <w:right w:val="single" w:color="auto" w:sz="4" w:space="0"/>
            </w:tcBorders>
            <w:shd w:val="clear" w:color="auto" w:fill="auto"/>
            <w:vAlign w:val="center"/>
          </w:tcPr>
          <w:p w14:paraId="61289CA7">
            <w:pPr>
              <w:jc w:val="center"/>
            </w:pPr>
            <w:r>
              <w:rPr>
                <w:rFonts w:ascii="宋体" w:hAnsi="宋体"/>
                <w:sz w:val="18"/>
              </w:rPr>
              <w:t>=5.3万元</w:t>
            </w:r>
          </w:p>
        </w:tc>
        <w:tc>
          <w:tcPr>
            <w:tcW w:w="1088" w:type="dxa"/>
            <w:tcBorders>
              <w:top w:val="nil"/>
              <w:left w:val="nil"/>
              <w:bottom w:val="single" w:color="auto" w:sz="4" w:space="0"/>
              <w:right w:val="single" w:color="auto" w:sz="4" w:space="0"/>
            </w:tcBorders>
            <w:shd w:val="clear" w:color="auto" w:fill="auto"/>
            <w:vAlign w:val="center"/>
          </w:tcPr>
          <w:p w14:paraId="6E0E9CD7">
            <w:pPr>
              <w:jc w:val="center"/>
            </w:pPr>
            <w:r>
              <w:rPr>
                <w:rFonts w:ascii="宋体" w:hAnsi="宋体"/>
                <w:sz w:val="18"/>
              </w:rPr>
              <w:t>=5.3万元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A3CCB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F1051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5DD658">
            <w:pPr>
              <w:jc w:val="center"/>
            </w:pPr>
          </w:p>
        </w:tc>
      </w:tr>
      <w:tr w14:paraId="0EFD98C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747AF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9E029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CD7134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0C821C">
            <w:pPr>
              <w:jc w:val="center"/>
            </w:pPr>
            <w:r>
              <w:rPr>
                <w:rFonts w:ascii="宋体" w:hAnsi="宋体"/>
                <w:sz w:val="18"/>
              </w:rPr>
              <w:t>弥补办公经费</w:t>
            </w:r>
          </w:p>
        </w:tc>
        <w:tc>
          <w:tcPr>
            <w:tcW w:w="1266" w:type="dxa"/>
            <w:tcBorders>
              <w:top w:val="nil"/>
              <w:left w:val="nil"/>
              <w:bottom w:val="single" w:color="auto" w:sz="4" w:space="0"/>
              <w:right w:val="single" w:color="auto" w:sz="4" w:space="0"/>
            </w:tcBorders>
            <w:shd w:val="clear" w:color="auto" w:fill="auto"/>
            <w:vAlign w:val="center"/>
          </w:tcPr>
          <w:p w14:paraId="74E83FCA">
            <w:pPr>
              <w:jc w:val="center"/>
            </w:pPr>
            <w:r>
              <w:rPr>
                <w:rFonts w:ascii="宋体" w:hAnsi="宋体"/>
                <w:sz w:val="18"/>
              </w:rPr>
              <w:t>=1.7万元</w:t>
            </w:r>
          </w:p>
        </w:tc>
        <w:tc>
          <w:tcPr>
            <w:tcW w:w="1088" w:type="dxa"/>
            <w:tcBorders>
              <w:top w:val="nil"/>
              <w:left w:val="nil"/>
              <w:bottom w:val="single" w:color="auto" w:sz="4" w:space="0"/>
              <w:right w:val="single" w:color="auto" w:sz="4" w:space="0"/>
            </w:tcBorders>
            <w:shd w:val="clear" w:color="auto" w:fill="auto"/>
            <w:vAlign w:val="center"/>
          </w:tcPr>
          <w:p w14:paraId="0CE41D80">
            <w:pPr>
              <w:jc w:val="center"/>
            </w:pPr>
            <w:r>
              <w:rPr>
                <w:rFonts w:ascii="宋体" w:hAnsi="宋体"/>
                <w:sz w:val="18"/>
              </w:rPr>
              <w:t>=1.7万元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64C676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26D0B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8214269">
            <w:pPr>
              <w:jc w:val="center"/>
            </w:pPr>
          </w:p>
        </w:tc>
      </w:tr>
      <w:tr w14:paraId="3E673AE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D9D91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D6A0AF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832933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47AD9C">
            <w:pPr>
              <w:jc w:val="center"/>
            </w:pPr>
            <w:r>
              <w:rPr>
                <w:rFonts w:ascii="宋体" w:hAnsi="宋体"/>
                <w:sz w:val="18"/>
              </w:rPr>
              <w:t>提高各基层人大代表履职能力</w:t>
            </w:r>
          </w:p>
        </w:tc>
        <w:tc>
          <w:tcPr>
            <w:tcW w:w="1266" w:type="dxa"/>
            <w:tcBorders>
              <w:top w:val="nil"/>
              <w:left w:val="nil"/>
              <w:bottom w:val="single" w:color="auto" w:sz="4" w:space="0"/>
              <w:right w:val="single" w:color="auto" w:sz="4" w:space="0"/>
            </w:tcBorders>
            <w:shd w:val="clear" w:color="auto" w:fill="auto"/>
            <w:vAlign w:val="center"/>
          </w:tcPr>
          <w:p w14:paraId="63DBE55A">
            <w:pPr>
              <w:jc w:val="center"/>
            </w:pPr>
            <w:r>
              <w:rPr>
                <w:rFonts w:ascii="宋体" w:hAnsi="宋体"/>
                <w:sz w:val="18"/>
              </w:rPr>
              <w:t>&gt;=10%</w:t>
            </w:r>
          </w:p>
        </w:tc>
        <w:tc>
          <w:tcPr>
            <w:tcW w:w="1088" w:type="dxa"/>
            <w:tcBorders>
              <w:top w:val="nil"/>
              <w:left w:val="nil"/>
              <w:bottom w:val="single" w:color="auto" w:sz="4" w:space="0"/>
              <w:right w:val="single" w:color="auto" w:sz="4" w:space="0"/>
            </w:tcBorders>
            <w:shd w:val="clear" w:color="auto" w:fill="auto"/>
            <w:vAlign w:val="center"/>
          </w:tcPr>
          <w:p w14:paraId="05FAA9EE">
            <w:pPr>
              <w:jc w:val="center"/>
            </w:pPr>
            <w:r>
              <w:rPr>
                <w:rFonts w:ascii="宋体" w:hAnsi="宋体"/>
                <w:sz w:val="18"/>
              </w:rPr>
              <w:t>=10%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55C91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0FF84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B3B659">
            <w:pPr>
              <w:jc w:val="center"/>
            </w:pPr>
          </w:p>
        </w:tc>
      </w:tr>
      <w:tr w14:paraId="085FFA4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4C17E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3D93D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05C9AC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AACD09">
            <w:pPr>
              <w:jc w:val="center"/>
            </w:pPr>
            <w:r>
              <w:rPr>
                <w:rFonts w:ascii="宋体" w:hAnsi="宋体"/>
                <w:sz w:val="18"/>
              </w:rPr>
              <w:t>改善各基层人大办公环境</w:t>
            </w:r>
          </w:p>
        </w:tc>
        <w:tc>
          <w:tcPr>
            <w:tcW w:w="1266" w:type="dxa"/>
            <w:tcBorders>
              <w:top w:val="nil"/>
              <w:left w:val="nil"/>
              <w:bottom w:val="single" w:color="auto" w:sz="4" w:space="0"/>
              <w:right w:val="single" w:color="auto" w:sz="4" w:space="0"/>
            </w:tcBorders>
            <w:shd w:val="clear" w:color="auto" w:fill="auto"/>
            <w:vAlign w:val="center"/>
          </w:tcPr>
          <w:p w14:paraId="1288BF12">
            <w:pPr>
              <w:jc w:val="center"/>
            </w:pPr>
            <w:r>
              <w:rPr>
                <w:rFonts w:ascii="宋体" w:hAnsi="宋体"/>
                <w:sz w:val="18"/>
              </w:rPr>
              <w:t>有所改善</w:t>
            </w:r>
          </w:p>
        </w:tc>
        <w:tc>
          <w:tcPr>
            <w:tcW w:w="1088" w:type="dxa"/>
            <w:tcBorders>
              <w:top w:val="nil"/>
              <w:left w:val="nil"/>
              <w:bottom w:val="single" w:color="auto" w:sz="4" w:space="0"/>
              <w:right w:val="single" w:color="auto" w:sz="4" w:space="0"/>
            </w:tcBorders>
            <w:shd w:val="clear" w:color="auto" w:fill="auto"/>
            <w:vAlign w:val="center"/>
          </w:tcPr>
          <w:p w14:paraId="2316BF20">
            <w:pPr>
              <w:jc w:val="center"/>
            </w:pPr>
            <w:r>
              <w:rPr>
                <w:rFonts w:ascii="宋体" w:hAnsi="宋体"/>
                <w:sz w:val="18"/>
              </w:rPr>
              <w:t>有所改善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AF013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CDBB7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9CEDE9">
            <w:pPr>
              <w:jc w:val="center"/>
            </w:pPr>
          </w:p>
        </w:tc>
      </w:tr>
      <w:tr w14:paraId="61B3259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107E2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4C3B51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30826C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C462D5">
            <w:pPr>
              <w:jc w:val="center"/>
            </w:pPr>
            <w:r>
              <w:rPr>
                <w:rFonts w:ascii="宋体" w:hAnsi="宋体"/>
                <w:sz w:val="18"/>
              </w:rPr>
              <w:t>各基层人大工委对于补助经费到位情况满意度</w:t>
            </w:r>
          </w:p>
        </w:tc>
        <w:tc>
          <w:tcPr>
            <w:tcW w:w="1266" w:type="dxa"/>
            <w:tcBorders>
              <w:top w:val="nil"/>
              <w:left w:val="nil"/>
              <w:bottom w:val="single" w:color="auto" w:sz="4" w:space="0"/>
              <w:right w:val="single" w:color="auto" w:sz="4" w:space="0"/>
            </w:tcBorders>
            <w:shd w:val="clear" w:color="auto" w:fill="auto"/>
            <w:vAlign w:val="center"/>
          </w:tcPr>
          <w:p w14:paraId="2B10443F">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2A16E793">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BEBF3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BA0EB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D2B694">
            <w:pPr>
              <w:jc w:val="center"/>
            </w:pPr>
          </w:p>
        </w:tc>
      </w:tr>
      <w:tr w14:paraId="4A2D9993">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0B67CF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3E5829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6CF0FA0">
            <w:pPr>
              <w:jc w:val="center"/>
            </w:pPr>
            <w:r>
              <w:rPr>
                <w:rFonts w:ascii="宋体" w:hAnsi="宋体"/>
                <w:sz w:val="18"/>
              </w:rPr>
              <w:t>92分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975F3F">
            <w:pPr>
              <w:jc w:val="center"/>
            </w:pPr>
          </w:p>
        </w:tc>
      </w:tr>
    </w:tbl>
    <w:p w14:paraId="487C30CD">
      <w:pPr>
        <w:jc w:val="center"/>
        <w:rPr>
          <w:rFonts w:ascii="宋体" w:hAnsi="宋体" w:cs="宋体"/>
          <w:b/>
          <w:bCs/>
          <w:kern w:val="0"/>
          <w:sz w:val="28"/>
          <w:szCs w:val="28"/>
        </w:rPr>
      </w:pPr>
    </w:p>
    <w:p w14:paraId="5269844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5038D7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DDA0A5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574F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48ADA01">
            <w:pPr>
              <w:jc w:val="center"/>
            </w:pPr>
            <w:r>
              <w:rPr>
                <w:rFonts w:ascii="宋体" w:hAnsi="宋体"/>
                <w:sz w:val="18"/>
              </w:rPr>
              <w:t>人大历年经费欠款</w:t>
            </w:r>
          </w:p>
        </w:tc>
      </w:tr>
      <w:tr w14:paraId="5C0F94E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CB8B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BAE4DDE">
            <w:pPr>
              <w:jc w:val="center"/>
            </w:pPr>
            <w:r>
              <w:rPr>
                <w:rFonts w:ascii="宋体" w:hAnsi="宋体"/>
                <w:sz w:val="18"/>
              </w:rPr>
              <w:t>奇台县人民代表大会常务委员会</w:t>
            </w:r>
          </w:p>
        </w:tc>
        <w:tc>
          <w:tcPr>
            <w:tcW w:w="1275" w:type="dxa"/>
            <w:gridSpan w:val="2"/>
            <w:tcBorders>
              <w:top w:val="nil"/>
              <w:left w:val="nil"/>
              <w:bottom w:val="single" w:color="auto" w:sz="4" w:space="0"/>
              <w:right w:val="single" w:color="000000" w:sz="4" w:space="0"/>
            </w:tcBorders>
            <w:shd w:val="clear" w:color="auto" w:fill="auto"/>
            <w:vAlign w:val="center"/>
          </w:tcPr>
          <w:p w14:paraId="18EE2AB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3EAA6D9">
            <w:pPr>
              <w:jc w:val="center"/>
            </w:pPr>
            <w:r>
              <w:rPr>
                <w:rFonts w:ascii="宋体" w:hAnsi="宋体"/>
                <w:sz w:val="18"/>
              </w:rPr>
              <w:t>奇台县人民代表大会常务委员会</w:t>
            </w:r>
          </w:p>
        </w:tc>
      </w:tr>
      <w:tr w14:paraId="33164C0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D0DD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C0FC9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DA6AA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DEECB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CF446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250B4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D1C2A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CA438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26D69C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70520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06F4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6EE74EC">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14:paraId="15085941">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C54CC14">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C2627AE">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ECD2756">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F6AE203">
            <w:pPr>
              <w:jc w:val="center"/>
            </w:pPr>
            <w:r>
              <w:rPr>
                <w:rFonts w:ascii="宋体" w:hAnsi="宋体"/>
                <w:sz w:val="18"/>
              </w:rPr>
              <w:t>10.00</w:t>
            </w:r>
          </w:p>
        </w:tc>
      </w:tr>
      <w:tr w14:paraId="796E9E2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7FC53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BDCB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63815F3">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14:paraId="60AF112C">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732B59A">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F6DAF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DDFC6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CC76B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31E98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B565E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11329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3D6A14">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A1B6572">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80FA619">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B63E53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25CA06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68194A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0FC698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9D96F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5A60A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DF311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0CFE92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E69797F">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F66D6FA">
            <w:pPr>
              <w:jc w:val="left"/>
            </w:pPr>
            <w:r>
              <w:rPr>
                <w:rFonts w:ascii="宋体" w:hAnsi="宋体"/>
                <w:sz w:val="18"/>
              </w:rPr>
              <w:t>进行偿还债务支付笔数4笔，债务支付完成率达到100%，债务还款准确率达到100%，债务资金按期支付率达到100%保障单位良好信用</w:t>
            </w:r>
          </w:p>
        </w:tc>
        <w:tc>
          <w:tcPr>
            <w:tcW w:w="4677" w:type="dxa"/>
            <w:gridSpan w:val="7"/>
            <w:tcBorders>
              <w:top w:val="single" w:color="auto" w:sz="4" w:space="0"/>
              <w:left w:val="nil"/>
              <w:bottom w:val="single" w:color="auto" w:sz="4" w:space="0"/>
              <w:right w:val="single" w:color="000000" w:sz="4" w:space="0"/>
            </w:tcBorders>
            <w:shd w:val="clear" w:color="auto" w:fill="auto"/>
          </w:tcPr>
          <w:p w14:paraId="6752067D">
            <w:pPr>
              <w:jc w:val="left"/>
            </w:pPr>
            <w:r>
              <w:rPr>
                <w:rFonts w:ascii="宋体" w:hAnsi="宋体"/>
                <w:sz w:val="18"/>
              </w:rPr>
              <w:t>债务支付笔数：4；债务支付完成率：100%；债务资金按期支付率：100；债务资金支付率：100%；保障单位良好信用：有效保障；债务还款准确率：100%；支付对象满意度：95</w:t>
            </w:r>
          </w:p>
        </w:tc>
      </w:tr>
      <w:tr w14:paraId="61AE0D3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30BE7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00866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D5C92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6B26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0B6F5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604E7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37BC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50C5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B0D3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495F97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D3D063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92437A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D78138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292FB29">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BBA4629">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4226CCE">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7B519D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9AD227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20F6B58">
            <w:pPr>
              <w:widowControl/>
              <w:jc w:val="left"/>
              <w:rPr>
                <w:rFonts w:hint="eastAsia" w:ascii="宋体" w:hAnsi="宋体" w:cs="宋体"/>
                <w:color w:val="000000"/>
                <w:kern w:val="0"/>
                <w:sz w:val="18"/>
                <w:szCs w:val="18"/>
              </w:rPr>
            </w:pPr>
          </w:p>
        </w:tc>
      </w:tr>
      <w:tr w14:paraId="4133C66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8F423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AECDE0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C0D768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89BCD1">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5E1D5D63">
            <w:pPr>
              <w:jc w:val="center"/>
            </w:pPr>
            <w:r>
              <w:rPr>
                <w:rFonts w:ascii="宋体" w:hAnsi="宋体"/>
                <w:sz w:val="18"/>
              </w:rPr>
              <w:t>=4笔</w:t>
            </w:r>
          </w:p>
        </w:tc>
        <w:tc>
          <w:tcPr>
            <w:tcW w:w="1229" w:type="dxa"/>
            <w:tcBorders>
              <w:top w:val="nil"/>
              <w:left w:val="nil"/>
              <w:bottom w:val="single" w:color="auto" w:sz="4" w:space="0"/>
              <w:right w:val="single" w:color="auto" w:sz="4" w:space="0"/>
            </w:tcBorders>
            <w:shd w:val="clear" w:color="auto" w:fill="auto"/>
            <w:vAlign w:val="center"/>
          </w:tcPr>
          <w:p w14:paraId="27949966">
            <w:pPr>
              <w:jc w:val="center"/>
            </w:pPr>
            <w:r>
              <w:rPr>
                <w:rFonts w:ascii="宋体" w:hAnsi="宋体"/>
                <w:sz w:val="18"/>
              </w:rPr>
              <w:t>=4笔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ACDB04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FEF6B0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EACFD3">
            <w:pPr>
              <w:jc w:val="center"/>
            </w:pPr>
          </w:p>
        </w:tc>
      </w:tr>
      <w:tr w14:paraId="68E6D6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4EC42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C8774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9551C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6F682E">
            <w:pPr>
              <w:jc w:val="center"/>
            </w:pPr>
            <w:r>
              <w:rPr>
                <w:rFonts w:ascii="宋体" w:hAnsi="宋体"/>
                <w:sz w:val="18"/>
              </w:rPr>
              <w:t>债务支付完成率</w:t>
            </w:r>
          </w:p>
        </w:tc>
        <w:tc>
          <w:tcPr>
            <w:tcW w:w="1125" w:type="dxa"/>
            <w:tcBorders>
              <w:top w:val="nil"/>
              <w:left w:val="nil"/>
              <w:bottom w:val="single" w:color="auto" w:sz="4" w:space="0"/>
              <w:right w:val="single" w:color="auto" w:sz="4" w:space="0"/>
            </w:tcBorders>
            <w:shd w:val="clear" w:color="auto" w:fill="auto"/>
            <w:vAlign w:val="center"/>
          </w:tcPr>
          <w:p w14:paraId="2AFC969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729C54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82AF0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88279A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0813BFB">
            <w:pPr>
              <w:jc w:val="center"/>
            </w:pPr>
          </w:p>
        </w:tc>
      </w:tr>
      <w:tr w14:paraId="49D086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CE9FF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3DC07A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1F20D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3B72EE">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37B4EF5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34F0FD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B1F4AC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A856DF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BD79DE0">
            <w:pPr>
              <w:jc w:val="center"/>
            </w:pPr>
          </w:p>
        </w:tc>
      </w:tr>
      <w:tr w14:paraId="53E2DB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D013A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8EDBD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9394D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C2444F">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66C3981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8AE7AE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ADD3D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FA5F7D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D21C72D">
            <w:pPr>
              <w:jc w:val="center"/>
            </w:pPr>
          </w:p>
        </w:tc>
      </w:tr>
      <w:tr w14:paraId="6F103F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0D474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5752CB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B4136D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E24940">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6720E00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340880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DB02415">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964E68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EC01DC">
            <w:pPr>
              <w:jc w:val="center"/>
            </w:pPr>
          </w:p>
        </w:tc>
      </w:tr>
      <w:tr w14:paraId="46FED77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68635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8B8963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C6794F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CBCC63">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516CABF5">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510DC678">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883DC16">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59F007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FE1080F">
            <w:pPr>
              <w:jc w:val="center"/>
            </w:pPr>
          </w:p>
        </w:tc>
      </w:tr>
      <w:tr w14:paraId="41780E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9D4DB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2BB62F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9D140E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B3B235">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37C8A8B8">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27FD7249">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116336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BBE20C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7FC3488">
            <w:pPr>
              <w:jc w:val="center"/>
            </w:pPr>
          </w:p>
        </w:tc>
      </w:tr>
      <w:tr w14:paraId="3473A6E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5DB2203">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2B49865">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55472339">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1F14F4">
            <w:pPr>
              <w:jc w:val="center"/>
            </w:pPr>
          </w:p>
        </w:tc>
      </w:tr>
    </w:tbl>
    <w:p w14:paraId="53D7236B">
      <w:pPr>
        <w:jc w:val="left"/>
        <w:rPr>
          <w:rFonts w:hint="eastAsia" w:ascii="宋体" w:hAnsi="宋体" w:cs="宋体"/>
          <w:b/>
          <w:bCs/>
          <w:kern w:val="0"/>
          <w:sz w:val="18"/>
          <w:szCs w:val="18"/>
        </w:rPr>
      </w:pPr>
    </w:p>
    <w:p w14:paraId="7F76937D">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03051787">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bookmarkStart w:id="37" w:name="_Toc24143"/>
      <w:bookmarkStart w:id="38" w:name="_Toc3250"/>
    </w:p>
    <w:p w14:paraId="13F09A93">
      <w:pPr>
        <w:widowControl/>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br w:type="page"/>
      </w:r>
    </w:p>
    <w:p w14:paraId="756445EB">
      <w:pPr>
        <w:ind w:firstLine="640" w:firstLineChars="200"/>
        <w:jc w:val="center"/>
        <w:rPr>
          <w:rFonts w:hint="eastAsia" w:ascii="黑体" w:hAnsi="黑体" w:eastAsia="黑体"/>
          <w:sz w:val="32"/>
          <w:szCs w:val="32"/>
        </w:rPr>
      </w:pPr>
      <w:r>
        <w:rPr>
          <w:rFonts w:hint="eastAsia" w:ascii="黑体" w:hAnsi="黑体" w:eastAsia="黑体"/>
          <w:sz w:val="32"/>
          <w:szCs w:val="32"/>
        </w:rPr>
        <w:t>第三部分 专业名词解释</w:t>
      </w:r>
      <w:bookmarkEnd w:id="37"/>
      <w:bookmarkEnd w:id="38"/>
    </w:p>
    <w:p w14:paraId="22DB4B3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1E0B3A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3457E1A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A77DBE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33BA41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2125C7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572533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DEE525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D9E81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4AA7AD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7B36C5C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7F4DFD9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E0680C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86C33C">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EFC9B27">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BD91682">
      <w:pPr>
        <w:ind w:firstLine="640" w:firstLineChars="200"/>
        <w:outlineLvl w:val="1"/>
        <w:rPr>
          <w:rFonts w:hint="eastAsia" w:ascii="黑体" w:hAnsi="黑体" w:eastAsia="仿宋_GB2312" w:cs="宋体"/>
          <w:bCs/>
          <w:kern w:val="0"/>
          <w:sz w:val="32"/>
          <w:szCs w:val="32"/>
        </w:rPr>
      </w:pPr>
      <w:bookmarkStart w:id="39" w:name="_Toc2183"/>
      <w:bookmarkStart w:id="40" w:name="_Toc6062"/>
      <w:r>
        <w:rPr>
          <w:rFonts w:hint="eastAsia" w:ascii="黑体" w:hAnsi="黑体" w:eastAsia="仿宋_GB2312" w:cs="宋体"/>
          <w:bCs/>
          <w:kern w:val="0"/>
          <w:sz w:val="32"/>
          <w:szCs w:val="32"/>
        </w:rPr>
        <w:t>一、《收入支出决算总表》</w:t>
      </w:r>
      <w:bookmarkEnd w:id="39"/>
      <w:bookmarkEnd w:id="40"/>
    </w:p>
    <w:p w14:paraId="02417670">
      <w:pPr>
        <w:ind w:firstLine="640" w:firstLineChars="200"/>
        <w:outlineLvl w:val="1"/>
        <w:rPr>
          <w:rFonts w:hint="eastAsia" w:ascii="黑体" w:hAnsi="黑体" w:eastAsia="仿宋_GB2312" w:cs="宋体"/>
          <w:bCs/>
          <w:kern w:val="0"/>
          <w:sz w:val="32"/>
          <w:szCs w:val="32"/>
        </w:rPr>
      </w:pPr>
      <w:bookmarkStart w:id="41" w:name="_Toc30364"/>
      <w:bookmarkStart w:id="42" w:name="_Toc24532"/>
      <w:r>
        <w:rPr>
          <w:rFonts w:hint="eastAsia" w:ascii="黑体" w:hAnsi="黑体" w:eastAsia="仿宋_GB2312" w:cs="宋体"/>
          <w:bCs/>
          <w:kern w:val="0"/>
          <w:sz w:val="32"/>
          <w:szCs w:val="32"/>
        </w:rPr>
        <w:t>二、《收入决算表》</w:t>
      </w:r>
      <w:bookmarkEnd w:id="41"/>
      <w:bookmarkEnd w:id="42"/>
    </w:p>
    <w:p w14:paraId="246947E2">
      <w:pPr>
        <w:ind w:firstLine="640" w:firstLineChars="200"/>
        <w:outlineLvl w:val="1"/>
        <w:rPr>
          <w:rFonts w:hint="eastAsia" w:ascii="黑体" w:hAnsi="黑体" w:eastAsia="仿宋_GB2312" w:cs="宋体"/>
          <w:bCs/>
          <w:kern w:val="0"/>
          <w:sz w:val="32"/>
          <w:szCs w:val="32"/>
        </w:rPr>
      </w:pPr>
      <w:bookmarkStart w:id="43" w:name="_Toc32434"/>
      <w:bookmarkStart w:id="44" w:name="_Toc21304"/>
      <w:r>
        <w:rPr>
          <w:rFonts w:hint="eastAsia" w:ascii="黑体" w:hAnsi="黑体" w:eastAsia="仿宋_GB2312" w:cs="宋体"/>
          <w:bCs/>
          <w:kern w:val="0"/>
          <w:sz w:val="32"/>
          <w:szCs w:val="32"/>
        </w:rPr>
        <w:t>三、《支出决算表》</w:t>
      </w:r>
      <w:bookmarkEnd w:id="43"/>
      <w:bookmarkEnd w:id="44"/>
    </w:p>
    <w:p w14:paraId="75F76E7C">
      <w:pPr>
        <w:ind w:firstLine="640" w:firstLineChars="200"/>
        <w:outlineLvl w:val="1"/>
        <w:rPr>
          <w:rFonts w:hint="eastAsia" w:ascii="黑体" w:hAnsi="黑体" w:eastAsia="仿宋_GB2312" w:cs="宋体"/>
          <w:bCs/>
          <w:kern w:val="0"/>
          <w:sz w:val="32"/>
          <w:szCs w:val="32"/>
        </w:rPr>
      </w:pPr>
      <w:bookmarkStart w:id="45" w:name="_Toc28786"/>
      <w:bookmarkStart w:id="46" w:name="_Toc14238"/>
      <w:r>
        <w:rPr>
          <w:rFonts w:hint="eastAsia" w:ascii="黑体" w:hAnsi="黑体" w:eastAsia="仿宋_GB2312" w:cs="宋体"/>
          <w:bCs/>
          <w:kern w:val="0"/>
          <w:sz w:val="32"/>
          <w:szCs w:val="32"/>
        </w:rPr>
        <w:t>四、《财政拨款收入支出决算总表》</w:t>
      </w:r>
      <w:bookmarkEnd w:id="45"/>
      <w:bookmarkEnd w:id="46"/>
    </w:p>
    <w:p w14:paraId="30568388">
      <w:pPr>
        <w:ind w:firstLine="640" w:firstLineChars="200"/>
        <w:outlineLvl w:val="1"/>
        <w:rPr>
          <w:rFonts w:hint="eastAsia" w:ascii="黑体" w:hAnsi="黑体" w:eastAsia="仿宋_GB2312" w:cs="宋体"/>
          <w:bCs/>
          <w:kern w:val="0"/>
          <w:sz w:val="32"/>
          <w:szCs w:val="32"/>
        </w:rPr>
      </w:pPr>
      <w:bookmarkStart w:id="47" w:name="_Toc10347"/>
      <w:bookmarkStart w:id="48" w:name="_Toc14869"/>
      <w:r>
        <w:rPr>
          <w:rFonts w:hint="eastAsia" w:ascii="黑体" w:hAnsi="黑体" w:eastAsia="仿宋_GB2312" w:cs="宋体"/>
          <w:bCs/>
          <w:kern w:val="0"/>
          <w:sz w:val="32"/>
          <w:szCs w:val="32"/>
        </w:rPr>
        <w:t>五、《一般公共预算财政拨款支出决算表》</w:t>
      </w:r>
      <w:bookmarkEnd w:id="47"/>
      <w:bookmarkEnd w:id="48"/>
    </w:p>
    <w:p w14:paraId="0200D53F">
      <w:pPr>
        <w:ind w:firstLine="640" w:firstLineChars="200"/>
        <w:outlineLvl w:val="1"/>
        <w:rPr>
          <w:rFonts w:hint="eastAsia" w:ascii="黑体" w:hAnsi="黑体" w:eastAsia="仿宋_GB2312" w:cs="宋体"/>
          <w:bCs/>
          <w:kern w:val="0"/>
          <w:sz w:val="32"/>
          <w:szCs w:val="32"/>
        </w:rPr>
      </w:pPr>
      <w:bookmarkStart w:id="49" w:name="_Toc5626"/>
      <w:bookmarkStart w:id="50" w:name="_Toc8884"/>
      <w:r>
        <w:rPr>
          <w:rFonts w:hint="eastAsia" w:ascii="黑体" w:hAnsi="黑体" w:eastAsia="仿宋_GB2312" w:cs="宋体"/>
          <w:bCs/>
          <w:kern w:val="0"/>
          <w:sz w:val="32"/>
          <w:szCs w:val="32"/>
        </w:rPr>
        <w:t>六、《一般公共预算财政拨款基本支出决算表》</w:t>
      </w:r>
      <w:bookmarkEnd w:id="49"/>
      <w:bookmarkEnd w:id="50"/>
    </w:p>
    <w:p w14:paraId="7501876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51" w:name="_Toc32663"/>
      <w:bookmarkStart w:id="52" w:name="_Toc29106"/>
      <w:r>
        <w:rPr>
          <w:rFonts w:hint="eastAsia" w:ascii="黑体" w:hAnsi="黑体" w:eastAsia="仿宋_GB2312" w:cs="宋体"/>
          <w:bCs/>
          <w:kern w:val="0"/>
          <w:sz w:val="32"/>
          <w:szCs w:val="32"/>
        </w:rPr>
        <w:t>《财政拨款“三公”经费支出决算表》</w:t>
      </w:r>
      <w:bookmarkEnd w:id="51"/>
      <w:bookmarkEnd w:id="52"/>
    </w:p>
    <w:p w14:paraId="56B3AEF7">
      <w:pPr>
        <w:ind w:firstLine="640" w:firstLineChars="200"/>
        <w:outlineLvl w:val="1"/>
        <w:rPr>
          <w:rFonts w:hint="eastAsia" w:ascii="黑体" w:hAnsi="黑体" w:eastAsia="仿宋_GB2312" w:cs="宋体"/>
          <w:bCs/>
          <w:kern w:val="0"/>
          <w:sz w:val="32"/>
          <w:szCs w:val="32"/>
        </w:rPr>
      </w:pPr>
      <w:bookmarkStart w:id="53" w:name="_Toc5453"/>
      <w:bookmarkStart w:id="54" w:name="_Toc7643"/>
      <w:r>
        <w:rPr>
          <w:rFonts w:hint="eastAsia" w:ascii="黑体" w:hAnsi="黑体" w:eastAsia="仿宋_GB2312" w:cs="宋体"/>
          <w:bCs/>
          <w:kern w:val="0"/>
          <w:sz w:val="32"/>
          <w:szCs w:val="32"/>
        </w:rPr>
        <w:t>八、《政府性基金预算财政拨款收入支出决算表》</w:t>
      </w:r>
      <w:bookmarkEnd w:id="53"/>
      <w:bookmarkEnd w:id="54"/>
    </w:p>
    <w:p w14:paraId="464C2DF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738B6C2F">
      <w:pPr>
        <w:ind w:firstLine="640" w:firstLineChars="200"/>
        <w:rPr>
          <w:rFonts w:ascii="仿宋_GB2312" w:eastAsia="仿宋_GB2312"/>
          <w:sz w:val="32"/>
          <w:szCs w:val="32"/>
        </w:rPr>
      </w:pPr>
    </w:p>
    <w:p w14:paraId="46C24E05">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11C2B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33C7B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3933C7B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0F0CDA"/>
    <w:rsid w:val="0009574D"/>
    <w:rsid w:val="000F0CDA"/>
    <w:rsid w:val="001C289D"/>
    <w:rsid w:val="002118AF"/>
    <w:rsid w:val="00213C59"/>
    <w:rsid w:val="00273325"/>
    <w:rsid w:val="003210CE"/>
    <w:rsid w:val="003716D4"/>
    <w:rsid w:val="00422537"/>
    <w:rsid w:val="004B3976"/>
    <w:rsid w:val="00502D1B"/>
    <w:rsid w:val="00542B7B"/>
    <w:rsid w:val="006123B2"/>
    <w:rsid w:val="006164DD"/>
    <w:rsid w:val="00655D91"/>
    <w:rsid w:val="007C3DEB"/>
    <w:rsid w:val="007F1E8E"/>
    <w:rsid w:val="009B0965"/>
    <w:rsid w:val="00A055B0"/>
    <w:rsid w:val="00B70D59"/>
    <w:rsid w:val="00B94B65"/>
    <w:rsid w:val="00C610C2"/>
    <w:rsid w:val="00D90482"/>
    <w:rsid w:val="00F52A8D"/>
    <w:rsid w:val="00FC324D"/>
    <w:rsid w:val="019404F8"/>
    <w:rsid w:val="01C30B6B"/>
    <w:rsid w:val="01ED22F2"/>
    <w:rsid w:val="02BD3108"/>
    <w:rsid w:val="02F73D26"/>
    <w:rsid w:val="034D4FEF"/>
    <w:rsid w:val="035D1785"/>
    <w:rsid w:val="039F47CE"/>
    <w:rsid w:val="03BD5310"/>
    <w:rsid w:val="03E05CE8"/>
    <w:rsid w:val="03F973EE"/>
    <w:rsid w:val="043E5B56"/>
    <w:rsid w:val="044C0BBF"/>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91779"/>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885010"/>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8247</Words>
  <Characters>9479</Characters>
  <Lines>78</Lines>
  <Paragraphs>22</Paragraphs>
  <TotalTime>50</TotalTime>
  <ScaleCrop>false</ScaleCrop>
  <LinksUpToDate>false</LinksUpToDate>
  <CharactersWithSpaces>9489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2024-12-27T06:40:21Z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