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auto"/>
          <w:kern w:val="0"/>
          <w:sz w:val="52"/>
          <w:szCs w:val="52"/>
          <w:highlight w:val="none"/>
        </w:rPr>
      </w:pPr>
      <w:bookmarkStart w:id="9" w:name="_GoBack"/>
      <w:bookmarkEnd w:id="9"/>
    </w:p>
    <w:p>
      <w:pPr>
        <w:spacing w:line="540" w:lineRule="exact"/>
        <w:rPr>
          <w:rFonts w:eastAsia="华文中宋"/>
          <w:b/>
          <w:color w:val="auto"/>
          <w:kern w:val="0"/>
          <w:sz w:val="52"/>
          <w:szCs w:val="52"/>
          <w:highlight w:val="none"/>
        </w:rPr>
      </w:pPr>
    </w:p>
    <w:p>
      <w:pPr>
        <w:spacing w:line="540" w:lineRule="exact"/>
        <w:jc w:val="center"/>
        <w:rPr>
          <w:rFonts w:eastAsia="华文中宋"/>
          <w:b/>
          <w:color w:val="auto"/>
          <w:kern w:val="0"/>
          <w:sz w:val="52"/>
          <w:szCs w:val="52"/>
          <w:highlight w:val="none"/>
        </w:rPr>
      </w:pPr>
    </w:p>
    <w:p>
      <w:pPr>
        <w:spacing w:line="540" w:lineRule="exact"/>
        <w:jc w:val="center"/>
        <w:rPr>
          <w:rFonts w:eastAsia="华文中宋"/>
          <w:b/>
          <w:color w:val="auto"/>
          <w:kern w:val="0"/>
          <w:sz w:val="52"/>
          <w:szCs w:val="52"/>
          <w:highlight w:val="none"/>
        </w:rPr>
      </w:pPr>
    </w:p>
    <w:p>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rPr>
        <w:t>文化保护传承利用工程-江布拉克景区基础设施建设项目（昌州财建【2021】50号）</w:t>
      </w:r>
      <w:r>
        <w:rPr>
          <w:rFonts w:eastAsia="方正小标宋_GBK"/>
          <w:color w:val="auto"/>
          <w:kern w:val="0"/>
          <w:sz w:val="48"/>
          <w:szCs w:val="48"/>
          <w:highlight w:val="none"/>
        </w:rPr>
        <w:t>资金项目支出绩效评价报告</w:t>
      </w:r>
    </w:p>
    <w:p>
      <w:pPr>
        <w:spacing w:line="540" w:lineRule="exact"/>
        <w:jc w:val="center"/>
        <w:rPr>
          <w:rFonts w:eastAsia="华文中宋"/>
          <w:b/>
          <w:color w:val="auto"/>
          <w:kern w:val="0"/>
          <w:sz w:val="52"/>
          <w:szCs w:val="52"/>
          <w:highlight w:val="none"/>
        </w:rPr>
      </w:pPr>
    </w:p>
    <w:p>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202</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年度）</w:t>
      </w: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pStyle w:val="2"/>
        <w:rPr>
          <w:color w:val="auto"/>
          <w:highlight w:val="none"/>
        </w:rPr>
      </w:pPr>
    </w:p>
    <w:p>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项目名称：</w:t>
      </w:r>
      <w:r>
        <w:rPr>
          <w:rFonts w:hint="eastAsia" w:eastAsia="仿宋_GB2312"/>
          <w:color w:val="auto"/>
          <w:kern w:val="0"/>
          <w:sz w:val="36"/>
          <w:szCs w:val="36"/>
          <w:highlight w:val="none"/>
        </w:rPr>
        <w:t>文化保护传承利用工程-江布拉克景区基础设施建设项目（昌州财建【2021】50号）</w:t>
      </w:r>
    </w:p>
    <w:p>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实施单位（公章）：</w:t>
      </w:r>
      <w:r>
        <w:rPr>
          <w:rFonts w:hint="eastAsia" w:eastAsia="仿宋_GB2312"/>
          <w:color w:val="auto"/>
          <w:kern w:val="0"/>
          <w:sz w:val="36"/>
          <w:szCs w:val="36"/>
          <w:highlight w:val="none"/>
          <w:lang w:eastAsia="zh-CN"/>
        </w:rPr>
        <w:t>奇台县江布拉克景区管理委员会</w:t>
      </w:r>
    </w:p>
    <w:p>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主管部门（公章）：</w:t>
      </w:r>
      <w:r>
        <w:rPr>
          <w:rFonts w:hint="eastAsia" w:eastAsia="仿宋_GB2312"/>
          <w:color w:val="auto"/>
          <w:kern w:val="0"/>
          <w:sz w:val="36"/>
          <w:szCs w:val="36"/>
          <w:highlight w:val="none"/>
          <w:lang w:eastAsia="zh-CN"/>
        </w:rPr>
        <w:t>奇台县江布拉克景区管理委员会</w:t>
      </w:r>
    </w:p>
    <w:p>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eastAsia="zh-CN"/>
        </w:rPr>
        <w:t>甘世全</w:t>
      </w:r>
    </w:p>
    <w:p>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2024</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16</w:t>
      </w:r>
      <w:r>
        <w:rPr>
          <w:rFonts w:eastAsia="仿宋_GB2312"/>
          <w:color w:val="auto"/>
          <w:kern w:val="0"/>
          <w:sz w:val="36"/>
          <w:szCs w:val="36"/>
          <w:highlight w:val="none"/>
        </w:rPr>
        <w:t>日</w:t>
      </w:r>
    </w:p>
    <w:p>
      <w:pPr>
        <w:spacing w:line="560" w:lineRule="exact"/>
        <w:ind w:firstLine="640" w:firstLineChars="200"/>
        <w:rPr>
          <w:rFonts w:eastAsia="黑体"/>
          <w:bCs/>
          <w:color w:val="auto"/>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一、基本情况</w:t>
      </w:r>
    </w:p>
    <w:p>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pPr>
        <w:spacing w:line="560" w:lineRule="exact"/>
        <w:ind w:firstLine="640" w:firstLineChars="200"/>
        <w:rPr>
          <w:rStyle w:val="16"/>
          <w:rFonts w:hint="eastAsia" w:eastAsia="黑体"/>
          <w:b w:val="0"/>
          <w:bCs/>
          <w:color w:val="auto"/>
          <w:spacing w:val="-4"/>
          <w:sz w:val="32"/>
          <w:szCs w:val="32"/>
          <w:highlight w:val="none"/>
          <w:lang w:eastAsia="zh-CN"/>
        </w:rPr>
      </w:pPr>
      <w:r>
        <w:rPr>
          <w:rFonts w:hint="eastAsia" w:eastAsia="仿宋_GB2312"/>
          <w:color w:val="auto"/>
          <w:sz w:val="32"/>
          <w:szCs w:val="32"/>
          <w:highlight w:val="none"/>
        </w:rPr>
        <w:t>随着昌吉州旅游经济的发展，景区游客数量增加，现有的旅游景区基础设施已不能满足广大游客的需求。为加强旅游基础设施建设和生态环境建设，改善景区基础设施条件，提升景区形象，促进景区快速发展，实施该项目。</w:t>
      </w:r>
    </w:p>
    <w:p>
      <w:pPr>
        <w:pStyle w:val="2"/>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pPr>
        <w:spacing w:line="560" w:lineRule="exact"/>
        <w:ind w:firstLine="640" w:firstLineChars="200"/>
        <w:rPr>
          <w:rFonts w:hint="eastAsia" w:eastAsia="仿宋_GB2312"/>
          <w:color w:val="auto"/>
          <w:sz w:val="32"/>
          <w:szCs w:val="32"/>
          <w:highlight w:val="none"/>
          <w:lang w:eastAsia="zh-CN"/>
        </w:rPr>
      </w:pPr>
      <w:r>
        <w:rPr>
          <w:rFonts w:hint="eastAsia" w:eastAsia="仿宋_GB2312"/>
          <w:color w:val="auto"/>
          <w:sz w:val="32"/>
          <w:szCs w:val="32"/>
          <w:highlight w:val="none"/>
          <w:lang w:val="en-US" w:eastAsia="zh-CN"/>
        </w:rPr>
        <w:t>项目主要内容：完成景区智慧旅游信息化建设；完成景区大门及导视导览指示系统建设；改扩建景区10000平方米生态停车场及充电等配套服务设施；新建旅游公厕1座。</w:t>
      </w:r>
    </w:p>
    <w:p>
      <w:pPr>
        <w:spacing w:line="560" w:lineRule="exact"/>
        <w:ind w:firstLine="640" w:firstLineChars="200"/>
        <w:rPr>
          <w:color w:val="auto"/>
          <w:highlight w:val="none"/>
        </w:rPr>
      </w:pPr>
      <w:r>
        <w:rPr>
          <w:rFonts w:eastAsia="仿宋_GB2312"/>
          <w:color w:val="auto"/>
          <w:sz w:val="32"/>
          <w:szCs w:val="32"/>
          <w:highlight w:val="none"/>
        </w:rPr>
        <w:t>项目实施情况：项目目前已经完成实际设立的目标，项目在实施过程中严格按照目标设立的各阶段任务进行开展工作，在前期立项过程中严格把质量关，建立安全防护机制，保证项目实施各阶段安全顺利进行。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该项目年初预算数610万元，全年预算数610万元，实际总投入610万元，该项目资金已全部落实到位，资金来源为中央预算内资金。</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该项目年初预算数610万元，全年预算数610万元，全年执行数610万元，预算执行率为100%，主要用于：江布拉克景区基础设施建设。</w:t>
      </w:r>
    </w:p>
    <w:p>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pPr>
        <w:pStyle w:val="4"/>
        <w:keepNext w:val="0"/>
        <w:keepLines w:val="0"/>
        <w:widowControl/>
        <w:suppressLineNumbers w:val="0"/>
        <w:shd w:val="clear" w:fill="FFFFFF"/>
        <w:spacing w:before="0" w:beforeAutospacing="0" w:after="0" w:afterAutospacing="0" w:line="21" w:lineRule="atLeast"/>
        <w:ind w:left="0" w:right="0" w:firstLine="640" w:firstLineChars="200"/>
        <w:rPr>
          <w:rFonts w:hint="eastAsia" w:eastAsia="黑体"/>
          <w:b w:val="0"/>
          <w:bCs/>
          <w:color w:val="auto"/>
          <w:highlight w:val="none"/>
          <w:lang w:eastAsia="zh-CN"/>
        </w:rPr>
      </w:pPr>
      <w:r>
        <w:rPr>
          <w:rFonts w:hint="default" w:ascii="仿宋_GB2312" w:hAnsi="仿宋_GB2312" w:eastAsia="仿宋_GB2312" w:cs="仿宋_GB2312"/>
          <w:b w:val="0"/>
          <w:bCs w:val="0"/>
          <w:color w:val="auto"/>
          <w:kern w:val="2"/>
          <w:sz w:val="32"/>
          <w:szCs w:val="32"/>
          <w:highlight w:val="none"/>
          <w:lang w:val="en-US" w:eastAsia="zh-CN" w:bidi="ar-SA"/>
        </w:rPr>
        <w:t>文化保护传承利用工程-江布拉克景区基础设施建设项目（昌州财建【2021】50号）</w:t>
      </w:r>
      <w:r>
        <w:rPr>
          <w:rFonts w:hint="eastAsia" w:ascii="仿宋_GB2312" w:hAnsi="仿宋_GB2312" w:eastAsia="仿宋_GB2312" w:cs="仿宋_GB2312"/>
          <w:b w:val="0"/>
          <w:bCs w:val="0"/>
          <w:color w:val="auto"/>
          <w:kern w:val="2"/>
          <w:sz w:val="32"/>
          <w:szCs w:val="32"/>
          <w:highlight w:val="none"/>
          <w:lang w:val="en-US" w:eastAsia="zh-CN" w:bidi="ar-SA"/>
        </w:rPr>
        <w:t>随着昌吉州旅游经济的发展，景区游客数量增加，现有的旅游景区基础设施已不能满足广大游客的需求。为加强旅游基础设施建设和生态环境建设，改善景区基础设施条件，提升景区形象，促进景区快速发展，实施该项目。</w:t>
      </w:r>
    </w:p>
    <w:p>
      <w:pPr>
        <w:numPr>
          <w:ilvl w:val="0"/>
          <w:numId w:val="0"/>
        </w:numPr>
        <w:spacing w:line="560" w:lineRule="exact"/>
        <w:ind w:firstLine="640" w:firstLineChars="200"/>
        <w:rPr>
          <w:rFonts w:eastAsia="仿宋_GB2312"/>
          <w:color w:val="auto"/>
          <w:sz w:val="32"/>
          <w:szCs w:val="32"/>
          <w:highlight w:val="none"/>
        </w:rPr>
      </w:pPr>
      <w:r>
        <w:rPr>
          <w:rFonts w:hint="eastAsia" w:eastAsia="仿宋_GB2312"/>
          <w:color w:val="auto"/>
          <w:sz w:val="32"/>
          <w:szCs w:val="32"/>
          <w:highlight w:val="none"/>
          <w:lang w:val="en-US" w:eastAsia="zh-CN"/>
        </w:rPr>
        <w:t>2、</w:t>
      </w:r>
      <w:r>
        <w:rPr>
          <w:rFonts w:eastAsia="仿宋_GB2312"/>
          <w:color w:val="auto"/>
          <w:sz w:val="32"/>
          <w:szCs w:val="32"/>
          <w:highlight w:val="none"/>
        </w:rPr>
        <w:t>阶段性目标</w:t>
      </w:r>
    </w:p>
    <w:p>
      <w:pPr>
        <w:numPr>
          <w:ilvl w:val="0"/>
          <w:numId w:val="0"/>
        </w:numPr>
        <w:spacing w:line="560" w:lineRule="exact"/>
        <w:ind w:firstLine="640" w:firstLineChars="200"/>
        <w:rPr>
          <w:rFonts w:hint="default"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截止2023年7月13日，</w:t>
      </w:r>
      <w:r>
        <w:rPr>
          <w:rFonts w:hint="default" w:ascii="仿宋_GB2312" w:hAnsi="仿宋_GB2312" w:eastAsia="仿宋_GB2312" w:cs="仿宋_GB2312"/>
          <w:b w:val="0"/>
          <w:bCs w:val="0"/>
          <w:color w:val="auto"/>
          <w:kern w:val="2"/>
          <w:sz w:val="32"/>
          <w:szCs w:val="32"/>
          <w:highlight w:val="none"/>
          <w:lang w:val="en-US" w:eastAsia="zh-CN" w:bidi="ar-SA"/>
        </w:rPr>
        <w:t>文化保护传承利用工程-江布拉克景区基础设施建设项目（昌州财建【2021】50号）</w:t>
      </w:r>
      <w:r>
        <w:rPr>
          <w:rFonts w:hint="eastAsia" w:ascii="仿宋_GB2312" w:hAnsi="仿宋_GB2312" w:eastAsia="仿宋_GB2312" w:cs="仿宋_GB2312"/>
          <w:b w:val="0"/>
          <w:bCs w:val="0"/>
          <w:color w:val="auto"/>
          <w:kern w:val="2"/>
          <w:sz w:val="32"/>
          <w:szCs w:val="32"/>
          <w:highlight w:val="none"/>
          <w:lang w:val="en-US" w:eastAsia="zh-CN" w:bidi="ar-SA"/>
        </w:rPr>
        <w:t>完成</w:t>
      </w:r>
      <w:r>
        <w:rPr>
          <w:rFonts w:hint="default" w:ascii="仿宋_GB2312" w:hAnsi="仿宋_GB2312" w:eastAsia="仿宋_GB2312" w:cs="仿宋_GB2312"/>
          <w:b w:val="0"/>
          <w:bCs w:val="0"/>
          <w:color w:val="auto"/>
          <w:kern w:val="2"/>
          <w:sz w:val="32"/>
          <w:szCs w:val="32"/>
          <w:highlight w:val="none"/>
          <w:lang w:val="en-US" w:eastAsia="zh-CN" w:bidi="ar-SA"/>
        </w:rPr>
        <w:t>改扩建景区生态停车场面积</w:t>
      </w:r>
      <w:r>
        <w:rPr>
          <w:rFonts w:hint="eastAsia" w:ascii="仿宋_GB2312" w:hAnsi="仿宋_GB2312" w:eastAsia="仿宋_GB2312" w:cs="仿宋_GB2312"/>
          <w:b w:val="0"/>
          <w:bCs w:val="0"/>
          <w:color w:val="auto"/>
          <w:kern w:val="2"/>
          <w:sz w:val="32"/>
          <w:szCs w:val="32"/>
          <w:highlight w:val="none"/>
          <w:lang w:val="en-US" w:eastAsia="zh-CN" w:bidi="ar-SA"/>
        </w:rPr>
        <w:t>10000平方米，新建旅游厕所数量1座，工程验收合格率100%，工程完成及时率100%，</w:t>
      </w:r>
      <w:r>
        <w:rPr>
          <w:rFonts w:hint="default" w:ascii="仿宋_GB2312" w:hAnsi="仿宋_GB2312" w:eastAsia="仿宋_GB2312" w:cs="仿宋_GB2312"/>
          <w:b w:val="0"/>
          <w:bCs w:val="0"/>
          <w:color w:val="auto"/>
          <w:kern w:val="2"/>
          <w:sz w:val="32"/>
          <w:szCs w:val="32"/>
          <w:highlight w:val="none"/>
          <w:lang w:val="en-US" w:eastAsia="zh-CN" w:bidi="ar-SA"/>
        </w:rPr>
        <w:t>项目预算控制率</w:t>
      </w:r>
      <w:r>
        <w:rPr>
          <w:rFonts w:hint="eastAsia" w:ascii="仿宋_GB2312" w:hAnsi="仿宋_GB2312" w:eastAsia="仿宋_GB2312" w:cs="仿宋_GB2312"/>
          <w:b w:val="0"/>
          <w:bCs w:val="0"/>
          <w:color w:val="auto"/>
          <w:kern w:val="2"/>
          <w:sz w:val="32"/>
          <w:szCs w:val="32"/>
          <w:highlight w:val="none"/>
          <w:lang w:val="en-US" w:eastAsia="zh-CN" w:bidi="ar-SA"/>
        </w:rPr>
        <w:t>100%，有效加强旅游基础设施建设，游客满意度95%。</w:t>
      </w:r>
    </w:p>
    <w:p>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w:t>
      </w:r>
      <w:r>
        <w:rPr>
          <w:rFonts w:hint="eastAsia" w:eastAsia="仿宋_GB2312"/>
          <w:color w:val="auto"/>
          <w:sz w:val="32"/>
          <w:szCs w:val="32"/>
          <w:highlight w:val="none"/>
          <w:lang w:eastAsia="zh-CN"/>
        </w:rPr>
        <w:t>理为</w:t>
      </w:r>
      <w:r>
        <w:rPr>
          <w:rFonts w:eastAsia="仿宋_GB2312"/>
          <w:color w:val="auto"/>
          <w:sz w:val="32"/>
          <w:szCs w:val="32"/>
          <w:highlight w:val="none"/>
        </w:rPr>
        <w:t>财政支出运行提供及时、有效的信息。</w:t>
      </w:r>
    </w:p>
    <w:p>
      <w:pPr>
        <w:pStyle w:val="19"/>
        <w:spacing w:line="560" w:lineRule="exact"/>
        <w:ind w:firstLine="640" w:firstLineChars="200"/>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pPr>
        <w:spacing w:line="560" w:lineRule="exact"/>
        <w:ind w:firstLine="640" w:firstLineChars="200"/>
        <w:rPr>
          <w:rFonts w:ascii="仿宋_GB2312" w:hAnsi="仿宋_GB2312" w:eastAsia="仿宋_GB2312" w:cs="仿宋_GB2312"/>
          <w:color w:val="auto"/>
          <w:sz w:val="32"/>
          <w:szCs w:val="32"/>
          <w:highlight w:val="none"/>
        </w:rPr>
      </w:pPr>
      <w:r>
        <w:rPr>
          <w:rFonts w:hint="default" w:ascii="仿宋_GB2312" w:hAnsi="仿宋_GB2312" w:eastAsia="仿宋_GB2312" w:cs="仿宋_GB2312"/>
          <w:b w:val="0"/>
          <w:bCs w:val="0"/>
          <w:color w:val="auto"/>
          <w:kern w:val="2"/>
          <w:sz w:val="32"/>
          <w:szCs w:val="32"/>
          <w:highlight w:val="none"/>
          <w:lang w:val="en-US" w:eastAsia="zh-CN" w:bidi="ar-SA"/>
        </w:rPr>
        <w:t>文化保护传承利用工程-江布拉克景区基础设施建设项目（昌州财建【2021】50号）</w:t>
      </w:r>
      <w:r>
        <w:rPr>
          <w:rFonts w:hint="eastAsia" w:ascii="仿宋_GB2312" w:hAnsi="仿宋_GB2312" w:eastAsia="仿宋_GB2312" w:cs="仿宋_GB2312"/>
          <w:color w:val="auto"/>
          <w:sz w:val="32"/>
          <w:szCs w:val="32"/>
          <w:highlight w:val="none"/>
        </w:rPr>
        <w:t>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default" w:ascii="仿宋_GB2312" w:hAnsi="仿宋_GB2312" w:eastAsia="仿宋_GB2312" w:cs="仿宋_GB2312"/>
          <w:b w:val="0"/>
          <w:bCs w:val="0"/>
          <w:color w:val="auto"/>
          <w:kern w:val="2"/>
          <w:sz w:val="32"/>
          <w:szCs w:val="32"/>
          <w:highlight w:val="none"/>
          <w:lang w:val="en-US" w:eastAsia="zh-CN" w:bidi="ar-SA"/>
        </w:rPr>
        <w:t>文化保护传承利用工程-江布拉克景区基础设施建设项目（昌州财建【2021】50号）</w:t>
      </w:r>
      <w:r>
        <w:rPr>
          <w:rFonts w:hint="eastAsia" w:ascii="仿宋_GB2312" w:hAnsi="仿宋_GB2312" w:eastAsia="仿宋_GB2312" w:cs="仿宋_GB2312"/>
          <w:color w:val="auto"/>
          <w:sz w:val="32"/>
          <w:szCs w:val="32"/>
          <w:highlight w:val="none"/>
        </w:rPr>
        <w:t>进行评价，评价核心为专项资金的支出完成情况和效果。</w:t>
      </w:r>
    </w:p>
    <w:p>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w:t>
      </w:r>
      <w:r>
        <w:rPr>
          <w:rFonts w:hint="eastAsia" w:ascii="Times New Roman" w:hAnsi="Times New Roman" w:eastAsia="仿宋_GB2312"/>
          <w:b w:val="0"/>
          <w:bCs w:val="0"/>
          <w:color w:val="auto"/>
          <w:highlight w:val="none"/>
          <w:lang w:eastAsia="zh-CN"/>
        </w:rPr>
        <w:t>地</w:t>
      </w:r>
      <w:r>
        <w:rPr>
          <w:rFonts w:ascii="Times New Roman" w:hAnsi="Times New Roman" w:eastAsia="仿宋_GB2312"/>
          <w:b w:val="0"/>
          <w:bCs w:val="0"/>
          <w:color w:val="auto"/>
          <w:highlight w:val="none"/>
        </w:rPr>
        <w:t>反映。</w:t>
      </w:r>
    </w:p>
    <w:p>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pPr>
        <w:spacing w:line="560" w:lineRule="exact"/>
        <w:ind w:firstLine="708" w:firstLineChars="200"/>
        <w:rPr>
          <w:rFonts w:eastAsia="仿宋_GB2312"/>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w:t>
      </w:r>
      <w:r>
        <w:rPr>
          <w:rFonts w:hint="eastAsia" w:eastAsia="仿宋_GB2312"/>
          <w:color w:val="auto"/>
          <w:spacing w:val="17"/>
          <w:sz w:val="32"/>
          <w:szCs w:val="32"/>
          <w:highlight w:val="none"/>
          <w:shd w:val="clear" w:color="auto" w:fill="auto"/>
          <w:lang w:val="en-US" w:eastAsia="zh-CN"/>
        </w:rPr>
        <w:t>划</w:t>
      </w:r>
      <w:r>
        <w:rPr>
          <w:rFonts w:hint="eastAsia" w:eastAsia="仿宋_GB2312"/>
          <w:color w:val="auto"/>
          <w:spacing w:val="17"/>
          <w:sz w:val="32"/>
          <w:szCs w:val="32"/>
          <w:highlight w:val="none"/>
          <w:shd w:val="clear" w:color="auto" w:fill="auto"/>
        </w:rPr>
        <w:t>标准</w:t>
      </w:r>
      <w:r>
        <w:rPr>
          <w:rFonts w:hint="eastAsia" w:eastAsia="仿宋_GB2312"/>
          <w:color w:val="auto"/>
          <w:spacing w:val="17"/>
          <w:sz w:val="32"/>
          <w:szCs w:val="32"/>
          <w:highlight w:val="none"/>
          <w:shd w:val="clear" w:color="auto" w:fill="auto"/>
          <w:lang w:eastAsia="zh-CN"/>
        </w:rPr>
        <w:t>和</w:t>
      </w:r>
      <w:r>
        <w:rPr>
          <w:rFonts w:hint="eastAsia" w:eastAsia="仿宋_GB2312"/>
          <w:color w:val="auto"/>
          <w:spacing w:val="17"/>
          <w:sz w:val="32"/>
          <w:szCs w:val="32"/>
          <w:highlight w:val="none"/>
          <w:lang w:eastAsia="zh-CN"/>
        </w:rPr>
        <w:t>行业标准</w:t>
      </w:r>
      <w:r>
        <w:rPr>
          <w:rFonts w:hint="eastAsia" w:eastAsia="仿宋_GB2312"/>
          <w:color w:val="auto"/>
          <w:spacing w:val="17"/>
          <w:sz w:val="32"/>
          <w:szCs w:val="32"/>
          <w:highlight w:val="none"/>
        </w:rPr>
        <w:t>。</w:t>
      </w:r>
    </w:p>
    <w:p>
      <w:pPr>
        <w:spacing w:line="560" w:lineRule="exact"/>
        <w:ind w:firstLine="708" w:firstLineChars="200"/>
        <w:rPr>
          <w:rFonts w:eastAsia="仿宋_GB2312"/>
          <w:color w:val="auto"/>
          <w:spacing w:val="17"/>
          <w:sz w:val="32"/>
          <w:szCs w:val="32"/>
          <w:highlight w:val="none"/>
        </w:rPr>
      </w:pPr>
      <w:bookmarkStart w:id="0" w:name="_Toc17882"/>
      <w:bookmarkStart w:id="1" w:name="_Toc31464"/>
      <w:r>
        <w:rPr>
          <w:rFonts w:hint="eastAsia" w:eastAsia="仿宋_GB2312"/>
          <w:color w:val="auto"/>
          <w:spacing w:val="17"/>
          <w:sz w:val="32"/>
          <w:szCs w:val="32"/>
          <w:highlight w:val="none"/>
        </w:rPr>
        <w:t>计划标准：指以预先制定的目标、计划、预算、定额等作为评价标准。</w:t>
      </w:r>
      <w:bookmarkEnd w:id="0"/>
      <w:bookmarkEnd w:id="1"/>
    </w:p>
    <w:p>
      <w:pPr>
        <w:spacing w:line="560" w:lineRule="exact"/>
        <w:ind w:firstLine="708" w:firstLineChars="200"/>
        <w:rPr>
          <w:rFonts w:eastAsia="仿宋_GB2312"/>
          <w:color w:val="auto"/>
          <w:spacing w:val="17"/>
          <w:sz w:val="32"/>
          <w:szCs w:val="32"/>
          <w:highlight w:val="none"/>
        </w:rPr>
      </w:pPr>
      <w:bookmarkStart w:id="2" w:name="_Toc2318"/>
      <w:bookmarkStart w:id="3" w:name="_Toc5633"/>
      <w:r>
        <w:rPr>
          <w:rFonts w:hint="eastAsia" w:eastAsia="仿宋_GB2312"/>
          <w:color w:val="auto"/>
          <w:spacing w:val="17"/>
          <w:sz w:val="32"/>
          <w:szCs w:val="32"/>
          <w:highlight w:val="none"/>
        </w:rPr>
        <w:t>行业标准：指参照国家公布的行业指标数据制定的评价标准。</w:t>
      </w:r>
      <w:bookmarkEnd w:id="2"/>
      <w:bookmarkEnd w:id="3"/>
    </w:p>
    <w:p>
      <w:pPr>
        <w:spacing w:line="560" w:lineRule="exact"/>
        <w:ind w:firstLine="708" w:firstLineChars="200"/>
        <w:rPr>
          <w:rFonts w:eastAsia="方正仿宋_GBK" w:cs="方正仿宋_GBK"/>
          <w:color w:val="auto"/>
          <w:sz w:val="32"/>
          <w:szCs w:val="32"/>
          <w:highlight w:val="none"/>
        </w:rPr>
      </w:pPr>
      <w:bookmarkStart w:id="4" w:name="_Toc16028"/>
      <w:bookmarkStart w:id="5" w:name="_Toc430"/>
      <w:r>
        <w:rPr>
          <w:rFonts w:hint="eastAsia" w:eastAsia="仿宋_GB2312"/>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w:t>
      </w:r>
      <w:r>
        <w:rPr>
          <w:rFonts w:hint="eastAsia" w:eastAsia="仿宋_GB2312" w:cs="Times New Roman"/>
          <w:b w:val="0"/>
          <w:bCs w:val="0"/>
          <w:color w:val="auto"/>
          <w:kern w:val="28"/>
          <w:sz w:val="32"/>
          <w:szCs w:val="32"/>
          <w:highlight w:val="none"/>
          <w:lang w:val="en-US" w:eastAsia="zh-CN" w:bidi="ar-SA"/>
        </w:rPr>
        <w:t>程中</w:t>
      </w:r>
      <w:r>
        <w:rPr>
          <w:rFonts w:hint="eastAsia" w:ascii="Times New Roman" w:hAnsi="Times New Roman" w:eastAsia="仿宋_GB2312" w:cs="Times New Roman"/>
          <w:b w:val="0"/>
          <w:bCs w:val="0"/>
          <w:color w:val="auto"/>
          <w:kern w:val="28"/>
          <w:sz w:val="32"/>
          <w:szCs w:val="32"/>
          <w:highlight w:val="none"/>
          <w:lang w:val="en-US" w:eastAsia="zh-CN" w:bidi="ar-SA"/>
        </w:rPr>
        <w:t>做到认真履职，监督到位。按照相关制度的要求，项目负责人对项目绩效监控执行情况进行跟踪监督，有效完成了本项目的工作目标，确保资金使用安全和最大效益</w:t>
      </w:r>
      <w:r>
        <w:rPr>
          <w:rFonts w:hint="eastAsia" w:eastAsia="仿宋_GB2312" w:cs="Times New Roman"/>
          <w:b w:val="0"/>
          <w:bCs w:val="0"/>
          <w:color w:val="auto"/>
          <w:kern w:val="28"/>
          <w:sz w:val="32"/>
          <w:szCs w:val="32"/>
          <w:highlight w:val="none"/>
          <w:lang w:val="en-US" w:eastAsia="zh-CN" w:bidi="ar-SA"/>
        </w:rPr>
        <w:t>地</w:t>
      </w:r>
      <w:r>
        <w:rPr>
          <w:rFonts w:hint="eastAsia" w:ascii="Times New Roman" w:hAnsi="Times New Roman" w:eastAsia="仿宋_GB2312" w:cs="Times New Roman"/>
          <w:b w:val="0"/>
          <w:bCs w:val="0"/>
          <w:color w:val="auto"/>
          <w:kern w:val="28"/>
          <w:sz w:val="32"/>
          <w:szCs w:val="32"/>
          <w:highlight w:val="none"/>
          <w:lang w:val="en-US" w:eastAsia="zh-CN" w:bidi="ar-SA"/>
        </w:rPr>
        <w:t>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 xml:space="preserve">分，属于“优（良/中/差）”。其中，项目决策类指标权重为20分，得分为 </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%。项目产出类指标权重为40分，得分为</w:t>
      </w:r>
      <w:r>
        <w:rPr>
          <w:rFonts w:hint="eastAsia" w:ascii="Times New Roman" w:hAnsi="Times New Roman" w:eastAsia="仿宋_GB2312"/>
          <w:b w:val="0"/>
          <w:bCs w:val="0"/>
          <w:color w:val="auto"/>
          <w:highlight w:val="none"/>
          <w:lang w:val="en-US" w:eastAsia="zh-CN"/>
        </w:rPr>
        <w:t>40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highlight w:val="none"/>
              </w:rPr>
            </w:pPr>
            <w:r>
              <w:rPr>
                <w:rFonts w:hint="eastAsia"/>
                <w:b/>
                <w:bCs/>
                <w:color w:val="auto"/>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r>
    </w:tbl>
    <w:p>
      <w:pPr>
        <w:spacing w:line="560" w:lineRule="exact"/>
        <w:ind w:firstLine="640" w:firstLineChars="200"/>
        <w:rPr>
          <w:rFonts w:eastAsia="黑体"/>
          <w:color w:val="auto"/>
          <w:sz w:val="32"/>
          <w:szCs w:val="32"/>
          <w:highlight w:val="none"/>
        </w:rPr>
      </w:pPr>
      <w:r>
        <w:rPr>
          <w:rFonts w:eastAsia="黑体"/>
          <w:color w:val="auto"/>
          <w:sz w:val="32"/>
          <w:szCs w:val="32"/>
          <w:highlight w:val="none"/>
        </w:rPr>
        <w:t>四、绩效评价指标分析</w:t>
      </w:r>
    </w:p>
    <w:p>
      <w:pPr>
        <w:pStyle w:val="2"/>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pPr>
        <w:shd w:val="clear"/>
        <w:spacing w:line="600" w:lineRule="exact"/>
        <w:ind w:firstLine="600" w:firstLineChars="200"/>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项目决策类指标包括项目立项、绩效目标和资金投入三方面的内容，由6个三级指标构成，权重分值为20分，实际得分20分，得分率为100%。</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highlight w:val="none"/>
          <w:lang w:val="en-US" w:eastAsia="zh-CN"/>
        </w:rPr>
        <w:t>三级指标构成，权重分值为20分，</w:t>
      </w:r>
      <w:r>
        <w:rPr>
          <w:rFonts w:hint="eastAsia" w:ascii="仿宋_GB2312" w:hAnsi="仿宋_GB2312" w:eastAsia="仿宋_GB2312" w:cs="仿宋_GB2312"/>
          <w:color w:val="auto"/>
          <w:sz w:val="32"/>
          <w:szCs w:val="32"/>
          <w:highlight w:val="none"/>
          <w:lang w:val="en-US" w:eastAsia="zh-CN"/>
        </w:rPr>
        <w:t>实际得分20分，得分率为100%。</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w:t>
      </w:r>
      <w:r>
        <w:rPr>
          <w:rFonts w:hint="eastAsia" w:ascii="仿宋_GB2312" w:hAnsi="仿宋_GB2312" w:eastAsia="仿宋_GB2312" w:cs="仿宋_GB2312"/>
          <w:color w:val="auto"/>
          <w:sz w:val="32"/>
          <w:szCs w:val="32"/>
          <w:highlight w:val="none"/>
          <w:lang w:val="en-US" w:eastAsia="zh-CN"/>
        </w:rPr>
        <w:t>总投资610万元，财政资金及时足额到位，到位率100%，预算资金按</w:t>
      </w:r>
      <w:r>
        <w:rPr>
          <w:rFonts w:hint="eastAsia" w:ascii="仿宋_GB2312" w:hAnsi="仿宋_GB2312" w:eastAsia="仿宋_GB2312" w:cs="仿宋_GB2312"/>
          <w:color w:val="auto"/>
          <w:sz w:val="32"/>
          <w:szCs w:val="32"/>
          <w:highlight w:val="none"/>
          <w:lang w:val="en-US" w:eastAsia="zh-CN"/>
        </w:rPr>
        <w:t>计划进度执行。</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w:t>
      </w:r>
      <w:r>
        <w:rPr>
          <w:rFonts w:hint="eastAsia" w:ascii="仿宋_GB2312" w:hAnsi="仿宋_GB2312" w:eastAsia="仿宋_GB2312" w:cs="仿宋_GB2312"/>
          <w:color w:val="auto"/>
          <w:sz w:val="32"/>
          <w:szCs w:val="32"/>
          <w:highlight w:val="none"/>
          <w:lang w:val="en-US" w:eastAsia="zh-CN"/>
        </w:rPr>
        <w:t>预算资金支出610万元，预算执行率为100%</w:t>
      </w:r>
      <w:r>
        <w:rPr>
          <w:rFonts w:hint="eastAsia" w:ascii="仿宋_GB2312" w:hAnsi="仿宋_GB2312" w:eastAsia="仿宋_GB2312" w:cs="仿宋_GB2312"/>
          <w:color w:val="auto"/>
          <w:sz w:val="32"/>
          <w:szCs w:val="32"/>
          <w:highlight w:val="none"/>
          <w:lang w:val="en-US" w:eastAsia="zh-CN"/>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5"/>
        </w:numPr>
        <w:spacing w:line="560" w:lineRule="exact"/>
        <w:ind w:firstLine="643"/>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w:t>
      </w:r>
      <w:r>
        <w:rPr>
          <w:rFonts w:hint="eastAsia" w:ascii="仿宋_GB2312" w:hAnsi="仿宋_GB2312" w:eastAsia="仿宋_GB2312" w:cs="仿宋_GB2312"/>
          <w:color w:val="auto"/>
          <w:sz w:val="32"/>
          <w:szCs w:val="32"/>
          <w:highlight w:val="none"/>
          <w:lang w:val="en-US" w:eastAsia="zh-CN"/>
        </w:rPr>
        <w:t>5个三级指标构成，权重分为40分，实际得分40分，得分率为100%。</w:t>
      </w:r>
      <w:r>
        <w:rPr>
          <w:rFonts w:hint="eastAsia" w:ascii="仿宋_GB2312" w:hAnsi="仿宋_GB2312" w:eastAsia="仿宋_GB2312" w:cs="仿宋_GB2312"/>
          <w:color w:val="auto"/>
          <w:sz w:val="32"/>
          <w:szCs w:val="32"/>
          <w:highlight w:val="none"/>
          <w:lang w:val="en-US" w:eastAsia="zh-CN"/>
        </w:rPr>
        <w:t>具体产出指标完成情况如下：</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改扩建生态停车场面积</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=10000平方米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=10000平方米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shd w:val="clear"/>
        <w:kinsoku/>
        <w:wordWrap/>
        <w:overflowPunct/>
        <w:topLinePunct w:val="0"/>
        <w:autoSpaceDE/>
        <w:autoSpaceDN/>
        <w:bidi w:val="0"/>
        <w:adjustRightInd/>
        <w:snapToGrid/>
        <w:spacing w:line="600" w:lineRule="exact"/>
        <w:ind w:left="0" w:leftChars="0" w:firstLine="640" w:firstLineChars="200"/>
        <w:textAlignment w:val="auto"/>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指标2：</w:t>
      </w:r>
      <w:r>
        <w:rPr>
          <w:rFonts w:hint="eastAsia" w:ascii="仿宋_GB2312" w:hAnsi="仿宋_GB2312" w:eastAsia="仿宋_GB2312" w:cs="仿宋_GB2312"/>
          <w:color w:val="auto"/>
          <w:sz w:val="32"/>
          <w:szCs w:val="32"/>
          <w:highlight w:val="none"/>
          <w:lang w:val="en-US" w:eastAsia="zh-CN"/>
        </w:rPr>
        <w:t>新建旅游厕所数量，</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=1座，实际完成值：=1座，</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hd w:val="clear"/>
        <w:spacing w:line="600" w:lineRule="exact"/>
        <w:ind w:left="638" w:leftChars="304" w:firstLine="0" w:firstLineChars="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工程验收合格率（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工程完成及时率（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项目预算控制率（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&lt;=100%</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pStyle w:val="12"/>
        <w:numPr>
          <w:ilvl w:val="0"/>
          <w:numId w:val="5"/>
        </w:numPr>
        <w:spacing w:line="560" w:lineRule="exact"/>
        <w:ind w:firstLine="643"/>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项目效益类指标包括项目实施效益和满意度两方面的内容，由</w:t>
      </w:r>
      <w:r>
        <w:rPr>
          <w:rFonts w:hint="eastAsia" w:ascii="仿宋_GB2312" w:hAnsi="仿宋_GB2312" w:eastAsia="仿宋_GB2312" w:cs="仿宋_GB2312"/>
          <w:color w:val="auto"/>
          <w:sz w:val="32"/>
          <w:szCs w:val="32"/>
          <w:highlight w:val="none"/>
          <w:lang w:val="en-US" w:eastAsia="zh-CN"/>
        </w:rPr>
        <w:t>2个三级指标构成，权重分为20分，实际得分20分，得分率为100%。具</w:t>
      </w:r>
      <w:r>
        <w:rPr>
          <w:rFonts w:hint="eastAsia" w:ascii="仿宋_GB2312" w:hAnsi="仿宋_GB2312" w:eastAsia="仿宋_GB2312" w:cs="仿宋_GB2312"/>
          <w:color w:val="auto"/>
          <w:sz w:val="32"/>
          <w:szCs w:val="32"/>
          <w:highlight w:val="none"/>
          <w:lang w:val="en-US" w:eastAsia="zh-CN"/>
        </w:rPr>
        <w:t>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社会效益指标：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加强旅游基础设施建设</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有效加强</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有效加强</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满意度指标：</w:t>
      </w:r>
    </w:p>
    <w:p>
      <w:pPr>
        <w:shd w:val="clear"/>
        <w:spacing w:line="600" w:lineRule="exact"/>
        <w:ind w:firstLine="640" w:firstLineChars="200"/>
        <w:outlineLvl w:val="0"/>
        <w:rPr>
          <w:rFonts w:hint="eastAsia"/>
          <w:color w:val="auto"/>
          <w:highlight w:val="none"/>
          <w:lang w:eastAsia="zh-Hans"/>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eastAsia="zh-CN"/>
        </w:rPr>
        <w:t>游客满意度（</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&gt;=95%</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pacing w:line="560" w:lineRule="exact"/>
        <w:ind w:firstLine="640" w:firstLineChars="200"/>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pPr>
        <w:pStyle w:val="19"/>
        <w:spacing w:line="560" w:lineRule="exact"/>
        <w:ind w:firstLine="640"/>
        <w:rPr>
          <w:rFonts w:ascii="Times New Roman" w:hAnsi="Times New Roman" w:eastAsia="仿宋_GB2312" w:cs="Times New Roman"/>
          <w:color w:val="auto"/>
          <w:kern w:val="2"/>
          <w:sz w:val="32"/>
          <w:szCs w:val="32"/>
          <w:highlight w:val="none"/>
          <w:lang w:val="en-US" w:eastAsia="zh-CN" w:bidi="ar-SA"/>
        </w:rPr>
      </w:pPr>
      <w:r>
        <w:rPr>
          <w:rFonts w:hint="default" w:ascii="仿宋_GB2312" w:hAnsi="仿宋_GB2312" w:eastAsia="仿宋_GB2312" w:cs="仿宋_GB2312"/>
          <w:b w:val="0"/>
          <w:bCs w:val="0"/>
          <w:color w:val="auto"/>
          <w:kern w:val="2"/>
          <w:sz w:val="32"/>
          <w:szCs w:val="32"/>
          <w:highlight w:val="none"/>
          <w:lang w:val="en-US" w:eastAsia="zh-CN" w:bidi="ar-SA"/>
        </w:rPr>
        <w:t>文化保护传承利用工程-江布拉克景区基础设施建设项目（昌州财建【2021】50号）</w:t>
      </w:r>
      <w:r>
        <w:rPr>
          <w:rFonts w:hint="eastAsia" w:ascii="Times New Roman" w:hAnsi="Times New Roman" w:eastAsia="仿宋_GB2312" w:cs="Times New Roman"/>
          <w:color w:val="auto"/>
          <w:kern w:val="2"/>
          <w:sz w:val="32"/>
          <w:szCs w:val="32"/>
          <w:highlight w:val="none"/>
          <w:lang w:val="en-US" w:eastAsia="zh-CN" w:bidi="ar-SA"/>
        </w:rPr>
        <w:t>年初预算</w:t>
      </w:r>
      <w:r>
        <w:rPr>
          <w:rFonts w:hint="eastAsia" w:eastAsia="仿宋_GB2312" w:cs="Times New Roman"/>
          <w:color w:val="auto"/>
          <w:kern w:val="2"/>
          <w:sz w:val="32"/>
          <w:szCs w:val="32"/>
          <w:highlight w:val="none"/>
          <w:lang w:val="en-US" w:eastAsia="zh-CN" w:bidi="ar-SA"/>
        </w:rPr>
        <w:t>610</w:t>
      </w:r>
      <w:r>
        <w:rPr>
          <w:rFonts w:hint="eastAsia" w:ascii="Times New Roman" w:hAnsi="Times New Roman" w:eastAsia="仿宋_GB2312" w:cs="Times New Roman"/>
          <w:color w:val="auto"/>
          <w:kern w:val="2"/>
          <w:sz w:val="32"/>
          <w:szCs w:val="32"/>
          <w:highlight w:val="none"/>
          <w:lang w:val="en-US" w:eastAsia="zh-CN" w:bidi="ar-SA"/>
        </w:rPr>
        <w:t>万元，全年预算</w:t>
      </w:r>
      <w:r>
        <w:rPr>
          <w:rFonts w:hint="eastAsia" w:eastAsia="仿宋_GB2312" w:cs="Times New Roman"/>
          <w:color w:val="auto"/>
          <w:kern w:val="2"/>
          <w:sz w:val="32"/>
          <w:szCs w:val="32"/>
          <w:highlight w:val="none"/>
          <w:lang w:val="en-US" w:eastAsia="zh-CN" w:bidi="ar-SA"/>
        </w:rPr>
        <w:t>610</w:t>
      </w:r>
      <w:r>
        <w:rPr>
          <w:rFonts w:hint="eastAsia" w:ascii="Times New Roman" w:hAnsi="Times New Roman" w:eastAsia="仿宋_GB2312" w:cs="Times New Roman"/>
          <w:color w:val="auto"/>
          <w:kern w:val="2"/>
          <w:sz w:val="32"/>
          <w:szCs w:val="32"/>
          <w:highlight w:val="none"/>
          <w:lang w:val="en-US" w:eastAsia="zh-CN" w:bidi="ar-SA"/>
        </w:rPr>
        <w:t>万元，实际支出</w:t>
      </w:r>
      <w:r>
        <w:rPr>
          <w:rFonts w:hint="eastAsia" w:eastAsia="仿宋_GB2312" w:cs="Times New Roman"/>
          <w:color w:val="auto"/>
          <w:kern w:val="2"/>
          <w:sz w:val="32"/>
          <w:szCs w:val="32"/>
          <w:highlight w:val="none"/>
          <w:lang w:val="en-US" w:eastAsia="zh-CN" w:bidi="ar-SA"/>
        </w:rPr>
        <w:t>610</w:t>
      </w:r>
      <w:r>
        <w:rPr>
          <w:rFonts w:hint="eastAsia" w:ascii="Times New Roman" w:hAnsi="Times New Roman" w:eastAsia="仿宋_GB2312" w:cs="Times New Roman"/>
          <w:color w:val="auto"/>
          <w:kern w:val="2"/>
          <w:sz w:val="32"/>
          <w:szCs w:val="32"/>
          <w:highlight w:val="none"/>
          <w:lang w:val="en-US" w:eastAsia="zh-CN" w:bidi="ar-SA"/>
        </w:rPr>
        <w:t>万元，预算执行率为</w:t>
      </w:r>
      <w:r>
        <w:rPr>
          <w:rFonts w:hint="eastAsia"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%，项目绩效指标总体完成率为</w:t>
      </w:r>
      <w:r>
        <w:rPr>
          <w:rFonts w:hint="eastAsia"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总体</w:t>
      </w:r>
      <w:r>
        <w:rPr>
          <w:rFonts w:hint="eastAsia" w:ascii="Times New Roman" w:hAnsi="Times New Roman" w:eastAsia="仿宋_GB2312" w:cs="Times New Roman"/>
          <w:color w:val="auto"/>
          <w:kern w:val="2"/>
          <w:sz w:val="32"/>
          <w:szCs w:val="32"/>
          <w:highlight w:val="none"/>
          <w:lang w:val="en-US" w:eastAsia="zh-CN" w:bidi="ar-SA"/>
        </w:rPr>
        <w:t>偏差率为</w:t>
      </w:r>
      <w:r>
        <w:rPr>
          <w:rFonts w:hint="eastAsia" w:eastAsia="仿宋_GB2312" w:cs="Times New Roman"/>
          <w:color w:val="auto"/>
          <w:kern w:val="2"/>
          <w:sz w:val="32"/>
          <w:szCs w:val="32"/>
          <w:highlight w:val="none"/>
          <w:lang w:val="en-US" w:eastAsia="zh-CN" w:bidi="ar-SA"/>
        </w:rPr>
        <w:t>0</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w:t>
      </w:r>
    </w:p>
    <w:p>
      <w:pPr>
        <w:spacing w:line="560" w:lineRule="exact"/>
        <w:ind w:firstLine="640" w:firstLineChars="200"/>
        <w:rPr>
          <w:rStyle w:val="18"/>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color w:val="auto"/>
          <w:kern w:val="2"/>
          <w:highlight w:val="none"/>
        </w:rPr>
      </w:pPr>
      <w:r>
        <w:rPr>
          <w:rFonts w:ascii="Times New Roman" w:hAnsi="Times New Roman" w:eastAsia="仿宋_GB2312"/>
          <w:b w:val="0"/>
          <w:bCs w:val="0"/>
          <w:color w:val="auto"/>
          <w:kern w:val="2"/>
          <w:highlight w:val="none"/>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2.因轮岗、调动等因素使我单位绩效工作人员流动频繁，造成工作衔接不到位的情况。</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3.项目管理制度不健全，制度执行有效性不强，对项目任务提前分解、落实，切实提高财政资金使用率。</w:t>
      </w:r>
    </w:p>
    <w:p>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color w:val="auto"/>
          <w:sz w:val="22"/>
          <w:szCs w:val="28"/>
          <w:highlight w:val="none"/>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highlight w:val="none"/>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pPr>
        <w:pStyle w:val="13"/>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pPr>
        <w:pStyle w:val="13"/>
        <w:spacing w:after="0" w:line="560" w:lineRule="exact"/>
        <w:ind w:left="0" w:leftChars="0" w:firstLine="640"/>
        <w:rPr>
          <w:rFonts w:ascii="仿宋_GB2312" w:hAnsi="仿宋_GB2312" w:eastAsia="仿宋_GB2312" w:cs="仿宋_GB2312"/>
          <w:color w:val="auto"/>
          <w:sz w:val="32"/>
          <w:szCs w:val="32"/>
          <w:highlight w:val="none"/>
        </w:rPr>
      </w:pPr>
    </w:p>
    <w:p>
      <w:pPr>
        <w:pStyle w:val="13"/>
        <w:spacing w:after="0" w:line="560" w:lineRule="exact"/>
        <w:ind w:left="0" w:leftChars="0" w:firstLine="640"/>
        <w:rPr>
          <w:rFonts w:ascii="仿宋_GB2312" w:hAnsi="仿宋_GB2312" w:eastAsia="仿宋_GB2312" w:cs="仿宋_GB2312"/>
          <w:color w:val="auto"/>
          <w:sz w:val="32"/>
          <w:szCs w:val="32"/>
          <w:highlight w:val="none"/>
        </w:rPr>
      </w:pPr>
    </w:p>
    <w:p>
      <w:pPr>
        <w:widowControl/>
        <w:jc w:val="center"/>
        <w:textAlignment w:val="center"/>
        <w:rPr>
          <w:rFonts w:eastAsia="方正小标宋简体"/>
          <w:b/>
          <w:color w:val="auto"/>
          <w:kern w:val="0"/>
          <w:sz w:val="32"/>
          <w:szCs w:val="32"/>
          <w:highlight w:val="none"/>
          <w:lang w:bidi="ar"/>
        </w:rPr>
        <w:sectPr>
          <w:pgSz w:w="11906" w:h="16838"/>
          <w:pgMar w:top="1440" w:right="1558" w:bottom="1440" w:left="1800" w:header="851" w:footer="992" w:gutter="0"/>
          <w:cols w:space="425" w:num="1"/>
          <w:docGrid w:type="lines" w:linePitch="312" w:charSpace="0"/>
        </w:sectPr>
      </w:pPr>
    </w:p>
    <w:tbl>
      <w:tblPr>
        <w:tblStyle w:val="14"/>
        <w:tblW w:w="977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3"/>
        <w:gridCol w:w="735"/>
        <w:gridCol w:w="1020"/>
        <w:gridCol w:w="1290"/>
        <w:gridCol w:w="990"/>
        <w:gridCol w:w="945"/>
        <w:gridCol w:w="870"/>
        <w:gridCol w:w="705"/>
        <w:gridCol w:w="1005"/>
        <w:gridCol w:w="17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773"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773"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860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文化保护传承利用工程-江布拉克景区基础设施建设项目（昌州财建【2021】50号）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1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主管部门</w:t>
            </w:r>
          </w:p>
        </w:tc>
        <w:tc>
          <w:tcPr>
            <w:tcW w:w="424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奇台县江布拉克景区管理委员会</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实施单位</w:t>
            </w:r>
          </w:p>
        </w:tc>
        <w:tc>
          <w:tcPr>
            <w:tcW w:w="3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奇台县江布拉克景区管理委员会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16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（万元）</w:t>
            </w: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年初预算数</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全年预算数</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全年执行数</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执行率</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年度资金总额</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610.00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610.00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610.00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其中：当年财政拨款</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610</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610</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上年结转资金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sz w:val="20"/>
                <w:szCs w:val="20"/>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116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23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其他资金</w:t>
            </w:r>
          </w:p>
        </w:tc>
        <w:tc>
          <w:tcPr>
            <w:tcW w:w="9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年度总体目标</w:t>
            </w:r>
          </w:p>
        </w:tc>
        <w:tc>
          <w:tcPr>
            <w:tcW w:w="49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预期目标</w:t>
            </w:r>
          </w:p>
        </w:tc>
        <w:tc>
          <w:tcPr>
            <w:tcW w:w="43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4980" w:type="dxa"/>
            <w:gridSpan w:val="5"/>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随着昌吉州旅游经济的发展，景区游客数量增加，现有的旅游景区基础设施已不能满足广大游客的需求。为加强旅游基础设施建设和生态环境建设，改善景区基础设施条件，提升景区形象，促进景区快速发展，实施该项目。改扩建景区生态停车场面积10000平方米，改建、新建旅游厕所数量1座，工程验收合格率100%，工程按期完成率100%，项目符合设计标准，提供施工就业岗位数≥15人。</w:t>
            </w:r>
          </w:p>
        </w:tc>
        <w:tc>
          <w:tcPr>
            <w:tcW w:w="4360" w:type="dxa"/>
            <w:gridSpan w:val="4"/>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游客满意度（%）：95；改扩建景区生态停车场面积：10000；新建旅游厕所数量：1；工程验收合格率（%）：100%；工程完成及时率（%）：100%；加强旅游基础设施建设：有效加强；项目预算控制率（%）：100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4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一级指标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二级指标</w:t>
            </w:r>
          </w:p>
        </w:tc>
        <w:tc>
          <w:tcPr>
            <w:tcW w:w="22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三级指标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年度指标值</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实际完成值</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年度绩效指标完成情况</w:t>
            </w: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2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改扩建景区生态停车场面积</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=10000平方米</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=10000平方米</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新建旅游厕所数量</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=1座</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=1座</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工程验收合格率（%）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工程完成及时率（%）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项目预算控制率（%）</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&lt;=100%</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社会成本指标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auto"/>
                <w:sz w:val="20"/>
                <w:szCs w:val="20"/>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0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生态环境成本指标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auto"/>
                <w:sz w:val="20"/>
                <w:szCs w:val="20"/>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0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经济效益指标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auto"/>
                <w:sz w:val="20"/>
                <w:szCs w:val="20"/>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05" w:type="dxa"/>
            <w:tcBorders>
              <w:top w:val="single" w:color="000000" w:sz="4" w:space="0"/>
              <w:left w:val="single" w:color="000000" w:sz="4" w:space="0"/>
              <w:bottom w:val="single" w:color="000000" w:sz="4" w:space="0"/>
              <w:right w:val="nil"/>
            </w:tcBorders>
            <w:shd w:val="clear" w:color="auto" w:fill="auto"/>
            <w:vAlign w:val="center"/>
          </w:tcPr>
          <w:p>
            <w:pP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加强旅游基础设施建设</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有效加强</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有效加强</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生态效益指标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jc w:val="left"/>
              <w:rPr>
                <w:rFonts w:hint="eastAsia" w:ascii="宋体" w:hAnsi="宋体" w:eastAsia="宋体" w:cs="宋体"/>
                <w:i w:val="0"/>
                <w:iCs w:val="0"/>
                <w:color w:val="auto"/>
                <w:sz w:val="20"/>
                <w:szCs w:val="20"/>
                <w:highlight w:val="none"/>
                <w:u w:val="none"/>
              </w:rPr>
            </w:pP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05"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2280" w:type="dxa"/>
            <w:gridSpan w:val="2"/>
            <w:tcBorders>
              <w:top w:val="single" w:color="000000" w:sz="4" w:space="0"/>
              <w:left w:val="single" w:color="000000" w:sz="4" w:space="0"/>
              <w:bottom w:val="single" w:color="000000" w:sz="4" w:space="0"/>
              <w:right w:val="nil"/>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游客满意度（%）</w:t>
            </w:r>
          </w:p>
        </w:tc>
        <w:tc>
          <w:tcPr>
            <w:tcW w:w="9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&gt;=95%</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=95%</w:t>
            </w:r>
          </w:p>
        </w:tc>
        <w:tc>
          <w:tcPr>
            <w:tcW w:w="70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628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总分</w:t>
            </w:r>
          </w:p>
        </w:tc>
        <w:tc>
          <w:tcPr>
            <w:tcW w:w="7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100.00分</w:t>
            </w:r>
          </w:p>
        </w:tc>
        <w:tc>
          <w:tcPr>
            <w:tcW w:w="17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rPr>
            </w:pPr>
          </w:p>
        </w:tc>
      </w:tr>
    </w:tbl>
    <w:p>
      <w:pPr>
        <w:pStyle w:val="2"/>
        <w:jc w:val="both"/>
        <w:rPr>
          <w:rFonts w:ascii="Times New Roman" w:hAnsi="Times New Roman"/>
          <w:color w:val="auto"/>
          <w:highlight w:val="none"/>
        </w:rPr>
        <w:sectPr>
          <w:pgSz w:w="11906" w:h="16838"/>
          <w:pgMar w:top="1440" w:right="1080" w:bottom="1440" w:left="1080" w:header="851" w:footer="992" w:gutter="0"/>
          <w:cols w:space="425" w:num="1"/>
          <w:docGrid w:type="lines" w:linePitch="312" w:charSpace="0"/>
        </w:sectPr>
      </w:pPr>
    </w:p>
    <w:p>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pPr>
        <w:pStyle w:val="19"/>
        <w:ind w:firstLine="562"/>
        <w:jc w:val="center"/>
        <w:rPr>
          <w:color w:val="auto"/>
          <w:sz w:val="28"/>
          <w:szCs w:val="40"/>
          <w:highlight w:val="none"/>
        </w:rPr>
      </w:pPr>
      <w:bookmarkStart w:id="7" w:name="_Toc26499_WPSOffice_Level2"/>
      <w:bookmarkStart w:id="8" w:name="_Toc30064_WPSOffice_Level1"/>
      <w:r>
        <w:rPr>
          <w:rFonts w:hint="eastAsia"/>
          <w:b/>
          <w:bCs/>
          <w:color w:val="auto"/>
          <w:sz w:val="28"/>
          <w:szCs w:val="40"/>
          <w:highlight w:val="none"/>
        </w:rPr>
        <w:t>文化保护传承利用工程-江布拉克景区基础设施建设项目（昌州财建【2021】50号）绩效评价指标体系及综合评分表</w:t>
      </w:r>
      <w:bookmarkEnd w:id="7"/>
      <w:bookmarkEnd w:id="8"/>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7" w:hRule="atLeast"/>
          <w:tblHeader/>
          <w:jc w:val="center"/>
        </w:trPr>
        <w:tc>
          <w:tcPr>
            <w:tcW w:w="328"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301"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2048"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r>
              <w:rPr>
                <w:color w:val="auto"/>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立项依据</w:t>
            </w:r>
          </w:p>
          <w:p>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立项程序</w:t>
            </w:r>
          </w:p>
          <w:p>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绩效指标</w:t>
            </w:r>
          </w:p>
          <w:p>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资金投入</w:t>
            </w:r>
          </w:p>
          <w:p>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预算编制</w:t>
            </w:r>
          </w:p>
          <w:p>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资金分配</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r>
              <w:rPr>
                <w:color w:val="auto"/>
                <w:kern w:val="0"/>
                <w:sz w:val="22"/>
                <w:szCs w:val="22"/>
                <w:highlight w:val="none"/>
              </w:rPr>
              <w:t>过程</w:t>
            </w:r>
          </w:p>
          <w:p>
            <w:pPr>
              <w:widowControl/>
              <w:spacing w:line="0" w:lineRule="atLeast"/>
              <w:jc w:val="center"/>
              <w:rPr>
                <w:color w:val="auto"/>
                <w:kern w:val="0"/>
                <w:sz w:val="22"/>
                <w:szCs w:val="22"/>
                <w:highlight w:val="none"/>
              </w:rPr>
            </w:pPr>
            <w:r>
              <w:rPr>
                <w:color w:val="auto"/>
                <w:kern w:val="0"/>
                <w:sz w:val="22"/>
                <w:szCs w:val="22"/>
                <w:highlight w:val="none"/>
              </w:rPr>
              <w:t>　　</w:t>
            </w: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continue"/>
            <w:shd w:val="clear" w:color="auto" w:fill="FFFFFF"/>
            <w:vAlign w:val="center"/>
          </w:tcPr>
          <w:p>
            <w:pPr>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资金使用</w:t>
            </w:r>
          </w:p>
          <w:p>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组织实施</w:t>
            </w:r>
          </w:p>
          <w:p>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管理制度</w:t>
            </w:r>
          </w:p>
          <w:p>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制度执行</w:t>
            </w:r>
          </w:p>
          <w:p>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auto"/>
                <w:kern w:val="0"/>
                <w:sz w:val="22"/>
                <w:szCs w:val="22"/>
                <w:highlight w:val="none"/>
              </w:rPr>
            </w:pPr>
          </w:p>
        </w:tc>
        <w:tc>
          <w:tcPr>
            <w:tcW w:w="301" w:type="pct"/>
            <w:shd w:val="clear" w:color="auto" w:fill="FFFFFF"/>
            <w:vAlign w:val="center"/>
          </w:tcPr>
          <w:p>
            <w:pPr>
              <w:spacing w:line="0" w:lineRule="atLeast"/>
              <w:jc w:val="center"/>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2048" w:type="pct"/>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auto"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pPr>
              <w:widowControl/>
              <w:spacing w:line="0" w:lineRule="atLeast"/>
              <w:jc w:val="center"/>
              <w:rPr>
                <w:color w:val="auto"/>
                <w:kern w:val="0"/>
                <w:sz w:val="22"/>
                <w:szCs w:val="22"/>
                <w:highlight w:val="none"/>
              </w:rPr>
            </w:pPr>
          </w:p>
        </w:tc>
        <w:tc>
          <w:tcPr>
            <w:tcW w:w="344" w:type="pc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bl>
    <w:p>
      <w:pPr>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FF6C4049"/>
    <w:rsid w:val="006F7242"/>
    <w:rsid w:val="007B168A"/>
    <w:rsid w:val="008B2CFE"/>
    <w:rsid w:val="00F26FF6"/>
    <w:rsid w:val="064A0A8A"/>
    <w:rsid w:val="07397B77"/>
    <w:rsid w:val="09196052"/>
    <w:rsid w:val="13471461"/>
    <w:rsid w:val="13B90F01"/>
    <w:rsid w:val="14BF6334"/>
    <w:rsid w:val="181066D2"/>
    <w:rsid w:val="1C671E73"/>
    <w:rsid w:val="1CF951A9"/>
    <w:rsid w:val="29D22FB6"/>
    <w:rsid w:val="2A06253E"/>
    <w:rsid w:val="2FB56378"/>
    <w:rsid w:val="3489273E"/>
    <w:rsid w:val="38CA40DD"/>
    <w:rsid w:val="395F2B56"/>
    <w:rsid w:val="3BECE841"/>
    <w:rsid w:val="3C650204"/>
    <w:rsid w:val="3FF7797D"/>
    <w:rsid w:val="42E60542"/>
    <w:rsid w:val="441B2960"/>
    <w:rsid w:val="4CC33691"/>
    <w:rsid w:val="58647630"/>
    <w:rsid w:val="5BFF6039"/>
    <w:rsid w:val="5C3974B2"/>
    <w:rsid w:val="5D76A616"/>
    <w:rsid w:val="5D7F20B9"/>
    <w:rsid w:val="5DAC7D0E"/>
    <w:rsid w:val="5E5F1000"/>
    <w:rsid w:val="5F98B5AF"/>
    <w:rsid w:val="5FFE8511"/>
    <w:rsid w:val="5FFEACE2"/>
    <w:rsid w:val="625C5409"/>
    <w:rsid w:val="63D0156C"/>
    <w:rsid w:val="643EE26D"/>
    <w:rsid w:val="65A31B2E"/>
    <w:rsid w:val="68734D3D"/>
    <w:rsid w:val="6D572E2F"/>
    <w:rsid w:val="6F5C41AC"/>
    <w:rsid w:val="6FAF6C78"/>
    <w:rsid w:val="7317C656"/>
    <w:rsid w:val="734ED73F"/>
    <w:rsid w:val="769F74D7"/>
    <w:rsid w:val="777233CA"/>
    <w:rsid w:val="77FD8BE9"/>
    <w:rsid w:val="793C0810"/>
    <w:rsid w:val="79A9BD3F"/>
    <w:rsid w:val="7BFFFDD0"/>
    <w:rsid w:val="7C336E5F"/>
    <w:rsid w:val="7D7A5F86"/>
    <w:rsid w:val="7E0808B0"/>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qFormat/>
    <w:uiPriority w:val="0"/>
    <w:rPr>
      <w:b/>
      <w:bCs/>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5"/>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22</Pages>
  <Words>9506</Words>
  <Characters>9932</Characters>
  <Lines>58</Lines>
  <Paragraphs>16</Paragraphs>
  <TotalTime>3</TotalTime>
  <ScaleCrop>false</ScaleCrop>
  <LinksUpToDate>false</LinksUpToDate>
  <CharactersWithSpaces>9957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杜里里oppo</cp:lastModifiedBy>
  <dcterms:modified xsi:type="dcterms:W3CDTF">2024-10-08T03:19:59Z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EFB2A378BE854BD9BB66815AAFFAD701_13</vt:lpwstr>
  </property>
</Properties>
</file>