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1CB5FD">
      <w:pPr>
        <w:rPr>
          <w:rFonts w:hint="eastAsia" w:ascii="黑体" w:hAnsi="黑体" w:eastAsia="黑体"/>
          <w:sz w:val="32"/>
          <w:szCs w:val="32"/>
        </w:rPr>
      </w:pPr>
    </w:p>
    <w:p w14:paraId="0D7EAB0A">
      <w:pPr>
        <w:jc w:val="center"/>
        <w:rPr>
          <w:rFonts w:hint="eastAsia" w:ascii="方正小标宋_GBK" w:hAnsi="宋体" w:eastAsia="方正小标宋_GBK"/>
          <w:sz w:val="44"/>
          <w:szCs w:val="44"/>
        </w:rPr>
      </w:pPr>
    </w:p>
    <w:p w14:paraId="4F746956">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奇台县芨芨湖镇人民政府</w:t>
      </w:r>
    </w:p>
    <w:p w14:paraId="3FF9E5C1">
      <w:pPr>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14:paraId="70EFEAF6">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3F15D501">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43996819">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6F3B4DA9">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511F50A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3965945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08F8DBF9">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4E1B976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138D24B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28C72EF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7C619E6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4807E6F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72342EB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56F17AB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08FDED7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108AC08D">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3609930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285B2B8C">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4CA25AD2">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0B8316A4">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3F0837B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394E52C7">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0CCA7A55">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4EC3C0C8">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46C7917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7123A59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7F958B1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2706ED5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4FCB1A2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3DB779A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42C2BE9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44161579">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1E429767">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7BB71917">
      <w:r>
        <w:rPr>
          <w:rFonts w:hint="eastAsia" w:ascii="仿宋_GB2312" w:hAnsi="仿宋_GB2312" w:eastAsia="仿宋_GB2312" w:cs="仿宋_GB2312"/>
          <w:sz w:val="32"/>
          <w:szCs w:val="32"/>
        </w:rPr>
        <w:fldChar w:fldCharType="end"/>
      </w:r>
    </w:p>
    <w:p w14:paraId="3A4A7CEB">
      <w:pPr>
        <w:rPr>
          <w:rFonts w:ascii="仿宋_GB2312" w:eastAsia="仿宋_GB2312"/>
          <w:sz w:val="32"/>
          <w:szCs w:val="32"/>
        </w:rPr>
      </w:pPr>
      <w:r>
        <w:rPr>
          <w:rFonts w:hint="eastAsia" w:ascii="仿宋_GB2312" w:eastAsia="仿宋_GB2312"/>
          <w:sz w:val="32"/>
          <w:szCs w:val="32"/>
        </w:rPr>
        <w:br w:type="page"/>
      </w:r>
    </w:p>
    <w:p w14:paraId="56A71D0F">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6412B28C">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14:paraId="56E903FF">
      <w:pPr>
        <w:ind w:firstLine="640" w:firstLineChars="200"/>
        <w:jc w:val="left"/>
        <w:rPr>
          <w:rFonts w:ascii="仿宋_GB2312" w:eastAsia="仿宋_GB2312"/>
          <w:sz w:val="32"/>
          <w:szCs w:val="32"/>
        </w:rPr>
      </w:pPr>
      <w:r>
        <w:rPr>
          <w:rFonts w:hint="eastAsia" w:ascii="仿宋_GB2312" w:eastAsia="仿宋_GB2312"/>
          <w:sz w:val="32"/>
          <w:szCs w:val="32"/>
        </w:rPr>
        <w:t>奇台县芨芨湖镇人民政府要与准东开发区功能互补、相辅相成，主要负责承接准东开发区范围内所在辖区的社会管理（包括社会事务管理和社会治理）和公共服务职能，打造与准东开发区配套完善、宜居宜业的城镇，助力准东开发区高质量发展。</w:t>
      </w:r>
    </w:p>
    <w:p w14:paraId="6F925F26">
      <w:pPr>
        <w:ind w:firstLine="640" w:firstLineChars="200"/>
        <w:jc w:val="left"/>
        <w:rPr>
          <w:rFonts w:ascii="仿宋_GB2312" w:eastAsia="仿宋_GB2312"/>
          <w:sz w:val="32"/>
          <w:szCs w:val="32"/>
        </w:rPr>
      </w:pPr>
      <w:r>
        <w:rPr>
          <w:rFonts w:hint="eastAsia" w:ascii="仿宋_GB2312" w:eastAsia="仿宋_GB2312"/>
          <w:sz w:val="32"/>
          <w:szCs w:val="32"/>
        </w:rPr>
        <w:t>1.贯彻执行党的路线、方针、政策和国家法律法规，执行上级党委、政府和本级党委的决定、命令，执行芨芨湖镇党员代表大会、人民代表大会的决议。</w:t>
      </w:r>
    </w:p>
    <w:p w14:paraId="550E4766">
      <w:pPr>
        <w:ind w:firstLine="640" w:firstLineChars="200"/>
        <w:jc w:val="left"/>
        <w:rPr>
          <w:rFonts w:ascii="仿宋_GB2312" w:eastAsia="仿宋_GB2312"/>
          <w:sz w:val="32"/>
          <w:szCs w:val="32"/>
        </w:rPr>
      </w:pPr>
      <w:r>
        <w:rPr>
          <w:rFonts w:hint="eastAsia" w:ascii="仿宋_GB2312" w:eastAsia="仿宋_GB2312"/>
          <w:sz w:val="32"/>
          <w:szCs w:val="32"/>
        </w:rPr>
        <w:t>2.对镇人民代表大会及其主席团和上级行政机关负责并报告工作。</w:t>
      </w:r>
    </w:p>
    <w:p w14:paraId="60740474">
      <w:pPr>
        <w:ind w:firstLine="640" w:firstLineChars="200"/>
        <w:jc w:val="left"/>
        <w:rPr>
          <w:rFonts w:ascii="仿宋_GB2312" w:eastAsia="仿宋_GB2312"/>
          <w:sz w:val="32"/>
          <w:szCs w:val="32"/>
        </w:rPr>
      </w:pPr>
      <w:r>
        <w:rPr>
          <w:rFonts w:hint="eastAsia" w:ascii="仿宋_GB2312" w:eastAsia="仿宋_GB2312"/>
          <w:sz w:val="32"/>
          <w:szCs w:val="32"/>
        </w:rPr>
        <w:t>3.编制和执行芨芨湖镇的社会发展规划、计划并执行财政预算。</w:t>
      </w:r>
    </w:p>
    <w:p w14:paraId="0CB0604E">
      <w:pPr>
        <w:ind w:firstLine="640" w:firstLineChars="200"/>
        <w:jc w:val="left"/>
        <w:rPr>
          <w:rFonts w:ascii="仿宋_GB2312" w:eastAsia="仿宋_GB2312"/>
          <w:sz w:val="32"/>
          <w:szCs w:val="32"/>
        </w:rPr>
      </w:pPr>
      <w:r>
        <w:rPr>
          <w:rFonts w:hint="eastAsia" w:ascii="仿宋_GB2312" w:eastAsia="仿宋_GB2312"/>
          <w:sz w:val="32"/>
          <w:szCs w:val="32"/>
        </w:rPr>
        <w:t>4.负责芨芨湖镇行政区域内的公安、财政、统计、民政、司法行政、民族宗教、信访、安全生产、教育、科技、文化、卫生健康、体育、广播电视、劳动就业、社会保障、医疗保障、社会救助、退役军人、残疾人事业等工作。</w:t>
      </w:r>
    </w:p>
    <w:p w14:paraId="2C997B75">
      <w:pPr>
        <w:ind w:firstLine="640" w:firstLineChars="200"/>
        <w:jc w:val="left"/>
        <w:rPr>
          <w:rFonts w:ascii="仿宋_GB2312" w:eastAsia="仿宋_GB2312"/>
          <w:sz w:val="32"/>
          <w:szCs w:val="32"/>
        </w:rPr>
      </w:pPr>
      <w:r>
        <w:rPr>
          <w:rFonts w:hint="eastAsia" w:ascii="仿宋_GB2312" w:eastAsia="仿宋_GB2312"/>
          <w:sz w:val="32"/>
          <w:szCs w:val="32"/>
        </w:rPr>
        <w:t>5.指导、支持和帮助社区居民委员会工作。</w:t>
      </w:r>
    </w:p>
    <w:p w14:paraId="741D670E">
      <w:pPr>
        <w:ind w:firstLine="640" w:firstLineChars="200"/>
        <w:jc w:val="left"/>
        <w:rPr>
          <w:rFonts w:ascii="仿宋_GB2312" w:eastAsia="仿宋_GB2312"/>
          <w:sz w:val="32"/>
          <w:szCs w:val="32"/>
        </w:rPr>
      </w:pPr>
      <w:r>
        <w:rPr>
          <w:rFonts w:hint="eastAsia" w:ascii="仿宋_GB2312" w:eastAsia="仿宋_GB2312"/>
          <w:sz w:val="32"/>
          <w:szCs w:val="32"/>
        </w:rPr>
        <w:t>6.履行法律规定的其他职责。</w:t>
      </w:r>
    </w:p>
    <w:p w14:paraId="3C58867E">
      <w:pPr>
        <w:ind w:firstLine="640" w:firstLineChars="200"/>
        <w:jc w:val="left"/>
        <w:rPr>
          <w:rFonts w:ascii="仿宋_GB2312" w:eastAsia="仿宋_GB2312"/>
          <w:sz w:val="32"/>
          <w:szCs w:val="32"/>
        </w:rPr>
      </w:pPr>
      <w:r>
        <w:rPr>
          <w:rFonts w:hint="eastAsia" w:ascii="仿宋_GB2312" w:eastAsia="仿宋_GB2312"/>
          <w:sz w:val="32"/>
          <w:szCs w:val="32"/>
        </w:rPr>
        <w:t>7.办理奇台县人民政府交办的其他事项。</w:t>
      </w:r>
    </w:p>
    <w:p w14:paraId="2B2C5D40">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6002330B">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奇台县芨芨湖镇人民政府2023年度，实有人数</w:t>
      </w:r>
      <w:r>
        <w:rPr>
          <w:rFonts w:hint="eastAsia" w:ascii="仿宋_GB2312" w:eastAsia="仿宋_GB2312"/>
          <w:sz w:val="32"/>
          <w:szCs w:val="32"/>
          <w:lang w:val="zh-CN"/>
        </w:rPr>
        <w:t>37</w:t>
      </w:r>
      <w:r>
        <w:rPr>
          <w:rFonts w:hint="eastAsia" w:ascii="仿宋_GB2312" w:eastAsia="仿宋_GB2312"/>
          <w:sz w:val="32"/>
          <w:szCs w:val="32"/>
        </w:rPr>
        <w:t>人，其中：在职人员</w:t>
      </w:r>
      <w:r>
        <w:rPr>
          <w:rFonts w:hint="eastAsia" w:ascii="仿宋_GB2312" w:eastAsia="仿宋_GB2312"/>
          <w:sz w:val="32"/>
          <w:szCs w:val="32"/>
          <w:lang w:val="zh-CN"/>
        </w:rPr>
        <w:t>37</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0</w:t>
      </w:r>
      <w:r>
        <w:rPr>
          <w:rFonts w:hint="eastAsia" w:ascii="仿宋_GB2312" w:eastAsia="仿宋_GB2312"/>
          <w:sz w:val="32"/>
          <w:szCs w:val="32"/>
        </w:rPr>
        <w:t>人。</w:t>
      </w:r>
    </w:p>
    <w:p w14:paraId="6465C1C0">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6</w:t>
      </w:r>
      <w:r>
        <w:rPr>
          <w:rFonts w:hint="eastAsia" w:ascii="仿宋_GB2312" w:hAnsi="黑体" w:eastAsia="仿宋_GB2312" w:cs="宋体"/>
          <w:bCs/>
          <w:kern w:val="0"/>
          <w:sz w:val="32"/>
          <w:szCs w:val="32"/>
        </w:rPr>
        <w:t>个处室，分别是：</w:t>
      </w:r>
      <w:r>
        <w:rPr>
          <w:rFonts w:hint="eastAsia" w:ascii="仿宋_GB2312" w:hAnsi="宋体" w:eastAsia="仿宋_GB2312"/>
          <w:kern w:val="0"/>
          <w:sz w:val="32"/>
        </w:rPr>
        <w:t>农业（畜牧业）发展中心、文体广电旅游服务中心、社会保障（民政）服务中心、农村合作经济（统计）发展中心（财政所）、村镇规划建设发展中心（生态环境工作站）、综治中心（网格化服务中心）</w:t>
      </w:r>
      <w:r>
        <w:rPr>
          <w:rFonts w:hint="eastAsia" w:ascii="仿宋_GB2312" w:hAnsi="宋体" w:eastAsia="仿宋_GB2312" w:cs="宋体"/>
          <w:kern w:val="0"/>
          <w:sz w:val="32"/>
          <w:szCs w:val="32"/>
        </w:rPr>
        <w:t>。</w:t>
      </w:r>
    </w:p>
    <w:p w14:paraId="663A4537">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14:paraId="647E44B1">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14:paraId="5B1E21DA">
      <w:pPr>
        <w:ind w:firstLine="640" w:firstLineChars="200"/>
        <w:jc w:val="left"/>
        <w:rPr>
          <w:rFonts w:ascii="仿宋_GB2312" w:eastAsia="仿宋_GB2312"/>
          <w:sz w:val="32"/>
          <w:szCs w:val="32"/>
        </w:rPr>
      </w:pPr>
      <w:r>
        <w:rPr>
          <w:rFonts w:hint="eastAsia" w:ascii="仿宋_GB2312" w:eastAsia="仿宋_GB2312"/>
          <w:sz w:val="32"/>
          <w:szCs w:val="32"/>
        </w:rPr>
        <w:t>2023年度收入总计1,070.10万元，其中：本年收入合计1,070.10万元，使用非财政拨款结余0.00万元，年初结转和结余0.00万元。</w:t>
      </w:r>
    </w:p>
    <w:p w14:paraId="2E058316">
      <w:pPr>
        <w:ind w:firstLine="640" w:firstLineChars="200"/>
        <w:jc w:val="left"/>
        <w:rPr>
          <w:rFonts w:ascii="仿宋_GB2312" w:eastAsia="仿宋_GB2312"/>
          <w:sz w:val="32"/>
          <w:szCs w:val="32"/>
        </w:rPr>
      </w:pPr>
      <w:r>
        <w:rPr>
          <w:rFonts w:hint="eastAsia" w:ascii="仿宋_GB2312" w:eastAsia="仿宋_GB2312"/>
          <w:sz w:val="32"/>
          <w:szCs w:val="32"/>
        </w:rPr>
        <w:t>2023年度支出总计1,070.10万元，其中：本年支出合计1,068.11万元，结余分配0.00万元，年末结转和结余1.99万元。</w:t>
      </w:r>
    </w:p>
    <w:p w14:paraId="2482A322">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增加1,070.10万元</w:t>
      </w:r>
      <w:r>
        <w:rPr>
          <w:rFonts w:hint="eastAsia" w:ascii="仿宋_GB2312" w:eastAsia="仿宋_GB2312"/>
          <w:sz w:val="32"/>
          <w:szCs w:val="32"/>
        </w:rPr>
        <w:t>，增长100.00%，主要原因是：</w:t>
      </w:r>
      <w:r>
        <w:rPr>
          <w:rFonts w:hint="eastAsia" w:ascii="仿宋_GB2312" w:hAnsi="仿宋_GB2312" w:eastAsia="仿宋_GB2312" w:cs="仿宋_GB2312"/>
          <w:sz w:val="32"/>
          <w:szCs w:val="32"/>
          <w:lang w:val="zh-CN"/>
        </w:rPr>
        <w:t>新增单位，本年奇台县芨芨湖镇芨芨社区综合服务设施建设项目经费增加，</w:t>
      </w:r>
      <w:r>
        <w:rPr>
          <w:rFonts w:hint="eastAsia" w:ascii="仿宋_GB2312" w:hAnsi="仿宋_GB2312" w:eastAsia="仿宋_GB2312" w:cs="仿宋_GB2312"/>
          <w:sz w:val="32"/>
          <w:szCs w:val="32"/>
          <w:lang w:val="en-US" w:eastAsia="zh-CN"/>
        </w:rPr>
        <w:t>无上年数据</w:t>
      </w:r>
      <w:r>
        <w:rPr>
          <w:rFonts w:hint="eastAsia" w:ascii="仿宋_GB2312" w:eastAsia="仿宋_GB2312"/>
          <w:sz w:val="32"/>
          <w:szCs w:val="32"/>
        </w:rPr>
        <w:t>。</w:t>
      </w:r>
    </w:p>
    <w:p w14:paraId="42B91569">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14:paraId="5177309D">
      <w:pPr>
        <w:ind w:firstLine="640" w:firstLineChars="200"/>
        <w:jc w:val="left"/>
        <w:rPr>
          <w:rFonts w:ascii="仿宋_GB2312" w:eastAsia="仿宋_GB2312"/>
          <w:sz w:val="32"/>
          <w:szCs w:val="32"/>
        </w:rPr>
      </w:pPr>
      <w:r>
        <w:rPr>
          <w:rFonts w:hint="eastAsia" w:ascii="仿宋_GB2312" w:eastAsia="仿宋_GB2312"/>
          <w:sz w:val="32"/>
          <w:szCs w:val="32"/>
        </w:rPr>
        <w:t>本年收入1,070.10万元，其中：财政拨款收入</w:t>
      </w:r>
      <w:r>
        <w:rPr>
          <w:rFonts w:hint="eastAsia" w:ascii="仿宋_GB2312" w:eastAsia="仿宋_GB2312"/>
          <w:sz w:val="32"/>
          <w:szCs w:val="32"/>
          <w:lang w:val="zh-CN"/>
        </w:rPr>
        <w:t>515.57</w:t>
      </w:r>
      <w:r>
        <w:rPr>
          <w:rFonts w:hint="eastAsia" w:ascii="仿宋_GB2312" w:eastAsia="仿宋_GB2312"/>
          <w:sz w:val="32"/>
          <w:szCs w:val="32"/>
        </w:rPr>
        <w:t>万元，占</w:t>
      </w:r>
      <w:r>
        <w:rPr>
          <w:rFonts w:hint="eastAsia" w:ascii="仿宋_GB2312" w:eastAsia="仿宋_GB2312"/>
          <w:sz w:val="32"/>
          <w:szCs w:val="32"/>
          <w:lang w:val="zh-CN"/>
        </w:rPr>
        <w:t>48.18%</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554.53</w:t>
      </w:r>
      <w:r>
        <w:rPr>
          <w:rFonts w:hint="eastAsia" w:ascii="仿宋_GB2312" w:eastAsia="仿宋_GB2312"/>
          <w:sz w:val="32"/>
          <w:szCs w:val="32"/>
        </w:rPr>
        <w:t>万元，占</w:t>
      </w:r>
      <w:r>
        <w:rPr>
          <w:rFonts w:hint="eastAsia" w:ascii="仿宋_GB2312" w:eastAsia="仿宋_GB2312"/>
          <w:sz w:val="32"/>
          <w:szCs w:val="32"/>
          <w:lang w:val="zh-CN"/>
        </w:rPr>
        <w:t>51.82%</w:t>
      </w:r>
      <w:r>
        <w:rPr>
          <w:rFonts w:hint="eastAsia" w:ascii="仿宋_GB2312" w:eastAsia="仿宋_GB2312"/>
          <w:sz w:val="32"/>
          <w:szCs w:val="32"/>
        </w:rPr>
        <w:t>。</w:t>
      </w:r>
    </w:p>
    <w:p w14:paraId="6490DE36">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24A99C07">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本年支出1,068.11万元，其中：基本支出539.16万元，占50.48%；项目支出528.94万元，占49.52%；上缴上级支出0.00万元，占0.00%；经营支出0.00万元，占0.00%；对附属单位补助支出0.00万元，占0.00%。</w:t>
      </w:r>
    </w:p>
    <w:p w14:paraId="19D38D4A">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14:paraId="63E01411">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515.57</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515.57</w:t>
      </w:r>
      <w:r>
        <w:rPr>
          <w:rFonts w:hint="eastAsia" w:ascii="仿宋_GB2312" w:eastAsia="仿宋_GB2312"/>
          <w:sz w:val="32"/>
          <w:szCs w:val="32"/>
        </w:rPr>
        <w:t>万元。财政拨款支出总计</w:t>
      </w:r>
      <w:r>
        <w:rPr>
          <w:rFonts w:hint="eastAsia" w:ascii="仿宋_GB2312" w:eastAsia="仿宋_GB2312"/>
          <w:sz w:val="32"/>
          <w:szCs w:val="32"/>
          <w:lang w:val="zh-CN"/>
        </w:rPr>
        <w:t>515.57</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515.57</w:t>
      </w:r>
      <w:r>
        <w:rPr>
          <w:rFonts w:hint="eastAsia" w:ascii="仿宋_GB2312" w:eastAsia="仿宋_GB2312"/>
          <w:sz w:val="32"/>
          <w:szCs w:val="32"/>
        </w:rPr>
        <w:t>万元。</w:t>
      </w:r>
    </w:p>
    <w:p w14:paraId="266EB542">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增加515.57万元</w:t>
      </w:r>
      <w:r>
        <w:rPr>
          <w:rFonts w:hint="eastAsia" w:ascii="仿宋_GB2312" w:eastAsia="仿宋_GB2312"/>
          <w:sz w:val="32"/>
          <w:szCs w:val="32"/>
        </w:rPr>
        <w:t>，增长100.00%,主要原因是：</w:t>
      </w:r>
      <w:r>
        <w:rPr>
          <w:rFonts w:hint="eastAsia" w:ascii="仿宋_GB2312" w:hAnsi="仿宋_GB2312" w:eastAsia="仿宋_GB2312" w:cs="仿宋_GB2312"/>
          <w:sz w:val="32"/>
          <w:szCs w:val="32"/>
          <w:lang w:val="zh-CN"/>
        </w:rPr>
        <w:t>新增单位，本年奇台县芨芨湖镇芨芨社区综合服务设施建设项目经费增加，</w:t>
      </w:r>
      <w:r>
        <w:rPr>
          <w:rFonts w:hint="eastAsia" w:ascii="仿宋_GB2312" w:hAnsi="仿宋_GB2312" w:eastAsia="仿宋_GB2312" w:cs="仿宋_GB2312"/>
          <w:sz w:val="32"/>
          <w:szCs w:val="32"/>
          <w:lang w:val="en-US" w:eastAsia="zh-CN"/>
        </w:rPr>
        <w:t>无上年数据</w:t>
      </w:r>
      <w:r>
        <w:rPr>
          <w:rFonts w:hint="eastAsia" w:ascii="仿宋_GB2312" w:eastAsia="仿宋_GB2312"/>
          <w:sz w:val="32"/>
          <w:szCs w:val="32"/>
        </w:rPr>
        <w:t>。与年初预算相比，年初预算数</w:t>
      </w:r>
      <w:r>
        <w:rPr>
          <w:rFonts w:hint="eastAsia" w:ascii="仿宋_GB2312" w:eastAsia="仿宋_GB2312"/>
          <w:sz w:val="32"/>
          <w:szCs w:val="32"/>
          <w:lang w:val="zh-CN"/>
        </w:rPr>
        <w:t>85.94</w:t>
      </w:r>
      <w:r>
        <w:rPr>
          <w:rFonts w:hint="eastAsia" w:ascii="仿宋_GB2312" w:eastAsia="仿宋_GB2312"/>
          <w:sz w:val="32"/>
          <w:szCs w:val="32"/>
        </w:rPr>
        <w:t>万元，决算数</w:t>
      </w:r>
      <w:r>
        <w:rPr>
          <w:rFonts w:hint="eastAsia" w:ascii="仿宋_GB2312" w:eastAsia="仿宋_GB2312"/>
          <w:sz w:val="32"/>
          <w:szCs w:val="32"/>
          <w:lang w:val="zh-CN"/>
        </w:rPr>
        <w:t>515.57</w:t>
      </w:r>
      <w:r>
        <w:rPr>
          <w:rFonts w:hint="eastAsia" w:ascii="仿宋_GB2312" w:eastAsia="仿宋_GB2312"/>
          <w:sz w:val="32"/>
          <w:szCs w:val="32"/>
        </w:rPr>
        <w:t>万元，预决算差异率499.92%，主要原因是：年中追加人员经费、</w:t>
      </w:r>
      <w:r>
        <w:rPr>
          <w:rFonts w:hint="eastAsia" w:ascii="仿宋_GB2312" w:hAnsi="仿宋_GB2312" w:eastAsia="仿宋_GB2312" w:cs="仿宋_GB2312"/>
          <w:sz w:val="32"/>
          <w:szCs w:val="32"/>
          <w:lang w:val="zh-CN"/>
        </w:rPr>
        <w:t>中央政法纪检监察转移支付资金-纪检监察项目经费</w:t>
      </w:r>
      <w:r>
        <w:rPr>
          <w:rFonts w:hint="eastAsia" w:ascii="仿宋_GB2312" w:eastAsia="仿宋_GB2312"/>
          <w:sz w:val="32"/>
          <w:szCs w:val="32"/>
        </w:rPr>
        <w:t>。</w:t>
      </w:r>
    </w:p>
    <w:p w14:paraId="002C59BB">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14:paraId="407B099D">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4B2CAC18">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2023年度一般公共预算财政拨款支出515.57万元，占本年支出合计的</w:t>
      </w:r>
      <w:r>
        <w:rPr>
          <w:rFonts w:hint="eastAsia" w:ascii="仿宋_GB2312" w:eastAsia="仿宋_GB2312"/>
          <w:sz w:val="32"/>
          <w:szCs w:val="32"/>
          <w:lang w:val="zh-CN"/>
        </w:rPr>
        <w:t>48.27%</w:t>
      </w:r>
      <w:r>
        <w:rPr>
          <w:rFonts w:hint="eastAsia" w:ascii="仿宋_GB2312" w:eastAsia="仿宋_GB2312"/>
          <w:sz w:val="32"/>
          <w:szCs w:val="32"/>
        </w:rPr>
        <w:t>。与上年相比，</w:t>
      </w:r>
      <w:r>
        <w:rPr>
          <w:rFonts w:hint="eastAsia" w:ascii="仿宋_GB2312" w:eastAsia="仿宋_GB2312"/>
          <w:sz w:val="32"/>
          <w:szCs w:val="32"/>
          <w:lang w:val="zh-CN"/>
        </w:rPr>
        <w:t>增加515.57万元</w:t>
      </w:r>
      <w:r>
        <w:rPr>
          <w:rFonts w:hint="eastAsia" w:ascii="仿宋_GB2312" w:eastAsia="仿宋_GB2312"/>
          <w:sz w:val="32"/>
          <w:szCs w:val="32"/>
        </w:rPr>
        <w:t>，增长100.00%,主要原因是：</w:t>
      </w:r>
      <w:r>
        <w:rPr>
          <w:rFonts w:hint="eastAsia" w:ascii="仿宋_GB2312" w:hAnsi="仿宋_GB2312" w:eastAsia="仿宋_GB2312" w:cs="仿宋_GB2312"/>
          <w:sz w:val="32"/>
          <w:szCs w:val="32"/>
          <w:lang w:val="zh-CN"/>
        </w:rPr>
        <w:t>新增单位，本年奇台县芨芨湖镇芨芨社区综合服务设施建设项目经费增加，</w:t>
      </w:r>
      <w:r>
        <w:rPr>
          <w:rFonts w:hint="eastAsia" w:ascii="仿宋_GB2312" w:hAnsi="仿宋_GB2312" w:eastAsia="仿宋_GB2312" w:cs="仿宋_GB2312"/>
          <w:sz w:val="32"/>
          <w:szCs w:val="32"/>
          <w:lang w:val="en-US" w:eastAsia="zh-CN"/>
        </w:rPr>
        <w:t>无上年数据</w:t>
      </w:r>
      <w:r>
        <w:rPr>
          <w:rFonts w:hint="eastAsia" w:ascii="仿宋_GB2312" w:eastAsia="仿宋_GB2312"/>
          <w:sz w:val="32"/>
          <w:szCs w:val="32"/>
        </w:rPr>
        <w:t>。与年初预算相比，年初预算数</w:t>
      </w:r>
      <w:r>
        <w:rPr>
          <w:rFonts w:hint="eastAsia" w:ascii="仿宋_GB2312" w:eastAsia="仿宋_GB2312"/>
          <w:sz w:val="32"/>
          <w:szCs w:val="32"/>
          <w:lang w:val="zh-CN"/>
        </w:rPr>
        <w:t>85.94</w:t>
      </w:r>
      <w:r>
        <w:rPr>
          <w:rFonts w:hint="eastAsia" w:ascii="仿宋_GB2312" w:eastAsia="仿宋_GB2312"/>
          <w:sz w:val="32"/>
          <w:szCs w:val="32"/>
        </w:rPr>
        <w:t>万元，决算数</w:t>
      </w:r>
      <w:r>
        <w:rPr>
          <w:rFonts w:hint="eastAsia" w:ascii="仿宋_GB2312" w:eastAsia="仿宋_GB2312"/>
          <w:sz w:val="32"/>
          <w:szCs w:val="32"/>
          <w:lang w:val="zh-CN"/>
        </w:rPr>
        <w:t>515.57</w:t>
      </w:r>
      <w:r>
        <w:rPr>
          <w:rFonts w:hint="eastAsia" w:ascii="仿宋_GB2312" w:eastAsia="仿宋_GB2312"/>
          <w:sz w:val="32"/>
          <w:szCs w:val="32"/>
        </w:rPr>
        <w:t>万元，预决算差异率</w:t>
      </w:r>
      <w:r>
        <w:rPr>
          <w:rFonts w:hint="eastAsia" w:ascii="仿宋_GB2312" w:eastAsia="仿宋_GB2312"/>
          <w:sz w:val="32"/>
          <w:szCs w:val="32"/>
          <w:lang w:val="zh-CN"/>
        </w:rPr>
        <w:t>499.92%</w:t>
      </w:r>
      <w:r>
        <w:rPr>
          <w:rFonts w:hint="eastAsia" w:ascii="仿宋_GB2312" w:eastAsia="仿宋_GB2312"/>
          <w:sz w:val="32"/>
          <w:szCs w:val="32"/>
        </w:rPr>
        <w:t>，主要原因是：年中追加人员经费、</w:t>
      </w:r>
      <w:r>
        <w:rPr>
          <w:rFonts w:hint="eastAsia" w:ascii="仿宋_GB2312" w:hAnsi="仿宋_GB2312" w:eastAsia="仿宋_GB2312" w:cs="仿宋_GB2312"/>
          <w:sz w:val="32"/>
          <w:szCs w:val="32"/>
          <w:lang w:val="zh-CN"/>
        </w:rPr>
        <w:t>中央政法纪检监察转移支付资金-纪检监察项目经费</w:t>
      </w:r>
      <w:r>
        <w:rPr>
          <w:rFonts w:hint="eastAsia" w:ascii="仿宋_GB2312" w:eastAsia="仿宋_GB2312"/>
          <w:sz w:val="32"/>
          <w:szCs w:val="32"/>
        </w:rPr>
        <w:t>。</w:t>
      </w:r>
    </w:p>
    <w:p w14:paraId="0BD2F7B4">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377565D8">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hint="eastAsia" w:ascii="仿宋_GB2312" w:eastAsia="仿宋_GB2312"/>
          <w:kern w:val="2"/>
          <w:sz w:val="32"/>
          <w:szCs w:val="32"/>
          <w:lang w:val="zh-CN"/>
        </w:rPr>
        <w:t>239.49</w:t>
      </w:r>
      <w:r>
        <w:rPr>
          <w:rFonts w:ascii="仿宋_GB2312" w:eastAsia="仿宋_GB2312"/>
          <w:kern w:val="2"/>
          <w:sz w:val="32"/>
          <w:szCs w:val="32"/>
          <w:lang w:val="zh-CN"/>
        </w:rPr>
        <w:t>万元，占</w:t>
      </w:r>
      <w:r>
        <w:rPr>
          <w:rFonts w:hint="eastAsia" w:ascii="仿宋_GB2312" w:eastAsia="仿宋_GB2312"/>
          <w:kern w:val="2"/>
          <w:sz w:val="32"/>
          <w:szCs w:val="32"/>
          <w:lang w:val="zh-CN"/>
        </w:rPr>
        <w:t>46.45%</w:t>
      </w:r>
      <w:r>
        <w:rPr>
          <w:rFonts w:ascii="仿宋_GB2312" w:eastAsia="仿宋_GB2312"/>
          <w:kern w:val="2"/>
          <w:sz w:val="32"/>
          <w:szCs w:val="32"/>
          <w:lang w:val="zh-CN"/>
        </w:rPr>
        <w:t>；</w:t>
      </w:r>
    </w:p>
    <w:p w14:paraId="33F7F7B2">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45.36</w:t>
      </w:r>
      <w:r>
        <w:rPr>
          <w:rFonts w:ascii="仿宋_GB2312" w:eastAsia="仿宋_GB2312"/>
          <w:kern w:val="2"/>
          <w:sz w:val="32"/>
          <w:szCs w:val="32"/>
          <w:lang w:val="zh-CN"/>
        </w:rPr>
        <w:t>万元，占</w:t>
      </w:r>
      <w:r>
        <w:rPr>
          <w:rFonts w:hint="eastAsia" w:ascii="仿宋_GB2312" w:eastAsia="仿宋_GB2312"/>
          <w:kern w:val="2"/>
          <w:sz w:val="32"/>
          <w:szCs w:val="32"/>
          <w:lang w:val="zh-CN"/>
        </w:rPr>
        <w:t>8.80%</w:t>
      </w:r>
      <w:r>
        <w:rPr>
          <w:rFonts w:ascii="仿宋_GB2312" w:eastAsia="仿宋_GB2312"/>
          <w:kern w:val="2"/>
          <w:sz w:val="32"/>
          <w:szCs w:val="32"/>
          <w:lang w:val="zh-CN"/>
        </w:rPr>
        <w:t>；</w:t>
      </w:r>
    </w:p>
    <w:p w14:paraId="4AE62A80">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3</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25.61</w:t>
      </w:r>
      <w:r>
        <w:rPr>
          <w:rFonts w:ascii="仿宋_GB2312" w:eastAsia="仿宋_GB2312"/>
          <w:kern w:val="2"/>
          <w:sz w:val="32"/>
          <w:szCs w:val="32"/>
          <w:lang w:val="zh-CN"/>
        </w:rPr>
        <w:t>万元，占</w:t>
      </w:r>
      <w:r>
        <w:rPr>
          <w:rFonts w:hint="eastAsia" w:ascii="仿宋_GB2312" w:eastAsia="仿宋_GB2312"/>
          <w:kern w:val="2"/>
          <w:sz w:val="32"/>
          <w:szCs w:val="32"/>
          <w:lang w:val="zh-CN"/>
        </w:rPr>
        <w:t>4.97%</w:t>
      </w:r>
      <w:r>
        <w:rPr>
          <w:rFonts w:ascii="仿宋_GB2312" w:eastAsia="仿宋_GB2312"/>
          <w:kern w:val="2"/>
          <w:sz w:val="32"/>
          <w:szCs w:val="32"/>
          <w:lang w:val="zh-CN"/>
        </w:rPr>
        <w:t>；</w:t>
      </w:r>
    </w:p>
    <w:p w14:paraId="44A81D05">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hAnsi="仿宋_GB2312" w:eastAsia="仿宋_GB2312" w:cs="仿宋_GB2312"/>
          <w:kern w:val="2"/>
          <w:sz w:val="32"/>
          <w:szCs w:val="32"/>
          <w:lang w:val="zh-CN"/>
        </w:rPr>
        <w:t>4.农林水支出（类）159.53万元，占</w:t>
      </w:r>
      <w:r>
        <w:rPr>
          <w:rFonts w:hint="eastAsia" w:ascii="仿宋_GB2312" w:eastAsia="仿宋_GB2312"/>
          <w:kern w:val="2"/>
          <w:sz w:val="32"/>
          <w:szCs w:val="32"/>
          <w:lang w:val="zh-CN"/>
        </w:rPr>
        <w:t>30.94%</w:t>
      </w:r>
      <w:r>
        <w:rPr>
          <w:rFonts w:ascii="仿宋_GB2312" w:eastAsia="仿宋_GB2312"/>
          <w:kern w:val="2"/>
          <w:sz w:val="32"/>
          <w:szCs w:val="32"/>
          <w:lang w:val="zh-CN"/>
        </w:rPr>
        <w:t>；</w:t>
      </w:r>
    </w:p>
    <w:p w14:paraId="45D04485">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5</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36.21</w:t>
      </w:r>
      <w:r>
        <w:rPr>
          <w:rFonts w:ascii="仿宋_GB2312" w:eastAsia="仿宋_GB2312"/>
          <w:kern w:val="2"/>
          <w:sz w:val="32"/>
          <w:szCs w:val="32"/>
          <w:lang w:val="zh-CN"/>
        </w:rPr>
        <w:t>万元，占</w:t>
      </w:r>
      <w:r>
        <w:rPr>
          <w:rFonts w:hint="eastAsia" w:ascii="仿宋_GB2312" w:eastAsia="仿宋_GB2312"/>
          <w:kern w:val="2"/>
          <w:sz w:val="32"/>
          <w:szCs w:val="32"/>
          <w:lang w:val="zh-CN"/>
        </w:rPr>
        <w:t>7.02%</w:t>
      </w:r>
      <w:r>
        <w:rPr>
          <w:rFonts w:ascii="仿宋_GB2312" w:eastAsia="仿宋_GB2312"/>
          <w:kern w:val="2"/>
          <w:sz w:val="32"/>
          <w:szCs w:val="32"/>
          <w:lang w:val="zh-CN"/>
        </w:rPr>
        <w:t>；</w:t>
      </w:r>
    </w:p>
    <w:p w14:paraId="3FF2B2E3">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6</w:t>
      </w:r>
      <w:r>
        <w:rPr>
          <w:rFonts w:ascii="仿宋_GB2312" w:eastAsia="仿宋_GB2312"/>
          <w:kern w:val="2"/>
          <w:sz w:val="32"/>
          <w:szCs w:val="32"/>
          <w:lang w:val="zh-CN"/>
        </w:rPr>
        <w:t>.其他支出（类）</w:t>
      </w:r>
      <w:r>
        <w:rPr>
          <w:rFonts w:hint="eastAsia" w:ascii="仿宋_GB2312" w:eastAsia="仿宋_GB2312"/>
          <w:kern w:val="2"/>
          <w:sz w:val="32"/>
          <w:szCs w:val="32"/>
          <w:lang w:val="zh-CN"/>
        </w:rPr>
        <w:t>9.36</w:t>
      </w:r>
      <w:r>
        <w:rPr>
          <w:rFonts w:ascii="仿宋_GB2312" w:eastAsia="仿宋_GB2312"/>
          <w:kern w:val="2"/>
          <w:sz w:val="32"/>
          <w:szCs w:val="32"/>
          <w:lang w:val="zh-CN"/>
        </w:rPr>
        <w:t>万元，占</w:t>
      </w:r>
      <w:r>
        <w:rPr>
          <w:rFonts w:hint="eastAsia" w:ascii="仿宋_GB2312" w:eastAsia="仿宋_GB2312"/>
          <w:kern w:val="2"/>
          <w:sz w:val="32"/>
          <w:szCs w:val="32"/>
          <w:lang w:val="zh-CN"/>
        </w:rPr>
        <w:t>1.82%</w:t>
      </w:r>
      <w:r>
        <w:rPr>
          <w:rFonts w:ascii="仿宋_GB2312" w:eastAsia="仿宋_GB2312"/>
          <w:kern w:val="2"/>
          <w:sz w:val="32"/>
          <w:szCs w:val="32"/>
          <w:lang w:val="zh-CN"/>
        </w:rPr>
        <w:t>；</w:t>
      </w:r>
    </w:p>
    <w:p w14:paraId="290C7303">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5DA509D0">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1.卫生健康支出（类）行政事业单位医疗（款）其他行政事业单位医疗支出（项）:支出决算数为0.20万元，比上年决算增加0.20万元，增长100%，主要原因是：</w:t>
      </w:r>
      <w:r>
        <w:rPr>
          <w:rFonts w:hint="eastAsia" w:ascii="仿宋_GB2312" w:hAnsi="仿宋_GB2312" w:eastAsia="仿宋_GB2312" w:cs="仿宋_GB2312"/>
          <w:sz w:val="32"/>
          <w:szCs w:val="32"/>
          <w:lang w:val="zh-CN"/>
        </w:rPr>
        <w:t>新增单位，本年职工医疗缴费增加，</w:t>
      </w:r>
      <w:r>
        <w:rPr>
          <w:rFonts w:hint="eastAsia" w:ascii="仿宋_GB2312" w:hAnsi="仿宋_GB2312" w:eastAsia="仿宋_GB2312" w:cs="仿宋_GB2312"/>
          <w:sz w:val="32"/>
          <w:szCs w:val="32"/>
          <w:lang w:val="en-US" w:eastAsia="zh-CN"/>
        </w:rPr>
        <w:t>无上年数据</w:t>
      </w:r>
      <w:r>
        <w:rPr>
          <w:rFonts w:hint="eastAsia" w:ascii="仿宋_GB2312" w:hAnsi="仿宋_GB2312" w:eastAsia="仿宋_GB2312" w:cs="仿宋_GB2312"/>
          <w:sz w:val="32"/>
          <w:szCs w:val="32"/>
          <w:lang w:val="zh-CN"/>
        </w:rPr>
        <w:t>。</w:t>
      </w:r>
    </w:p>
    <w:p w14:paraId="1F765498">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2.卫生健康支出（类）行政事业单位医疗（款）行政单位医疗（项）:支出决算数为22.23万元，比上年决算增加22.23万元，增长100%，主要原因是：</w:t>
      </w:r>
      <w:r>
        <w:rPr>
          <w:rFonts w:hint="eastAsia" w:ascii="仿宋_GB2312" w:hAnsi="仿宋_GB2312" w:eastAsia="仿宋_GB2312" w:cs="仿宋_GB2312"/>
          <w:sz w:val="32"/>
          <w:szCs w:val="32"/>
          <w:lang w:val="zh-CN"/>
        </w:rPr>
        <w:t>新增单位，本年职工医疗缴费增加，</w:t>
      </w:r>
      <w:r>
        <w:rPr>
          <w:rFonts w:hint="eastAsia" w:ascii="仿宋_GB2312" w:hAnsi="仿宋_GB2312" w:eastAsia="仿宋_GB2312" w:cs="仿宋_GB2312"/>
          <w:sz w:val="32"/>
          <w:szCs w:val="32"/>
          <w:lang w:val="en-US" w:eastAsia="zh-CN"/>
        </w:rPr>
        <w:t>无上年数据</w:t>
      </w:r>
      <w:r>
        <w:rPr>
          <w:rFonts w:hint="eastAsia" w:ascii="仿宋_GB2312" w:hAnsi="仿宋_GB2312" w:eastAsia="仿宋_GB2312" w:cs="仿宋_GB2312"/>
          <w:sz w:val="32"/>
          <w:szCs w:val="32"/>
          <w:lang w:val="zh-CN"/>
        </w:rPr>
        <w:t>。</w:t>
      </w:r>
    </w:p>
    <w:p w14:paraId="19981181">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3.卫生健康支出（类）行政事业单位医疗（款）事业单位医疗（项）:支出决算数为0.14万元，比上年决算增加0.14万元，增长100%，主要原因是：</w:t>
      </w:r>
      <w:r>
        <w:rPr>
          <w:rFonts w:hint="eastAsia" w:ascii="仿宋_GB2312" w:hAnsi="仿宋_GB2312" w:eastAsia="仿宋_GB2312" w:cs="仿宋_GB2312"/>
          <w:sz w:val="32"/>
          <w:szCs w:val="32"/>
          <w:lang w:val="zh-CN"/>
        </w:rPr>
        <w:t>新增单位，本年职工医疗缴费增加，</w:t>
      </w:r>
      <w:r>
        <w:rPr>
          <w:rFonts w:hint="eastAsia" w:ascii="仿宋_GB2312" w:hAnsi="仿宋_GB2312" w:eastAsia="仿宋_GB2312" w:cs="仿宋_GB2312"/>
          <w:sz w:val="32"/>
          <w:szCs w:val="32"/>
          <w:lang w:val="en-US" w:eastAsia="zh-CN"/>
        </w:rPr>
        <w:t>无上年数据</w:t>
      </w:r>
      <w:r>
        <w:rPr>
          <w:rFonts w:hint="eastAsia" w:ascii="仿宋_GB2312" w:hAnsi="仿宋_GB2312" w:eastAsia="仿宋_GB2312" w:cs="仿宋_GB2312"/>
          <w:sz w:val="32"/>
          <w:szCs w:val="32"/>
          <w:lang w:val="zh-CN"/>
        </w:rPr>
        <w:t>。</w:t>
      </w:r>
    </w:p>
    <w:p w14:paraId="79E443DF">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4.农林水支出（类）农业农村（款）事业运行（项）:支出决算数为155.47万元，比上年决算增加155.47万元，增长100%，主要原因是：</w:t>
      </w:r>
      <w:r>
        <w:rPr>
          <w:rFonts w:hint="eastAsia" w:ascii="仿宋_GB2312" w:hAnsi="仿宋_GB2312" w:eastAsia="仿宋_GB2312" w:cs="仿宋_GB2312"/>
          <w:sz w:val="32"/>
          <w:szCs w:val="32"/>
          <w:lang w:val="zh-CN"/>
        </w:rPr>
        <w:t>新增单位，本年人员工资、津贴补贴、奖金等人员经费增加，</w:t>
      </w:r>
      <w:r>
        <w:rPr>
          <w:rFonts w:hint="eastAsia" w:ascii="仿宋_GB2312" w:hAnsi="仿宋_GB2312" w:eastAsia="仿宋_GB2312" w:cs="仿宋_GB2312"/>
          <w:sz w:val="32"/>
          <w:szCs w:val="32"/>
          <w:lang w:val="en-US" w:eastAsia="zh-CN"/>
        </w:rPr>
        <w:t>无上年数据</w:t>
      </w:r>
      <w:r>
        <w:rPr>
          <w:rFonts w:hint="eastAsia" w:ascii="仿宋_GB2312" w:hAnsi="仿宋_GB2312" w:eastAsia="仿宋_GB2312" w:cs="仿宋_GB2312"/>
          <w:sz w:val="32"/>
          <w:szCs w:val="32"/>
          <w:lang w:val="zh-CN"/>
        </w:rPr>
        <w:t>。</w:t>
      </w:r>
    </w:p>
    <w:p w14:paraId="450CC330">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5.卫生健康支出（类）行政事业单位医疗（款）公务员医疗补助（项）:支出决算数为3.04万元，比上年决算增加3.04万元，增长100%，主要原因是：</w:t>
      </w:r>
      <w:r>
        <w:rPr>
          <w:rFonts w:hint="eastAsia" w:ascii="仿宋_GB2312" w:hAnsi="仿宋_GB2312" w:eastAsia="仿宋_GB2312" w:cs="仿宋_GB2312"/>
          <w:sz w:val="32"/>
          <w:szCs w:val="32"/>
          <w:lang w:val="zh-CN"/>
        </w:rPr>
        <w:t>新增单位，本年公务员医疗缴费增加，</w:t>
      </w:r>
      <w:r>
        <w:rPr>
          <w:rFonts w:hint="eastAsia" w:ascii="仿宋_GB2312" w:hAnsi="仿宋_GB2312" w:eastAsia="仿宋_GB2312" w:cs="仿宋_GB2312"/>
          <w:sz w:val="32"/>
          <w:szCs w:val="32"/>
          <w:lang w:val="en-US" w:eastAsia="zh-CN"/>
        </w:rPr>
        <w:t>无上年数据</w:t>
      </w:r>
      <w:r>
        <w:rPr>
          <w:rFonts w:hint="eastAsia" w:ascii="仿宋_GB2312" w:hAnsi="仿宋_GB2312" w:eastAsia="仿宋_GB2312" w:cs="仿宋_GB2312"/>
          <w:sz w:val="32"/>
          <w:szCs w:val="32"/>
          <w:lang w:val="zh-CN"/>
        </w:rPr>
        <w:t>。</w:t>
      </w:r>
    </w:p>
    <w:p w14:paraId="15A8E7F9">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6.住房保障支出（类）住房改革支出（款）住房公积金（项）:支出决算数为36.21万元，比上年决算增加36.21万元，增长100%，主要原因是：</w:t>
      </w:r>
      <w:r>
        <w:rPr>
          <w:rFonts w:hint="eastAsia" w:ascii="仿宋_GB2312" w:hAnsi="仿宋_GB2312" w:eastAsia="仿宋_GB2312" w:cs="仿宋_GB2312"/>
          <w:sz w:val="32"/>
          <w:szCs w:val="32"/>
          <w:lang w:val="zh-CN"/>
        </w:rPr>
        <w:t>新增单位，本年公积金缴费增加，</w:t>
      </w:r>
      <w:r>
        <w:rPr>
          <w:rFonts w:hint="eastAsia" w:ascii="仿宋_GB2312" w:hAnsi="仿宋_GB2312" w:eastAsia="仿宋_GB2312" w:cs="仿宋_GB2312"/>
          <w:sz w:val="32"/>
          <w:szCs w:val="32"/>
          <w:lang w:val="en-US" w:eastAsia="zh-CN"/>
        </w:rPr>
        <w:t>无上年数据</w:t>
      </w:r>
      <w:r>
        <w:rPr>
          <w:rFonts w:hint="eastAsia" w:ascii="仿宋_GB2312" w:hAnsi="仿宋_GB2312" w:eastAsia="仿宋_GB2312" w:cs="仿宋_GB2312"/>
          <w:sz w:val="32"/>
          <w:szCs w:val="32"/>
          <w:lang w:val="zh-CN"/>
        </w:rPr>
        <w:t>。</w:t>
      </w:r>
    </w:p>
    <w:p w14:paraId="0BD805A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7.社会保障和就业支出（类）行政事业单位养老支出（款）机关事业单位职业年金缴费支出（项）:支出决算数为0.50万元，比上年决算增加0.50万元，增长100%，主要原因是：</w:t>
      </w:r>
      <w:r>
        <w:rPr>
          <w:rFonts w:hint="eastAsia" w:ascii="仿宋_GB2312" w:hAnsi="仿宋_GB2312" w:eastAsia="仿宋_GB2312" w:cs="仿宋_GB2312"/>
          <w:sz w:val="32"/>
          <w:szCs w:val="32"/>
          <w:lang w:val="zh-CN"/>
        </w:rPr>
        <w:t>新增单位，本年人员职业年金缴费增加，</w:t>
      </w:r>
      <w:r>
        <w:rPr>
          <w:rFonts w:hint="eastAsia" w:ascii="仿宋_GB2312" w:hAnsi="仿宋_GB2312" w:eastAsia="仿宋_GB2312" w:cs="仿宋_GB2312"/>
          <w:sz w:val="32"/>
          <w:szCs w:val="32"/>
          <w:lang w:val="en-US" w:eastAsia="zh-CN"/>
        </w:rPr>
        <w:t>无上年数据</w:t>
      </w:r>
      <w:r>
        <w:rPr>
          <w:rFonts w:hint="eastAsia" w:ascii="仿宋_GB2312" w:hAnsi="仿宋_GB2312" w:eastAsia="仿宋_GB2312" w:cs="仿宋_GB2312"/>
          <w:sz w:val="32"/>
          <w:szCs w:val="32"/>
          <w:lang w:val="zh-CN"/>
        </w:rPr>
        <w:t>。</w:t>
      </w:r>
    </w:p>
    <w:p w14:paraId="795D114F">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8.社会保障和就业支出（类）行政事业单位养老支出（款）机关事业单位基本养老保险缴费支出（项）:支出决算数为44.86万元，比上年决算增加44.86万元，增长100%，主要原因是：</w:t>
      </w:r>
      <w:r>
        <w:rPr>
          <w:rFonts w:hint="eastAsia" w:ascii="仿宋_GB2312" w:hAnsi="仿宋_GB2312" w:eastAsia="仿宋_GB2312" w:cs="仿宋_GB2312"/>
          <w:sz w:val="32"/>
          <w:szCs w:val="32"/>
          <w:lang w:val="zh-CN"/>
        </w:rPr>
        <w:t>新增单位，本年人员养老保险缴费增加，</w:t>
      </w:r>
      <w:r>
        <w:rPr>
          <w:rFonts w:hint="eastAsia" w:ascii="仿宋_GB2312" w:hAnsi="仿宋_GB2312" w:eastAsia="仿宋_GB2312" w:cs="仿宋_GB2312"/>
          <w:sz w:val="32"/>
          <w:szCs w:val="32"/>
          <w:lang w:val="en-US" w:eastAsia="zh-CN"/>
        </w:rPr>
        <w:t>无上年数据</w:t>
      </w:r>
      <w:r>
        <w:rPr>
          <w:rFonts w:hint="eastAsia" w:ascii="仿宋_GB2312" w:hAnsi="仿宋_GB2312" w:eastAsia="仿宋_GB2312" w:cs="仿宋_GB2312"/>
          <w:sz w:val="32"/>
          <w:szCs w:val="32"/>
          <w:lang w:val="zh-CN"/>
        </w:rPr>
        <w:t>。</w:t>
      </w:r>
    </w:p>
    <w:p w14:paraId="026DEE67">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9.农林水支出（类）农业农村（款）其他农业农村支出（项）:支出决算数为4.06万元，比上年决算增加4.06万元，增长100%，主要原因是：</w:t>
      </w:r>
      <w:r>
        <w:rPr>
          <w:rFonts w:hint="eastAsia" w:ascii="仿宋_GB2312" w:hAnsi="仿宋_GB2312" w:eastAsia="仿宋_GB2312" w:cs="仿宋_GB2312"/>
          <w:sz w:val="32"/>
          <w:szCs w:val="32"/>
          <w:lang w:val="zh-CN"/>
        </w:rPr>
        <w:t>新增单位，本年拨付芨芨湖镇第一书记项目经费增加，</w:t>
      </w:r>
      <w:r>
        <w:rPr>
          <w:rFonts w:hint="eastAsia" w:ascii="仿宋_GB2312" w:hAnsi="仿宋_GB2312" w:eastAsia="仿宋_GB2312" w:cs="仿宋_GB2312"/>
          <w:sz w:val="32"/>
          <w:szCs w:val="32"/>
          <w:lang w:val="en-US" w:eastAsia="zh-CN"/>
        </w:rPr>
        <w:t>无上年数据</w:t>
      </w:r>
      <w:r>
        <w:rPr>
          <w:rFonts w:hint="eastAsia" w:ascii="仿宋_GB2312" w:hAnsi="仿宋_GB2312" w:eastAsia="仿宋_GB2312" w:cs="仿宋_GB2312"/>
          <w:sz w:val="32"/>
          <w:szCs w:val="32"/>
          <w:lang w:val="zh-CN"/>
        </w:rPr>
        <w:t>。</w:t>
      </w:r>
    </w:p>
    <w:p w14:paraId="4E5F8BB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10.一般公共服务支出（类）发展与改革事务（款）行政运行（项）:支出决算数为12.14万元，比上年决算增加12.14万元，增长100%，主要原因是：</w:t>
      </w:r>
      <w:r>
        <w:rPr>
          <w:rFonts w:hint="eastAsia" w:ascii="仿宋_GB2312" w:hAnsi="仿宋_GB2312" w:eastAsia="仿宋_GB2312" w:cs="仿宋_GB2312"/>
          <w:sz w:val="32"/>
          <w:szCs w:val="32"/>
          <w:lang w:val="zh-CN"/>
        </w:rPr>
        <w:t>新增单位，本年人员工资、津贴补贴、奖金等人员经费增加，</w:t>
      </w:r>
      <w:r>
        <w:rPr>
          <w:rFonts w:hint="eastAsia" w:ascii="仿宋_GB2312" w:hAnsi="仿宋_GB2312" w:eastAsia="仿宋_GB2312" w:cs="仿宋_GB2312"/>
          <w:sz w:val="32"/>
          <w:szCs w:val="32"/>
          <w:lang w:val="en-US" w:eastAsia="zh-CN"/>
        </w:rPr>
        <w:t>无上年数据</w:t>
      </w:r>
      <w:r>
        <w:rPr>
          <w:rFonts w:hint="eastAsia" w:ascii="仿宋_GB2312" w:hAnsi="仿宋_GB2312" w:eastAsia="仿宋_GB2312" w:cs="仿宋_GB2312"/>
          <w:sz w:val="32"/>
          <w:szCs w:val="32"/>
          <w:lang w:val="zh-CN"/>
        </w:rPr>
        <w:t>。</w:t>
      </w:r>
    </w:p>
    <w:p w14:paraId="427F71A1">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11.一般公共服务支出（类）党委办公厅（室）及相关机构事务（款）行政运行（项）:支出决算数为120.45万元，比上年决算增加120.45万元，增长100%，主要原因是：</w:t>
      </w:r>
      <w:r>
        <w:rPr>
          <w:rFonts w:hint="eastAsia" w:ascii="仿宋_GB2312" w:hAnsi="仿宋_GB2312" w:eastAsia="仿宋_GB2312" w:cs="仿宋_GB2312"/>
          <w:sz w:val="32"/>
          <w:szCs w:val="32"/>
          <w:lang w:val="zh-CN"/>
        </w:rPr>
        <w:t>新增单位，本年人员工资、津贴补贴、奖金等人员经费增加，</w:t>
      </w:r>
      <w:r>
        <w:rPr>
          <w:rFonts w:hint="eastAsia" w:ascii="仿宋_GB2312" w:hAnsi="仿宋_GB2312" w:eastAsia="仿宋_GB2312" w:cs="仿宋_GB2312"/>
          <w:sz w:val="32"/>
          <w:szCs w:val="32"/>
          <w:lang w:val="en-US" w:eastAsia="zh-CN"/>
        </w:rPr>
        <w:t>无上年数据</w:t>
      </w:r>
      <w:r>
        <w:rPr>
          <w:rFonts w:hint="eastAsia" w:ascii="仿宋_GB2312" w:hAnsi="仿宋_GB2312" w:eastAsia="仿宋_GB2312" w:cs="仿宋_GB2312"/>
          <w:sz w:val="32"/>
          <w:szCs w:val="32"/>
          <w:lang w:val="zh-CN"/>
        </w:rPr>
        <w:t>。</w:t>
      </w:r>
    </w:p>
    <w:p w14:paraId="2E36F3EC">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12.一般公共服务支出（类）纪检监察事务（款）其他纪检监察事务支出（项）:支出决算数为1.50万元，比上年决算增加1.50万元，增长100%，主要原因是：</w:t>
      </w:r>
      <w:r>
        <w:rPr>
          <w:rFonts w:hint="eastAsia" w:ascii="仿宋_GB2312" w:hAnsi="仿宋_GB2312" w:eastAsia="仿宋_GB2312" w:cs="仿宋_GB2312"/>
          <w:sz w:val="32"/>
          <w:szCs w:val="32"/>
          <w:lang w:val="zh-CN"/>
        </w:rPr>
        <w:t>新增单位，本年中央政法纪检监察转移支付资金-纪检监察项目经费增加，</w:t>
      </w:r>
      <w:r>
        <w:rPr>
          <w:rFonts w:hint="eastAsia" w:ascii="仿宋_GB2312" w:hAnsi="仿宋_GB2312" w:eastAsia="仿宋_GB2312" w:cs="仿宋_GB2312"/>
          <w:sz w:val="32"/>
          <w:szCs w:val="32"/>
          <w:lang w:val="en-US" w:eastAsia="zh-CN"/>
        </w:rPr>
        <w:t>无上年数据</w:t>
      </w:r>
      <w:r>
        <w:rPr>
          <w:rFonts w:hint="eastAsia" w:ascii="仿宋_GB2312" w:hAnsi="仿宋_GB2312" w:eastAsia="仿宋_GB2312" w:cs="仿宋_GB2312"/>
          <w:sz w:val="32"/>
          <w:szCs w:val="32"/>
          <w:lang w:val="zh-CN"/>
        </w:rPr>
        <w:t>。</w:t>
      </w:r>
    </w:p>
    <w:p w14:paraId="0D3874B0">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13.一般公共服务支出（类）政府办公厅（室）及相关机构事务（款）行政运行（项）:支出决算数为75.97万元，比上年决算增加75.97万元，增长100%，主要原因是：</w:t>
      </w:r>
      <w:r>
        <w:rPr>
          <w:rFonts w:hint="eastAsia" w:ascii="仿宋_GB2312" w:hAnsi="仿宋_GB2312" w:eastAsia="仿宋_GB2312" w:cs="仿宋_GB2312"/>
          <w:sz w:val="32"/>
          <w:szCs w:val="32"/>
          <w:lang w:val="zh-CN"/>
        </w:rPr>
        <w:t>新增单位，本年人员工资、津贴补贴、奖金等人员经费增加，</w:t>
      </w:r>
      <w:r>
        <w:rPr>
          <w:rFonts w:hint="eastAsia" w:ascii="仿宋_GB2312" w:hAnsi="仿宋_GB2312" w:eastAsia="仿宋_GB2312" w:cs="仿宋_GB2312"/>
          <w:sz w:val="32"/>
          <w:szCs w:val="32"/>
          <w:lang w:val="en-US" w:eastAsia="zh-CN"/>
        </w:rPr>
        <w:t>无上年数据</w:t>
      </w:r>
      <w:r>
        <w:rPr>
          <w:rFonts w:hint="eastAsia" w:ascii="仿宋_GB2312" w:hAnsi="仿宋_GB2312" w:eastAsia="仿宋_GB2312" w:cs="仿宋_GB2312"/>
          <w:sz w:val="32"/>
          <w:szCs w:val="32"/>
          <w:lang w:val="zh-CN"/>
        </w:rPr>
        <w:t>。</w:t>
      </w:r>
    </w:p>
    <w:p w14:paraId="49E13025">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14.其他支出（类）其他支出（款）其他支出（项）:支出决算数为9.36万元，比上年决算增加9.36万元，增长100%，主要原因是：</w:t>
      </w:r>
      <w:r>
        <w:rPr>
          <w:rFonts w:hint="eastAsia" w:ascii="仿宋_GB2312" w:hAnsi="仿宋_GB2312" w:eastAsia="仿宋_GB2312" w:cs="仿宋_GB2312"/>
          <w:sz w:val="32"/>
          <w:szCs w:val="32"/>
          <w:lang w:val="zh-CN"/>
        </w:rPr>
        <w:t>新增单位，本年奇台县芨芨湖镇芨芨社区综合服务设施建设项目经费增加，</w:t>
      </w:r>
      <w:r>
        <w:rPr>
          <w:rFonts w:hint="eastAsia" w:ascii="仿宋_GB2312" w:hAnsi="仿宋_GB2312" w:eastAsia="仿宋_GB2312" w:cs="仿宋_GB2312"/>
          <w:sz w:val="32"/>
          <w:szCs w:val="32"/>
          <w:lang w:val="en-US" w:eastAsia="zh-CN"/>
        </w:rPr>
        <w:t>无上年数据</w:t>
      </w:r>
      <w:r>
        <w:rPr>
          <w:rFonts w:hint="eastAsia" w:ascii="仿宋_GB2312" w:hAnsi="仿宋_GB2312" w:eastAsia="仿宋_GB2312" w:cs="仿宋_GB2312"/>
          <w:sz w:val="32"/>
          <w:szCs w:val="32"/>
          <w:lang w:val="zh-CN"/>
        </w:rPr>
        <w:t>。</w:t>
      </w:r>
    </w:p>
    <w:p w14:paraId="5F00DBB9">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15.一般公共服务支出（类）政府办公厅（室）及相关机构事务（款）其他政府办公厅（室）及相关机构事务支出（项）:支出决算数为29.44万元，比上年决算增加29.44万元，增长100%，主要原因是：</w:t>
      </w:r>
      <w:r>
        <w:rPr>
          <w:rFonts w:hint="eastAsia" w:ascii="仿宋_GB2312" w:hAnsi="仿宋_GB2312" w:eastAsia="仿宋_GB2312" w:cs="仿宋_GB2312"/>
          <w:sz w:val="32"/>
          <w:szCs w:val="32"/>
          <w:lang w:val="zh-CN"/>
        </w:rPr>
        <w:t>新增单位，本年芨芨湖镇行政区域勘界项目费用增加，</w:t>
      </w:r>
      <w:r>
        <w:rPr>
          <w:rFonts w:hint="eastAsia" w:ascii="仿宋_GB2312" w:hAnsi="仿宋_GB2312" w:eastAsia="仿宋_GB2312" w:cs="仿宋_GB2312"/>
          <w:sz w:val="32"/>
          <w:szCs w:val="32"/>
          <w:lang w:val="en-US" w:eastAsia="zh-CN"/>
        </w:rPr>
        <w:t>无上年数据</w:t>
      </w:r>
      <w:bookmarkStart w:id="48" w:name="_GoBack"/>
      <w:bookmarkEnd w:id="48"/>
      <w:r>
        <w:rPr>
          <w:rFonts w:hint="eastAsia" w:ascii="仿宋_GB2312" w:hAnsi="仿宋_GB2312" w:eastAsia="仿宋_GB2312" w:cs="仿宋_GB2312"/>
          <w:sz w:val="32"/>
          <w:szCs w:val="32"/>
          <w:lang w:val="zh-CN"/>
        </w:rPr>
        <w:t>。</w:t>
      </w:r>
    </w:p>
    <w:p w14:paraId="3EFA31B5">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1F51BD01">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471.21万元，其中：人员经费470.01万元，包括：基本工资、津贴补贴、奖金、绩效工资、机关事业单位基本养老保险缴费、职业年金缴费、职工基本医疗保险缴费、公务员医疗补助缴费、其他社会保障缴费、住房公积金。</w:t>
      </w:r>
    </w:p>
    <w:p w14:paraId="4CDAC036">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公用经费1.20万元，包括：办公费</w:t>
      </w:r>
      <w:r>
        <w:rPr>
          <w:rFonts w:hint="eastAsia" w:ascii="仿宋_GB2312" w:hAnsi="宋体" w:eastAsia="仿宋_GB2312" w:cs="宋体"/>
          <w:kern w:val="0"/>
          <w:sz w:val="32"/>
          <w:szCs w:val="32"/>
        </w:rPr>
        <w:t>。</w:t>
      </w:r>
    </w:p>
    <w:p w14:paraId="7F0CC29C">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2792E990">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w:t>
      </w:r>
    </w:p>
    <w:p w14:paraId="4A16FBC6">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6EC5B930">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14:paraId="325E539C">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单位本年无此项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1辆，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原因是：差异车辆为一般业务用车1辆，预算未安排公务用车运行维护费。</w:t>
      </w:r>
    </w:p>
    <w:p w14:paraId="67BA542C">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公务接待费0.00万元，开支内容包括单位本年无此项经费。单位全年安排的国内公务接待0批次，0人次。</w:t>
      </w:r>
    </w:p>
    <w:p w14:paraId="723C0747">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0.00万元，决算数0.00万元，预决算差异率0.00%，主要原因是：单位本年无此项经费；公务用车购置费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w:t>
      </w:r>
    </w:p>
    <w:p w14:paraId="03F03332">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14:paraId="6AC6BFD6">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6D6C23B6">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4AE95DA5">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31F0308F">
      <w:pPr>
        <w:ind w:firstLine="640" w:firstLineChars="200"/>
        <w:jc w:val="left"/>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14:paraId="6683995E">
      <w:pPr>
        <w:ind w:firstLine="640" w:firstLineChars="200"/>
        <w:jc w:val="left"/>
        <w:outlineLvl w:val="2"/>
        <w:rPr>
          <w:rFonts w:hint="eastAsia"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14:paraId="619F868F">
      <w:pPr>
        <w:ind w:firstLine="640" w:firstLineChars="200"/>
        <w:rPr>
          <w:rFonts w:hint="eastAsia" w:ascii="仿宋_GB2312" w:hAnsi="仿宋_GB2312" w:eastAsia="仿宋_GB2312" w:cs="仿宋_GB2312"/>
          <w:sz w:val="32"/>
          <w:szCs w:val="32"/>
          <w:lang w:val="zh-CN"/>
        </w:rPr>
      </w:pPr>
      <w:bookmarkStart w:id="24" w:name="_Toc26704"/>
      <w:bookmarkStart w:id="25"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奇台县芨芨湖镇人民政府（行政单位和参照公务员法管理事业单位）机关运行经费支出1.20万元，</w:t>
      </w:r>
      <w:r>
        <w:rPr>
          <w:rFonts w:hint="eastAsia" w:ascii="仿宋_GB2312" w:hAnsi="仿宋_GB2312" w:eastAsia="仿宋_GB2312" w:cs="仿宋_GB2312"/>
          <w:sz w:val="32"/>
          <w:szCs w:val="32"/>
          <w:lang w:val="zh-CN"/>
        </w:rPr>
        <w:t>比上年增加1.20万元，增长100.00%，主要原因是：新增单位，本年</w:t>
      </w:r>
      <w:r>
        <w:rPr>
          <w:rFonts w:hint="eastAsia" w:ascii="仿宋_GB2312" w:hAnsi="仿宋_GB2312" w:eastAsia="仿宋_GB2312" w:cs="仿宋_GB2312"/>
          <w:sz w:val="32"/>
          <w:szCs w:val="32"/>
        </w:rPr>
        <w:t>芨芨湖镇人民政府</w:t>
      </w:r>
      <w:r>
        <w:rPr>
          <w:rFonts w:hint="eastAsia" w:ascii="仿宋_GB2312" w:hAnsi="仿宋_GB2312" w:eastAsia="仿宋_GB2312" w:cs="仿宋_GB2312"/>
          <w:sz w:val="32"/>
          <w:szCs w:val="32"/>
          <w:lang w:val="zh-CN"/>
        </w:rPr>
        <w:t>办公费增加。</w:t>
      </w:r>
    </w:p>
    <w:p w14:paraId="76CC7038">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1BFA10CD">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14:paraId="63635712">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14:paraId="75103C21">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14:paraId="0ADFC217">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50.18</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屋0.00平方米，价值0.00万元。车辆1辆，价值16.94万元，其中：副部（省）级及以上领导用车0辆、主要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用车0辆、其他用车1辆，其他用车主要是：单位业务用车；单价100万元（含）以上设备（不含车辆）0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4525A8D3">
      <w:pPr>
        <w:ind w:firstLine="640" w:firstLineChars="200"/>
        <w:jc w:val="left"/>
        <w:outlineLvl w:val="1"/>
        <w:rPr>
          <w:rFonts w:hint="eastAsia"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14:paraId="50CA7088">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4</w:t>
      </w:r>
      <w:r>
        <w:rPr>
          <w:rFonts w:hint="eastAsia" w:ascii="仿宋_GB2312" w:eastAsia="仿宋_GB2312"/>
          <w:sz w:val="32"/>
          <w:szCs w:val="32"/>
        </w:rPr>
        <w:t>,</w:t>
      </w:r>
      <w:r>
        <w:rPr>
          <w:rFonts w:ascii="仿宋_GB2312" w:eastAsia="仿宋_GB2312"/>
          <w:sz w:val="32"/>
          <w:szCs w:val="32"/>
        </w:rPr>
        <w:t>306.74</w:t>
      </w:r>
      <w:r>
        <w:rPr>
          <w:rFonts w:hint="eastAsia" w:ascii="仿宋_GB2312" w:eastAsia="仿宋_GB2312"/>
          <w:sz w:val="32"/>
          <w:szCs w:val="32"/>
        </w:rPr>
        <w:t>万元，实际执行总额</w:t>
      </w:r>
      <w:r>
        <w:rPr>
          <w:rFonts w:ascii="仿宋_GB2312" w:eastAsia="仿宋_GB2312"/>
          <w:sz w:val="32"/>
          <w:szCs w:val="32"/>
        </w:rPr>
        <w:t>4</w:t>
      </w:r>
      <w:r>
        <w:rPr>
          <w:rFonts w:hint="eastAsia" w:ascii="仿宋_GB2312" w:eastAsia="仿宋_GB2312"/>
          <w:sz w:val="32"/>
          <w:szCs w:val="32"/>
        </w:rPr>
        <w:t>,</w:t>
      </w:r>
      <w:r>
        <w:rPr>
          <w:rFonts w:ascii="仿宋_GB2312" w:eastAsia="仿宋_GB2312"/>
          <w:sz w:val="32"/>
          <w:szCs w:val="32"/>
        </w:rPr>
        <w:t>306.74</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预算绩效评价项目2个，全年预算数</w:t>
      </w:r>
      <w:r>
        <w:rPr>
          <w:rFonts w:ascii="仿宋_GB2312" w:eastAsia="仿宋_GB2312"/>
          <w:sz w:val="32"/>
          <w:szCs w:val="32"/>
        </w:rPr>
        <w:t>63.88</w:t>
      </w:r>
      <w:r>
        <w:rPr>
          <w:rFonts w:hint="eastAsia" w:ascii="仿宋_GB2312" w:eastAsia="仿宋_GB2312"/>
          <w:sz w:val="32"/>
          <w:szCs w:val="32"/>
        </w:rPr>
        <w:t>万元，全年执行数</w:t>
      </w:r>
      <w:r>
        <w:rPr>
          <w:rFonts w:ascii="仿宋_GB2312" w:eastAsia="仿宋_GB2312"/>
          <w:sz w:val="32"/>
          <w:szCs w:val="32"/>
        </w:rPr>
        <w:t>33.5</w:t>
      </w:r>
      <w:r>
        <w:rPr>
          <w:rFonts w:hint="eastAsia" w:ascii="仿宋_GB2312" w:eastAsia="仿宋_GB2312"/>
          <w:sz w:val="32"/>
          <w:szCs w:val="32"/>
        </w:rPr>
        <w:t>0万元。预算绩效管理取得的成效：一是事前有目标、事中有监控、事后有评价、结果有应用、应用有反馈的常态化预算绩效管理体系，预算绩效管理取得了明显成效，财政资金使用效率明显增强；二是不断强化绩效评价结果运用。积极探索绩效评价结果多渠道应用方式，项目绩效评价情况采取多种方式应用评价结果，削减、保持、增加预算安排，或收回使用不当的项目资金，切实改进预算分配的科学性和预算执行的严肃性。发现的问题及原因：一是部分绩效目标设置不够完备。对于项目支出，虽然设立了项目资金绩效目标，但部分目标设置不够明确。细化和量化；二是部分项目预算约束性不够。预算编制不够扎实，在预算执行过程中调整变动较大，客观存在实际支出与年初预算发生偏差。下一步改进措施：一是进一步加强各项目的预算资金管理，加大对预算编制与执行的监督管理力度，提高预算资金使用效率；二是绩效指标设立要科学、合理、可衡量。在设立指标时要充分考虑可实施性，尽可能的量化、细化。具体项目自评情况附绩效自评表及自评报告。</w:t>
      </w:r>
    </w:p>
    <w:p w14:paraId="3FFD37C9">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14:paraId="7051F85A">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4019373B">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3B188D6">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1CDB4233">
            <w:pPr>
              <w:jc w:val="center"/>
            </w:pPr>
            <w:r>
              <w:rPr>
                <w:rFonts w:hint="eastAsia" w:ascii="宋体" w:hAnsi="宋体"/>
                <w:sz w:val="18"/>
              </w:rPr>
              <w:t>奇台县芨芨湖镇人民政府</w:t>
            </w:r>
          </w:p>
        </w:tc>
        <w:tc>
          <w:tcPr>
            <w:tcW w:w="284" w:type="dxa"/>
            <w:tcBorders>
              <w:top w:val="nil"/>
              <w:left w:val="nil"/>
              <w:bottom w:val="nil"/>
              <w:right w:val="nil"/>
            </w:tcBorders>
            <w:shd w:val="clear" w:color="auto" w:fill="auto"/>
            <w:noWrap/>
            <w:vAlign w:val="center"/>
          </w:tcPr>
          <w:p w14:paraId="22876ACE">
            <w:pPr>
              <w:widowControl/>
              <w:jc w:val="left"/>
              <w:rPr>
                <w:rFonts w:hint="eastAsia" w:ascii="宋体" w:hAnsi="宋体" w:cs="宋体"/>
                <w:b/>
                <w:bCs/>
                <w:kern w:val="0"/>
                <w:sz w:val="18"/>
                <w:szCs w:val="18"/>
              </w:rPr>
            </w:pPr>
          </w:p>
        </w:tc>
      </w:tr>
      <w:tr w14:paraId="102F7476">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2689678">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216150BD">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2D631FA7">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276" w:type="dxa"/>
            <w:tcBorders>
              <w:top w:val="nil"/>
              <w:left w:val="nil"/>
              <w:bottom w:val="single" w:color="auto" w:sz="4" w:space="0"/>
              <w:right w:val="single" w:color="auto" w:sz="4" w:space="0"/>
            </w:tcBorders>
            <w:shd w:val="clear" w:color="auto" w:fill="auto"/>
            <w:vAlign w:val="center"/>
          </w:tcPr>
          <w:p w14:paraId="4EC21DF6">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1701" w:type="dxa"/>
            <w:tcBorders>
              <w:top w:val="nil"/>
              <w:left w:val="nil"/>
              <w:bottom w:val="single" w:color="auto" w:sz="4" w:space="0"/>
              <w:right w:val="single" w:color="auto" w:sz="4" w:space="0"/>
            </w:tcBorders>
            <w:shd w:val="clear" w:color="auto" w:fill="auto"/>
            <w:vAlign w:val="center"/>
          </w:tcPr>
          <w:p w14:paraId="08044D79">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134" w:type="dxa"/>
            <w:tcBorders>
              <w:top w:val="nil"/>
              <w:left w:val="nil"/>
              <w:bottom w:val="single" w:color="auto" w:sz="4" w:space="0"/>
              <w:right w:val="single" w:color="auto" w:sz="4" w:space="0"/>
            </w:tcBorders>
            <w:shd w:val="clear" w:color="auto" w:fill="auto"/>
            <w:vAlign w:val="center"/>
          </w:tcPr>
          <w:p w14:paraId="281CCC09">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73CC4E22">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7FDE5885">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0FF6F55C">
            <w:pPr>
              <w:widowControl/>
              <w:jc w:val="center"/>
              <w:rPr>
                <w:rFonts w:hint="eastAsia" w:ascii="宋体" w:hAnsi="宋体" w:cs="宋体"/>
                <w:b/>
                <w:bCs/>
                <w:kern w:val="0"/>
                <w:sz w:val="18"/>
                <w:szCs w:val="18"/>
              </w:rPr>
            </w:pPr>
          </w:p>
        </w:tc>
      </w:tr>
      <w:tr w14:paraId="5076452E">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7938286">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4103163D">
            <w:pPr>
              <w:widowControl/>
              <w:jc w:val="center"/>
              <w:rPr>
                <w:rFonts w:hint="eastAsia" w:ascii="宋体" w:hAnsi="宋体" w:cs="宋体"/>
                <w:b/>
                <w:bCs/>
                <w:kern w:val="0"/>
                <w:sz w:val="18"/>
                <w:szCs w:val="18"/>
              </w:rPr>
            </w:pPr>
            <w:r>
              <w:rPr>
                <w:rFonts w:hint="eastAsia" w:ascii="宋体" w:hAnsi="宋体" w:cs="宋体"/>
                <w:b/>
                <w:bCs/>
                <w:kern w:val="0"/>
                <w:sz w:val="18"/>
                <w:szCs w:val="18"/>
              </w:rPr>
              <w:t>中央安排</w:t>
            </w:r>
          </w:p>
        </w:tc>
        <w:tc>
          <w:tcPr>
            <w:tcW w:w="1418" w:type="dxa"/>
            <w:tcBorders>
              <w:top w:val="nil"/>
              <w:left w:val="nil"/>
              <w:bottom w:val="single" w:color="auto" w:sz="4" w:space="0"/>
              <w:right w:val="single" w:color="auto" w:sz="4" w:space="0"/>
            </w:tcBorders>
            <w:shd w:val="clear" w:color="auto" w:fill="auto"/>
            <w:vAlign w:val="center"/>
          </w:tcPr>
          <w:p w14:paraId="2E78E78C">
            <w:pPr>
              <w:jc w:val="center"/>
              <w:rPr>
                <w:rFonts w:hint="eastAsia" w:ascii="宋体" w:hAnsi="宋体"/>
                <w:sz w:val="18"/>
              </w:rP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6F57A0FA">
            <w:pPr>
              <w:jc w:val="center"/>
              <w:rPr>
                <w:rFonts w:hint="eastAsia" w:ascii="宋体" w:hAnsi="宋体"/>
                <w:sz w:val="18"/>
              </w:rP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0FC77CBA">
            <w:pPr>
              <w:jc w:val="center"/>
              <w:rPr>
                <w:rFonts w:hint="eastAsia" w:ascii="宋体" w:hAnsi="宋体"/>
                <w:sz w:val="18"/>
              </w:rP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7308A03E">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vAlign w:val="center"/>
          </w:tcPr>
          <w:p w14:paraId="2CF85EF7">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vAlign w:val="center"/>
          </w:tcPr>
          <w:p w14:paraId="4F5FE7B2">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2D4879D2">
            <w:pPr>
              <w:widowControl/>
              <w:jc w:val="center"/>
              <w:rPr>
                <w:rFonts w:hint="eastAsia" w:ascii="宋体" w:hAnsi="宋体" w:cs="宋体"/>
                <w:b/>
                <w:bCs/>
                <w:kern w:val="0"/>
                <w:sz w:val="18"/>
                <w:szCs w:val="18"/>
              </w:rPr>
            </w:pPr>
          </w:p>
        </w:tc>
      </w:tr>
      <w:tr w14:paraId="7A0BC035">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448D205">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8AE01A0">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w:t>
            </w:r>
          </w:p>
        </w:tc>
        <w:tc>
          <w:tcPr>
            <w:tcW w:w="1418" w:type="dxa"/>
            <w:tcBorders>
              <w:top w:val="nil"/>
              <w:left w:val="nil"/>
              <w:bottom w:val="single" w:color="auto" w:sz="4" w:space="0"/>
              <w:right w:val="single" w:color="auto" w:sz="4" w:space="0"/>
            </w:tcBorders>
            <w:shd w:val="clear" w:color="auto" w:fill="auto"/>
            <w:vAlign w:val="center"/>
          </w:tcPr>
          <w:p w14:paraId="268141FA">
            <w:pPr>
              <w:jc w:val="center"/>
              <w:rPr>
                <w:rFonts w:hint="eastAsia" w:ascii="宋体" w:hAnsi="宋体"/>
                <w:sz w:val="18"/>
              </w:rP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47CCC80C">
            <w:pPr>
              <w:jc w:val="center"/>
              <w:rPr>
                <w:rFonts w:hint="eastAsia" w:ascii="宋体" w:hAnsi="宋体"/>
                <w:sz w:val="18"/>
              </w:rP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16233EFE">
            <w:pPr>
              <w:jc w:val="center"/>
              <w:rPr>
                <w:rFonts w:hint="eastAsia" w:ascii="宋体" w:hAnsi="宋体"/>
                <w:sz w:val="18"/>
              </w:rP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61344673">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2D7FA21D">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147B0170">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4DF2E36E">
            <w:pPr>
              <w:widowControl/>
              <w:jc w:val="center"/>
              <w:rPr>
                <w:rFonts w:hint="eastAsia" w:ascii="宋体" w:hAnsi="宋体" w:cs="宋体"/>
                <w:kern w:val="0"/>
                <w:sz w:val="18"/>
                <w:szCs w:val="18"/>
              </w:rPr>
            </w:pPr>
          </w:p>
        </w:tc>
      </w:tr>
      <w:tr w14:paraId="3AA0447C">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FD9BBDF">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4F093559">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w:t>
            </w:r>
          </w:p>
        </w:tc>
        <w:tc>
          <w:tcPr>
            <w:tcW w:w="1418" w:type="dxa"/>
            <w:tcBorders>
              <w:top w:val="nil"/>
              <w:left w:val="nil"/>
              <w:bottom w:val="single" w:color="auto" w:sz="4" w:space="0"/>
              <w:right w:val="single" w:color="auto" w:sz="4" w:space="0"/>
            </w:tcBorders>
            <w:shd w:val="clear" w:color="auto" w:fill="auto"/>
            <w:vAlign w:val="center"/>
          </w:tcPr>
          <w:p w14:paraId="2F508148">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3E7C7ADA">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4881D2EA">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37852D0E">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0B1E47F5">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23BB3BA0">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60EB36C0">
            <w:pPr>
              <w:widowControl/>
              <w:jc w:val="center"/>
              <w:rPr>
                <w:rFonts w:hint="eastAsia" w:ascii="宋体" w:hAnsi="宋体" w:cs="宋体"/>
                <w:kern w:val="0"/>
                <w:sz w:val="18"/>
                <w:szCs w:val="18"/>
              </w:rPr>
            </w:pPr>
          </w:p>
        </w:tc>
      </w:tr>
      <w:tr w14:paraId="29308E13">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1700FA1">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33147160">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w:t>
            </w:r>
          </w:p>
        </w:tc>
        <w:tc>
          <w:tcPr>
            <w:tcW w:w="1418" w:type="dxa"/>
            <w:tcBorders>
              <w:top w:val="nil"/>
              <w:left w:val="nil"/>
              <w:bottom w:val="single" w:color="auto" w:sz="4" w:space="0"/>
              <w:right w:val="single" w:color="auto" w:sz="4" w:space="0"/>
            </w:tcBorders>
            <w:shd w:val="clear" w:color="auto" w:fill="auto"/>
            <w:vAlign w:val="center"/>
          </w:tcPr>
          <w:p w14:paraId="324E3A34">
            <w:pPr>
              <w:jc w:val="center"/>
            </w:pPr>
            <w:r>
              <w:rPr>
                <w:rFonts w:hint="eastAsia" w:ascii="宋体" w:hAnsi="宋体"/>
                <w:sz w:val="18"/>
              </w:rPr>
              <w:t>86.36</w:t>
            </w:r>
          </w:p>
        </w:tc>
        <w:tc>
          <w:tcPr>
            <w:tcW w:w="1276" w:type="dxa"/>
            <w:tcBorders>
              <w:top w:val="nil"/>
              <w:left w:val="nil"/>
              <w:bottom w:val="single" w:color="auto" w:sz="4" w:space="0"/>
              <w:right w:val="single" w:color="auto" w:sz="4" w:space="0"/>
            </w:tcBorders>
            <w:shd w:val="clear" w:color="auto" w:fill="auto"/>
            <w:vAlign w:val="center"/>
          </w:tcPr>
          <w:p w14:paraId="7E1BBDEB">
            <w:pPr>
              <w:jc w:val="center"/>
            </w:pPr>
            <w:r>
              <w:rPr>
                <w:rFonts w:hint="eastAsia" w:ascii="宋体" w:hAnsi="宋体"/>
                <w:sz w:val="18"/>
              </w:rPr>
              <w:t>1,070.10</w:t>
            </w:r>
          </w:p>
        </w:tc>
        <w:tc>
          <w:tcPr>
            <w:tcW w:w="1701" w:type="dxa"/>
            <w:tcBorders>
              <w:top w:val="nil"/>
              <w:left w:val="nil"/>
              <w:bottom w:val="single" w:color="auto" w:sz="4" w:space="0"/>
              <w:right w:val="single" w:color="auto" w:sz="4" w:space="0"/>
            </w:tcBorders>
            <w:shd w:val="clear" w:color="auto" w:fill="auto"/>
            <w:vAlign w:val="center"/>
          </w:tcPr>
          <w:p w14:paraId="0951E932">
            <w:pPr>
              <w:jc w:val="center"/>
            </w:pPr>
            <w:r>
              <w:rPr>
                <w:rFonts w:hint="eastAsia" w:ascii="宋体" w:hAnsi="宋体"/>
                <w:sz w:val="18"/>
              </w:rPr>
              <w:t>1,068.11</w:t>
            </w:r>
          </w:p>
        </w:tc>
        <w:tc>
          <w:tcPr>
            <w:tcW w:w="1134" w:type="dxa"/>
            <w:tcBorders>
              <w:top w:val="nil"/>
              <w:left w:val="nil"/>
              <w:bottom w:val="single" w:color="auto" w:sz="4" w:space="0"/>
              <w:right w:val="single" w:color="auto" w:sz="4" w:space="0"/>
            </w:tcBorders>
            <w:shd w:val="clear" w:color="auto" w:fill="auto"/>
            <w:vAlign w:val="center"/>
          </w:tcPr>
          <w:p w14:paraId="266BCA5A">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103EB876">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51375192">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52412B8C">
            <w:pPr>
              <w:widowControl/>
              <w:jc w:val="center"/>
              <w:rPr>
                <w:rFonts w:hint="eastAsia" w:ascii="宋体" w:hAnsi="宋体" w:cs="宋体"/>
                <w:kern w:val="0"/>
                <w:sz w:val="18"/>
                <w:szCs w:val="18"/>
              </w:rPr>
            </w:pPr>
          </w:p>
        </w:tc>
      </w:tr>
      <w:tr w14:paraId="5A79B927">
        <w:tblPrEx>
          <w:tblCellMar>
            <w:top w:w="0" w:type="dxa"/>
            <w:left w:w="108" w:type="dxa"/>
            <w:bottom w:w="0" w:type="dxa"/>
            <w:right w:w="108" w:type="dxa"/>
          </w:tblCellMar>
        </w:tblPrEx>
        <w:trPr>
          <w:cantSplit/>
          <w:trHeight w:val="458"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6C73E2D">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64A924EE">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w:t>
            </w:r>
          </w:p>
        </w:tc>
        <w:tc>
          <w:tcPr>
            <w:tcW w:w="1418" w:type="dxa"/>
            <w:tcBorders>
              <w:top w:val="nil"/>
              <w:left w:val="nil"/>
              <w:bottom w:val="single" w:color="auto" w:sz="4" w:space="0"/>
              <w:right w:val="single" w:color="auto" w:sz="4" w:space="0"/>
            </w:tcBorders>
            <w:shd w:val="clear" w:color="auto" w:fill="auto"/>
            <w:vAlign w:val="center"/>
          </w:tcPr>
          <w:p w14:paraId="47FA9D78">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14:paraId="7477EAB8">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14:paraId="377484CA">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0C16FB40">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68B16CC3">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79A65C9D">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7E3BE2D3">
            <w:pPr>
              <w:widowControl/>
              <w:jc w:val="center"/>
              <w:rPr>
                <w:rFonts w:hint="eastAsia" w:ascii="宋体" w:hAnsi="宋体" w:cs="宋体"/>
                <w:kern w:val="0"/>
                <w:sz w:val="18"/>
                <w:szCs w:val="18"/>
              </w:rPr>
            </w:pPr>
          </w:p>
        </w:tc>
      </w:tr>
      <w:tr w14:paraId="19578E63">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AC0FACB">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2861E742">
            <w:pPr>
              <w:widowControl/>
              <w:jc w:val="center"/>
              <w:rPr>
                <w:rFonts w:hint="eastAsia" w:ascii="宋体" w:hAnsi="宋体" w:cs="宋体"/>
                <w:b/>
                <w:bCs/>
                <w:kern w:val="0"/>
                <w:sz w:val="18"/>
                <w:szCs w:val="18"/>
              </w:rPr>
            </w:pPr>
            <w:r>
              <w:rPr>
                <w:rFonts w:hint="eastAsia" w:ascii="宋体" w:hAnsi="宋体" w:cs="宋体"/>
                <w:b/>
                <w:bCs/>
                <w:kern w:val="0"/>
                <w:sz w:val="18"/>
                <w:szCs w:val="18"/>
              </w:rPr>
              <w:t>合计</w:t>
            </w:r>
          </w:p>
        </w:tc>
        <w:tc>
          <w:tcPr>
            <w:tcW w:w="1418" w:type="dxa"/>
            <w:tcBorders>
              <w:top w:val="nil"/>
              <w:left w:val="nil"/>
              <w:bottom w:val="single" w:color="auto" w:sz="4" w:space="0"/>
              <w:right w:val="single" w:color="auto" w:sz="4" w:space="0"/>
            </w:tcBorders>
            <w:shd w:val="clear" w:color="auto" w:fill="auto"/>
            <w:vAlign w:val="center"/>
          </w:tcPr>
          <w:p w14:paraId="4EF19A94">
            <w:pPr>
              <w:jc w:val="center"/>
            </w:pPr>
            <w:r>
              <w:rPr>
                <w:rFonts w:hint="eastAsia" w:ascii="宋体" w:hAnsi="宋体"/>
                <w:sz w:val="18"/>
              </w:rPr>
              <w:t>86.36</w:t>
            </w:r>
          </w:p>
        </w:tc>
        <w:tc>
          <w:tcPr>
            <w:tcW w:w="1276" w:type="dxa"/>
            <w:tcBorders>
              <w:top w:val="nil"/>
              <w:left w:val="nil"/>
              <w:bottom w:val="single" w:color="auto" w:sz="4" w:space="0"/>
              <w:right w:val="single" w:color="auto" w:sz="4" w:space="0"/>
            </w:tcBorders>
            <w:shd w:val="clear" w:color="auto" w:fill="auto"/>
            <w:vAlign w:val="center"/>
          </w:tcPr>
          <w:p w14:paraId="25C4042C">
            <w:pPr>
              <w:jc w:val="center"/>
            </w:pPr>
            <w:r>
              <w:rPr>
                <w:rFonts w:hint="eastAsia" w:ascii="宋体" w:hAnsi="宋体"/>
                <w:sz w:val="18"/>
              </w:rPr>
              <w:t>1,070.10</w:t>
            </w:r>
          </w:p>
        </w:tc>
        <w:tc>
          <w:tcPr>
            <w:tcW w:w="1701" w:type="dxa"/>
            <w:tcBorders>
              <w:top w:val="nil"/>
              <w:left w:val="nil"/>
              <w:bottom w:val="single" w:color="auto" w:sz="4" w:space="0"/>
              <w:right w:val="single" w:color="auto" w:sz="4" w:space="0"/>
            </w:tcBorders>
            <w:shd w:val="clear" w:color="auto" w:fill="auto"/>
            <w:vAlign w:val="center"/>
          </w:tcPr>
          <w:p w14:paraId="6BE0CEBE">
            <w:pPr>
              <w:jc w:val="center"/>
            </w:pPr>
            <w:r>
              <w:rPr>
                <w:rFonts w:hint="eastAsia" w:ascii="宋体" w:hAnsi="宋体"/>
                <w:sz w:val="18"/>
              </w:rPr>
              <w:t>1,068.11</w:t>
            </w:r>
          </w:p>
        </w:tc>
        <w:tc>
          <w:tcPr>
            <w:tcW w:w="1134" w:type="dxa"/>
            <w:tcBorders>
              <w:top w:val="nil"/>
              <w:left w:val="nil"/>
              <w:bottom w:val="single" w:color="auto" w:sz="4" w:space="0"/>
              <w:right w:val="single" w:color="auto" w:sz="4" w:space="0"/>
            </w:tcBorders>
            <w:shd w:val="clear" w:color="auto" w:fill="auto"/>
            <w:vAlign w:val="center"/>
          </w:tcPr>
          <w:p w14:paraId="2A684929">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14:paraId="7DCB605D">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7E3CD202">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7E518B3D">
            <w:pPr>
              <w:widowControl/>
              <w:jc w:val="center"/>
              <w:rPr>
                <w:rFonts w:hint="eastAsia" w:ascii="宋体" w:hAnsi="宋体" w:cs="宋体"/>
                <w:kern w:val="0"/>
                <w:sz w:val="18"/>
                <w:szCs w:val="18"/>
              </w:rPr>
            </w:pPr>
          </w:p>
        </w:tc>
      </w:tr>
      <w:tr w14:paraId="2C7427AB">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EFE1CBE">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4111" w:type="dxa"/>
            <w:gridSpan w:val="3"/>
            <w:tcBorders>
              <w:top w:val="single" w:color="auto" w:sz="4" w:space="0"/>
              <w:left w:val="nil"/>
              <w:bottom w:val="single" w:color="auto" w:sz="4" w:space="0"/>
              <w:right w:val="single" w:color="auto" w:sz="4" w:space="0"/>
            </w:tcBorders>
            <w:shd w:val="clear" w:color="auto" w:fill="auto"/>
            <w:noWrap/>
            <w:vAlign w:val="center"/>
          </w:tcPr>
          <w:p w14:paraId="05A18862">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547" w:type="dxa"/>
            <w:gridSpan w:val="4"/>
            <w:tcBorders>
              <w:top w:val="single" w:color="auto" w:sz="4" w:space="0"/>
              <w:left w:val="nil"/>
              <w:bottom w:val="single" w:color="auto" w:sz="4" w:space="0"/>
              <w:right w:val="single" w:color="auto" w:sz="4" w:space="0"/>
            </w:tcBorders>
            <w:shd w:val="clear" w:color="auto" w:fill="auto"/>
            <w:noWrap/>
            <w:vAlign w:val="center"/>
          </w:tcPr>
          <w:p w14:paraId="20F9C589">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291BD982">
            <w:pPr>
              <w:widowControl/>
              <w:jc w:val="left"/>
              <w:rPr>
                <w:rFonts w:hint="eastAsia" w:ascii="宋体" w:hAnsi="宋体" w:cs="宋体"/>
                <w:b/>
                <w:bCs/>
                <w:kern w:val="0"/>
                <w:sz w:val="18"/>
                <w:szCs w:val="18"/>
              </w:rPr>
            </w:pPr>
          </w:p>
        </w:tc>
      </w:tr>
      <w:tr w14:paraId="1DDA4F80">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F22A3FC">
            <w:pPr>
              <w:widowControl/>
              <w:jc w:val="left"/>
              <w:rPr>
                <w:rFonts w:hint="eastAsia" w:ascii="宋体" w:hAnsi="宋体" w:cs="宋体"/>
                <w:b/>
                <w:bCs/>
                <w:kern w:val="0"/>
                <w:sz w:val="18"/>
                <w:szCs w:val="18"/>
              </w:rPr>
            </w:pPr>
          </w:p>
        </w:tc>
        <w:tc>
          <w:tcPr>
            <w:tcW w:w="4111" w:type="dxa"/>
            <w:gridSpan w:val="3"/>
            <w:tcBorders>
              <w:top w:val="single" w:color="auto" w:sz="4" w:space="0"/>
              <w:left w:val="nil"/>
              <w:bottom w:val="single" w:color="auto" w:sz="4" w:space="0"/>
              <w:right w:val="single" w:color="auto" w:sz="4" w:space="0"/>
            </w:tcBorders>
            <w:shd w:val="clear" w:color="auto" w:fill="auto"/>
          </w:tcPr>
          <w:p w14:paraId="6EF9E4B8">
            <w:pPr>
              <w:jc w:val="left"/>
            </w:pPr>
            <w:r>
              <w:rPr>
                <w:rFonts w:ascii="宋体" w:hAnsi="宋体"/>
                <w:sz w:val="18"/>
              </w:rPr>
              <w:t>（一）扩大畜牧养殖规模，以达板河天山东部养殖小区、壮壮牧业、天河天山腾飞养殖小区、三十户村肉羊改良点为依托，加大畜禽品种改良力度，完成肉羊品种改良（二）坚持把“先进经验”学回来，把“先进技术”带回来，把“高端人才”引回来，把“优质项目”落下来，组织领导干部及各村负责人，赴内地或南疆地区考察学习先进的经验做法。着力挖掘田间地头的土专家、田秀才。全年完成农村劳动力培训1000人。突出抓好农村富余劳动力、高校毕业生、退役军人、困难群体就业，全年劳动力转移3000人次以上，借助准东产业带东移、中蒙产业园打造机遇及水发集团，良仕酒业和海纳新挂面厂等企业用工需求，实现脱贫户和“三类户”全部就业，有效提升人均收入。</w:t>
            </w:r>
          </w:p>
        </w:tc>
        <w:tc>
          <w:tcPr>
            <w:tcW w:w="4547" w:type="dxa"/>
            <w:gridSpan w:val="4"/>
            <w:tcBorders>
              <w:top w:val="single" w:color="auto" w:sz="4" w:space="0"/>
              <w:left w:val="nil"/>
              <w:bottom w:val="single" w:color="auto" w:sz="4" w:space="0"/>
              <w:right w:val="single" w:color="auto" w:sz="4" w:space="0"/>
            </w:tcBorders>
            <w:shd w:val="clear" w:color="auto" w:fill="auto"/>
          </w:tcPr>
          <w:p w14:paraId="03C84F86">
            <w:pPr>
              <w:jc w:val="left"/>
            </w:pPr>
            <w:r>
              <w:rPr>
                <w:rFonts w:ascii="宋体" w:hAnsi="宋体"/>
                <w:sz w:val="18"/>
              </w:rPr>
              <w:t>实现劳动力转移人数，完成肉羊品种改良数，完成肉牛品种改良，完成清洁取暖建设面积，完成农村劳动力培训数，完成退耕还林补植补造亩数。</w:t>
            </w:r>
          </w:p>
        </w:tc>
        <w:tc>
          <w:tcPr>
            <w:tcW w:w="284" w:type="dxa"/>
            <w:tcBorders>
              <w:top w:val="nil"/>
              <w:left w:val="nil"/>
              <w:bottom w:val="nil"/>
              <w:right w:val="nil"/>
            </w:tcBorders>
            <w:shd w:val="clear" w:color="auto" w:fill="auto"/>
            <w:noWrap/>
            <w:vAlign w:val="center"/>
          </w:tcPr>
          <w:p w14:paraId="369F71B7">
            <w:pPr>
              <w:widowControl/>
              <w:jc w:val="left"/>
              <w:rPr>
                <w:rFonts w:hint="eastAsia" w:ascii="宋体" w:hAnsi="宋体" w:cs="宋体"/>
                <w:kern w:val="0"/>
                <w:sz w:val="18"/>
                <w:szCs w:val="18"/>
              </w:rPr>
            </w:pPr>
          </w:p>
        </w:tc>
      </w:tr>
      <w:tr w14:paraId="1FBB923C">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5B28A90E">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41EA69D5">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58EAF1DC">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276" w:type="dxa"/>
            <w:tcBorders>
              <w:top w:val="nil"/>
              <w:left w:val="nil"/>
              <w:bottom w:val="single" w:color="auto" w:sz="4" w:space="0"/>
              <w:right w:val="single" w:color="auto" w:sz="4" w:space="0"/>
            </w:tcBorders>
            <w:shd w:val="clear" w:color="auto" w:fill="auto"/>
            <w:vAlign w:val="center"/>
          </w:tcPr>
          <w:p w14:paraId="484D6AD3">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1701" w:type="dxa"/>
            <w:tcBorders>
              <w:top w:val="nil"/>
              <w:left w:val="nil"/>
              <w:bottom w:val="single" w:color="auto" w:sz="4" w:space="0"/>
              <w:right w:val="single" w:color="auto" w:sz="4" w:space="0"/>
            </w:tcBorders>
            <w:shd w:val="clear" w:color="auto" w:fill="auto"/>
            <w:vAlign w:val="center"/>
          </w:tcPr>
          <w:p w14:paraId="5D07FBB0">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134" w:type="dxa"/>
            <w:tcBorders>
              <w:top w:val="nil"/>
              <w:left w:val="nil"/>
              <w:bottom w:val="single" w:color="auto" w:sz="4" w:space="0"/>
              <w:right w:val="single" w:color="auto" w:sz="4" w:space="0"/>
            </w:tcBorders>
            <w:shd w:val="clear" w:color="auto" w:fill="auto"/>
            <w:vAlign w:val="center"/>
          </w:tcPr>
          <w:p w14:paraId="164F8361">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14:paraId="036FDE0F">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720" w:type="dxa"/>
            <w:tcBorders>
              <w:top w:val="nil"/>
              <w:left w:val="nil"/>
              <w:bottom w:val="single" w:color="auto" w:sz="4" w:space="0"/>
              <w:right w:val="single" w:color="auto" w:sz="4" w:space="0"/>
            </w:tcBorders>
            <w:shd w:val="clear" w:color="auto" w:fill="auto"/>
            <w:vAlign w:val="center"/>
          </w:tcPr>
          <w:p w14:paraId="75A6934D">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126DF779">
            <w:pPr>
              <w:widowControl/>
              <w:jc w:val="left"/>
              <w:rPr>
                <w:rFonts w:hint="eastAsia" w:ascii="宋体" w:hAnsi="宋体" w:cs="宋体"/>
                <w:b/>
                <w:bCs/>
                <w:kern w:val="0"/>
                <w:sz w:val="18"/>
                <w:szCs w:val="18"/>
              </w:rPr>
            </w:pPr>
          </w:p>
        </w:tc>
      </w:tr>
      <w:tr w14:paraId="7887AA96">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79E5C0E4">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7E25D466">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0C524AB7">
            <w:pPr>
              <w:jc w:val="center"/>
            </w:pPr>
            <w:r>
              <w:rPr>
                <w:rFonts w:ascii="宋体" w:hAnsi="宋体"/>
                <w:sz w:val="18"/>
              </w:rPr>
              <w:t>实现劳动力转移人数</w:t>
            </w:r>
          </w:p>
        </w:tc>
        <w:tc>
          <w:tcPr>
            <w:tcW w:w="1276" w:type="dxa"/>
            <w:tcBorders>
              <w:top w:val="nil"/>
              <w:left w:val="nil"/>
              <w:bottom w:val="single" w:color="auto" w:sz="4" w:space="0"/>
              <w:right w:val="single" w:color="auto" w:sz="4" w:space="0"/>
            </w:tcBorders>
            <w:shd w:val="clear" w:color="auto" w:fill="auto"/>
            <w:noWrap/>
            <w:vAlign w:val="center"/>
          </w:tcPr>
          <w:p w14:paraId="4C08F31F">
            <w:pPr>
              <w:jc w:val="center"/>
            </w:pPr>
            <w:r>
              <w:rPr>
                <w:rFonts w:ascii="宋体" w:hAnsi="宋体"/>
                <w:sz w:val="18"/>
              </w:rPr>
              <w:t>&gt;=3000人</w:t>
            </w:r>
          </w:p>
        </w:tc>
        <w:tc>
          <w:tcPr>
            <w:tcW w:w="1701" w:type="dxa"/>
            <w:tcBorders>
              <w:top w:val="nil"/>
              <w:left w:val="nil"/>
              <w:bottom w:val="single" w:color="auto" w:sz="4" w:space="0"/>
              <w:right w:val="single" w:color="auto" w:sz="4" w:space="0"/>
            </w:tcBorders>
            <w:shd w:val="clear" w:color="auto" w:fill="auto"/>
            <w:noWrap/>
            <w:vAlign w:val="center"/>
          </w:tcPr>
          <w:p w14:paraId="0E63BF49">
            <w:pPr>
              <w:jc w:val="center"/>
            </w:pPr>
            <w:r>
              <w:rPr>
                <w:rFonts w:ascii="宋体" w:hAnsi="宋体"/>
                <w:sz w:val="18"/>
              </w:rPr>
              <w:t>吉布库镇人民政府2023年工作计划</w:t>
            </w:r>
          </w:p>
        </w:tc>
        <w:tc>
          <w:tcPr>
            <w:tcW w:w="1134" w:type="dxa"/>
            <w:tcBorders>
              <w:top w:val="nil"/>
              <w:left w:val="nil"/>
              <w:bottom w:val="single" w:color="auto" w:sz="4" w:space="0"/>
              <w:right w:val="single" w:color="auto" w:sz="4" w:space="0"/>
            </w:tcBorders>
            <w:shd w:val="clear" w:color="auto" w:fill="auto"/>
            <w:noWrap/>
            <w:vAlign w:val="center"/>
          </w:tcPr>
          <w:p w14:paraId="23AE10E3">
            <w:pPr>
              <w:jc w:val="center"/>
            </w:pPr>
            <w:r>
              <w:rPr>
                <w:rFonts w:ascii="宋体" w:hAnsi="宋体"/>
                <w:sz w:val="18"/>
              </w:rPr>
              <w:t>15</w:t>
            </w:r>
          </w:p>
        </w:tc>
        <w:tc>
          <w:tcPr>
            <w:tcW w:w="992" w:type="dxa"/>
            <w:tcBorders>
              <w:top w:val="nil"/>
              <w:left w:val="nil"/>
              <w:bottom w:val="single" w:color="auto" w:sz="4" w:space="0"/>
              <w:right w:val="single" w:color="auto" w:sz="4" w:space="0"/>
            </w:tcBorders>
            <w:shd w:val="clear" w:color="auto" w:fill="auto"/>
            <w:noWrap/>
            <w:vAlign w:val="center"/>
          </w:tcPr>
          <w:p w14:paraId="67CAA53C">
            <w:pPr>
              <w:jc w:val="center"/>
            </w:pPr>
            <w:r>
              <w:rPr>
                <w:rFonts w:ascii="宋体" w:hAnsi="宋体"/>
                <w:sz w:val="18"/>
              </w:rPr>
              <w:t>3000人</w:t>
            </w:r>
          </w:p>
        </w:tc>
        <w:tc>
          <w:tcPr>
            <w:tcW w:w="720" w:type="dxa"/>
            <w:tcBorders>
              <w:top w:val="nil"/>
              <w:left w:val="nil"/>
              <w:bottom w:val="single" w:color="auto" w:sz="4" w:space="0"/>
              <w:right w:val="single" w:color="auto" w:sz="4" w:space="0"/>
            </w:tcBorders>
            <w:shd w:val="clear" w:color="auto" w:fill="auto"/>
            <w:noWrap/>
            <w:vAlign w:val="center"/>
          </w:tcPr>
          <w:p w14:paraId="6431E7A8">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6990F158">
            <w:pPr>
              <w:widowControl/>
              <w:jc w:val="center"/>
              <w:rPr>
                <w:rFonts w:hint="eastAsia" w:ascii="宋体" w:hAnsi="宋体" w:cs="宋体"/>
                <w:kern w:val="0"/>
                <w:sz w:val="18"/>
                <w:szCs w:val="18"/>
              </w:rPr>
            </w:pPr>
          </w:p>
        </w:tc>
      </w:tr>
      <w:tr w14:paraId="21FC37F5">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7A832BC">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5AAEFBAF">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05FA5AEB">
            <w:pPr>
              <w:jc w:val="center"/>
            </w:pPr>
            <w:r>
              <w:rPr>
                <w:rFonts w:ascii="宋体" w:hAnsi="宋体"/>
                <w:sz w:val="18"/>
              </w:rPr>
              <w:t>完成肉样品种改良数</w:t>
            </w:r>
          </w:p>
        </w:tc>
        <w:tc>
          <w:tcPr>
            <w:tcW w:w="1276" w:type="dxa"/>
            <w:tcBorders>
              <w:top w:val="nil"/>
              <w:left w:val="nil"/>
              <w:bottom w:val="single" w:color="auto" w:sz="4" w:space="0"/>
              <w:right w:val="single" w:color="auto" w:sz="4" w:space="0"/>
            </w:tcBorders>
            <w:shd w:val="clear" w:color="auto" w:fill="auto"/>
            <w:noWrap/>
            <w:vAlign w:val="center"/>
          </w:tcPr>
          <w:p w14:paraId="707EA3E3">
            <w:pPr>
              <w:jc w:val="center"/>
            </w:pPr>
            <w:r>
              <w:rPr>
                <w:rFonts w:ascii="宋体" w:hAnsi="宋体"/>
                <w:sz w:val="18"/>
              </w:rPr>
              <w:t>&gt;=8400只</w:t>
            </w:r>
          </w:p>
        </w:tc>
        <w:tc>
          <w:tcPr>
            <w:tcW w:w="1701" w:type="dxa"/>
            <w:tcBorders>
              <w:top w:val="nil"/>
              <w:left w:val="nil"/>
              <w:bottom w:val="single" w:color="auto" w:sz="4" w:space="0"/>
              <w:right w:val="single" w:color="auto" w:sz="4" w:space="0"/>
            </w:tcBorders>
            <w:shd w:val="clear" w:color="auto" w:fill="auto"/>
            <w:noWrap/>
            <w:vAlign w:val="center"/>
          </w:tcPr>
          <w:p w14:paraId="45623659">
            <w:pPr>
              <w:jc w:val="center"/>
            </w:pPr>
            <w:r>
              <w:rPr>
                <w:rFonts w:ascii="宋体" w:hAnsi="宋体"/>
                <w:sz w:val="18"/>
              </w:rPr>
              <w:t>吉布库镇人民政府2023年工作计划</w:t>
            </w:r>
          </w:p>
        </w:tc>
        <w:tc>
          <w:tcPr>
            <w:tcW w:w="1134" w:type="dxa"/>
            <w:tcBorders>
              <w:top w:val="nil"/>
              <w:left w:val="nil"/>
              <w:bottom w:val="single" w:color="auto" w:sz="4" w:space="0"/>
              <w:right w:val="single" w:color="auto" w:sz="4" w:space="0"/>
            </w:tcBorders>
            <w:shd w:val="clear" w:color="auto" w:fill="auto"/>
            <w:noWrap/>
            <w:vAlign w:val="center"/>
          </w:tcPr>
          <w:p w14:paraId="63CBC9F9">
            <w:pPr>
              <w:jc w:val="center"/>
            </w:pPr>
            <w:r>
              <w:rPr>
                <w:rFonts w:ascii="宋体" w:hAnsi="宋体"/>
                <w:sz w:val="18"/>
              </w:rPr>
              <w:t>15</w:t>
            </w:r>
          </w:p>
        </w:tc>
        <w:tc>
          <w:tcPr>
            <w:tcW w:w="992" w:type="dxa"/>
            <w:tcBorders>
              <w:top w:val="nil"/>
              <w:left w:val="nil"/>
              <w:bottom w:val="single" w:color="auto" w:sz="4" w:space="0"/>
              <w:right w:val="single" w:color="auto" w:sz="4" w:space="0"/>
            </w:tcBorders>
            <w:shd w:val="clear" w:color="auto" w:fill="auto"/>
            <w:noWrap/>
            <w:vAlign w:val="center"/>
          </w:tcPr>
          <w:p w14:paraId="1C1046E7">
            <w:pPr>
              <w:jc w:val="center"/>
            </w:pPr>
            <w:r>
              <w:rPr>
                <w:rFonts w:ascii="宋体" w:hAnsi="宋体"/>
                <w:sz w:val="18"/>
              </w:rPr>
              <w:t>8400只</w:t>
            </w:r>
          </w:p>
        </w:tc>
        <w:tc>
          <w:tcPr>
            <w:tcW w:w="720" w:type="dxa"/>
            <w:tcBorders>
              <w:top w:val="nil"/>
              <w:left w:val="nil"/>
              <w:bottom w:val="single" w:color="auto" w:sz="4" w:space="0"/>
              <w:right w:val="single" w:color="auto" w:sz="4" w:space="0"/>
            </w:tcBorders>
            <w:shd w:val="clear" w:color="auto" w:fill="auto"/>
            <w:noWrap/>
            <w:vAlign w:val="center"/>
          </w:tcPr>
          <w:p w14:paraId="377CBF8B">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47CD171B">
            <w:pPr>
              <w:widowControl/>
              <w:jc w:val="center"/>
              <w:rPr>
                <w:rFonts w:hint="eastAsia" w:ascii="宋体" w:hAnsi="宋体" w:cs="宋体"/>
                <w:kern w:val="0"/>
                <w:sz w:val="18"/>
                <w:szCs w:val="18"/>
              </w:rPr>
            </w:pPr>
          </w:p>
        </w:tc>
      </w:tr>
      <w:tr w14:paraId="07C30C37">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3FB80FA">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428FE1E5">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24D9D753">
            <w:pPr>
              <w:jc w:val="center"/>
            </w:pPr>
            <w:r>
              <w:rPr>
                <w:rFonts w:ascii="宋体" w:hAnsi="宋体"/>
                <w:sz w:val="18"/>
              </w:rPr>
              <w:t>完成肉牛品种改良</w:t>
            </w:r>
          </w:p>
        </w:tc>
        <w:tc>
          <w:tcPr>
            <w:tcW w:w="1276" w:type="dxa"/>
            <w:tcBorders>
              <w:top w:val="nil"/>
              <w:left w:val="nil"/>
              <w:bottom w:val="single" w:color="auto" w:sz="4" w:space="0"/>
              <w:right w:val="single" w:color="auto" w:sz="4" w:space="0"/>
            </w:tcBorders>
            <w:shd w:val="clear" w:color="auto" w:fill="auto"/>
            <w:noWrap/>
            <w:vAlign w:val="center"/>
          </w:tcPr>
          <w:p w14:paraId="5426496B">
            <w:pPr>
              <w:jc w:val="center"/>
            </w:pPr>
            <w:r>
              <w:rPr>
                <w:rFonts w:ascii="宋体" w:hAnsi="宋体"/>
                <w:sz w:val="18"/>
              </w:rPr>
              <w:t>&gt;=1700头</w:t>
            </w:r>
          </w:p>
        </w:tc>
        <w:tc>
          <w:tcPr>
            <w:tcW w:w="1701" w:type="dxa"/>
            <w:tcBorders>
              <w:top w:val="nil"/>
              <w:left w:val="nil"/>
              <w:bottom w:val="single" w:color="auto" w:sz="4" w:space="0"/>
              <w:right w:val="single" w:color="auto" w:sz="4" w:space="0"/>
            </w:tcBorders>
            <w:shd w:val="clear" w:color="auto" w:fill="auto"/>
            <w:noWrap/>
            <w:vAlign w:val="center"/>
          </w:tcPr>
          <w:p w14:paraId="5BDB6589">
            <w:pPr>
              <w:jc w:val="center"/>
            </w:pPr>
            <w:r>
              <w:rPr>
                <w:rFonts w:ascii="宋体" w:hAnsi="宋体"/>
                <w:sz w:val="18"/>
              </w:rPr>
              <w:t>吉布库镇人民政府2023年工作计划</w:t>
            </w:r>
          </w:p>
        </w:tc>
        <w:tc>
          <w:tcPr>
            <w:tcW w:w="1134" w:type="dxa"/>
            <w:tcBorders>
              <w:top w:val="nil"/>
              <w:left w:val="nil"/>
              <w:bottom w:val="single" w:color="auto" w:sz="4" w:space="0"/>
              <w:right w:val="single" w:color="auto" w:sz="4" w:space="0"/>
            </w:tcBorders>
            <w:shd w:val="clear" w:color="auto" w:fill="auto"/>
            <w:noWrap/>
            <w:vAlign w:val="center"/>
          </w:tcPr>
          <w:p w14:paraId="0AD3268B">
            <w:pPr>
              <w:jc w:val="center"/>
            </w:pPr>
            <w:r>
              <w:rPr>
                <w:rFonts w:ascii="宋体" w:hAnsi="宋体"/>
                <w:sz w:val="18"/>
              </w:rPr>
              <w:t>15</w:t>
            </w:r>
          </w:p>
        </w:tc>
        <w:tc>
          <w:tcPr>
            <w:tcW w:w="992" w:type="dxa"/>
            <w:tcBorders>
              <w:top w:val="nil"/>
              <w:left w:val="nil"/>
              <w:bottom w:val="single" w:color="auto" w:sz="4" w:space="0"/>
              <w:right w:val="single" w:color="auto" w:sz="4" w:space="0"/>
            </w:tcBorders>
            <w:shd w:val="clear" w:color="auto" w:fill="auto"/>
            <w:noWrap/>
            <w:vAlign w:val="center"/>
          </w:tcPr>
          <w:p w14:paraId="617A59F1">
            <w:pPr>
              <w:jc w:val="center"/>
            </w:pPr>
            <w:r>
              <w:rPr>
                <w:rFonts w:ascii="宋体" w:hAnsi="宋体"/>
                <w:sz w:val="18"/>
              </w:rPr>
              <w:t>1700头</w:t>
            </w:r>
          </w:p>
        </w:tc>
        <w:tc>
          <w:tcPr>
            <w:tcW w:w="720" w:type="dxa"/>
            <w:tcBorders>
              <w:top w:val="nil"/>
              <w:left w:val="nil"/>
              <w:bottom w:val="single" w:color="auto" w:sz="4" w:space="0"/>
              <w:right w:val="single" w:color="auto" w:sz="4" w:space="0"/>
            </w:tcBorders>
            <w:shd w:val="clear" w:color="auto" w:fill="auto"/>
            <w:noWrap/>
            <w:vAlign w:val="center"/>
          </w:tcPr>
          <w:p w14:paraId="2DD95C47">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06B5CE96">
            <w:pPr>
              <w:widowControl/>
              <w:jc w:val="center"/>
              <w:rPr>
                <w:rFonts w:hint="eastAsia" w:ascii="宋体" w:hAnsi="宋体" w:cs="宋体"/>
                <w:kern w:val="0"/>
                <w:sz w:val="18"/>
                <w:szCs w:val="18"/>
              </w:rPr>
            </w:pPr>
          </w:p>
        </w:tc>
      </w:tr>
      <w:tr w14:paraId="1519DE4E">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0B8448A">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182A4291">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284885C0">
            <w:pPr>
              <w:jc w:val="center"/>
            </w:pPr>
            <w:r>
              <w:rPr>
                <w:rFonts w:ascii="宋体" w:hAnsi="宋体"/>
                <w:sz w:val="18"/>
              </w:rPr>
              <w:t>清洁能源项目建设面积</w:t>
            </w:r>
          </w:p>
        </w:tc>
        <w:tc>
          <w:tcPr>
            <w:tcW w:w="1276" w:type="dxa"/>
            <w:tcBorders>
              <w:top w:val="nil"/>
              <w:left w:val="nil"/>
              <w:bottom w:val="single" w:color="auto" w:sz="4" w:space="0"/>
              <w:right w:val="single" w:color="auto" w:sz="4" w:space="0"/>
            </w:tcBorders>
            <w:shd w:val="clear" w:color="auto" w:fill="auto"/>
            <w:noWrap/>
            <w:vAlign w:val="center"/>
          </w:tcPr>
          <w:p w14:paraId="013FDEC3">
            <w:pPr>
              <w:jc w:val="center"/>
            </w:pPr>
            <w:r>
              <w:rPr>
                <w:rFonts w:ascii="宋体" w:hAnsi="宋体"/>
                <w:sz w:val="18"/>
              </w:rPr>
              <w:t>&gt;=3.63万平米</w:t>
            </w:r>
          </w:p>
        </w:tc>
        <w:tc>
          <w:tcPr>
            <w:tcW w:w="1701" w:type="dxa"/>
            <w:tcBorders>
              <w:top w:val="nil"/>
              <w:left w:val="nil"/>
              <w:bottom w:val="single" w:color="auto" w:sz="4" w:space="0"/>
              <w:right w:val="single" w:color="auto" w:sz="4" w:space="0"/>
            </w:tcBorders>
            <w:shd w:val="clear" w:color="auto" w:fill="auto"/>
            <w:noWrap/>
            <w:vAlign w:val="center"/>
          </w:tcPr>
          <w:p w14:paraId="0A51814F">
            <w:pPr>
              <w:jc w:val="center"/>
            </w:pPr>
            <w:r>
              <w:rPr>
                <w:rFonts w:ascii="宋体" w:hAnsi="宋体"/>
                <w:sz w:val="18"/>
              </w:rPr>
              <w:t>吉布库镇人民政府2023年工作计划</w:t>
            </w:r>
          </w:p>
        </w:tc>
        <w:tc>
          <w:tcPr>
            <w:tcW w:w="1134" w:type="dxa"/>
            <w:tcBorders>
              <w:top w:val="nil"/>
              <w:left w:val="nil"/>
              <w:bottom w:val="single" w:color="auto" w:sz="4" w:space="0"/>
              <w:right w:val="single" w:color="auto" w:sz="4" w:space="0"/>
            </w:tcBorders>
            <w:shd w:val="clear" w:color="auto" w:fill="auto"/>
            <w:noWrap/>
            <w:vAlign w:val="center"/>
          </w:tcPr>
          <w:p w14:paraId="73DA7C74">
            <w:pPr>
              <w:jc w:val="center"/>
            </w:pPr>
            <w:r>
              <w:rPr>
                <w:rFonts w:ascii="宋体" w:hAnsi="宋体"/>
                <w:sz w:val="18"/>
              </w:rPr>
              <w:t>15</w:t>
            </w:r>
          </w:p>
        </w:tc>
        <w:tc>
          <w:tcPr>
            <w:tcW w:w="992" w:type="dxa"/>
            <w:tcBorders>
              <w:top w:val="nil"/>
              <w:left w:val="nil"/>
              <w:bottom w:val="single" w:color="auto" w:sz="4" w:space="0"/>
              <w:right w:val="single" w:color="auto" w:sz="4" w:space="0"/>
            </w:tcBorders>
            <w:shd w:val="clear" w:color="auto" w:fill="auto"/>
            <w:noWrap/>
            <w:vAlign w:val="center"/>
          </w:tcPr>
          <w:p w14:paraId="1FE561CB">
            <w:pPr>
              <w:jc w:val="center"/>
            </w:pPr>
            <w:r>
              <w:rPr>
                <w:rFonts w:ascii="宋体" w:hAnsi="宋体"/>
                <w:sz w:val="18"/>
              </w:rPr>
              <w:t>3.63万平米</w:t>
            </w:r>
          </w:p>
        </w:tc>
        <w:tc>
          <w:tcPr>
            <w:tcW w:w="720" w:type="dxa"/>
            <w:tcBorders>
              <w:top w:val="nil"/>
              <w:left w:val="nil"/>
              <w:bottom w:val="single" w:color="auto" w:sz="4" w:space="0"/>
              <w:right w:val="single" w:color="auto" w:sz="4" w:space="0"/>
            </w:tcBorders>
            <w:shd w:val="clear" w:color="auto" w:fill="auto"/>
            <w:noWrap/>
            <w:vAlign w:val="center"/>
          </w:tcPr>
          <w:p w14:paraId="3DE57D57">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28064F38">
            <w:pPr>
              <w:widowControl/>
              <w:jc w:val="center"/>
              <w:rPr>
                <w:rFonts w:hint="eastAsia" w:ascii="宋体" w:hAnsi="宋体" w:cs="宋体"/>
                <w:kern w:val="0"/>
                <w:sz w:val="18"/>
                <w:szCs w:val="18"/>
              </w:rPr>
            </w:pPr>
          </w:p>
        </w:tc>
      </w:tr>
      <w:tr w14:paraId="5A933691">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C720A57">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5E036154">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42B9B66C">
            <w:pPr>
              <w:jc w:val="center"/>
            </w:pPr>
            <w:r>
              <w:rPr>
                <w:rFonts w:ascii="宋体" w:hAnsi="宋体"/>
                <w:sz w:val="18"/>
              </w:rPr>
              <w:t>完成农村劳动力培训数</w:t>
            </w:r>
          </w:p>
        </w:tc>
        <w:tc>
          <w:tcPr>
            <w:tcW w:w="1276" w:type="dxa"/>
            <w:tcBorders>
              <w:top w:val="nil"/>
              <w:left w:val="nil"/>
              <w:bottom w:val="single" w:color="auto" w:sz="4" w:space="0"/>
              <w:right w:val="single" w:color="auto" w:sz="4" w:space="0"/>
            </w:tcBorders>
            <w:shd w:val="clear" w:color="auto" w:fill="auto"/>
            <w:noWrap/>
            <w:vAlign w:val="center"/>
          </w:tcPr>
          <w:p w14:paraId="69981E14">
            <w:pPr>
              <w:jc w:val="center"/>
            </w:pPr>
            <w:r>
              <w:rPr>
                <w:rFonts w:ascii="宋体" w:hAnsi="宋体"/>
                <w:sz w:val="18"/>
              </w:rPr>
              <w:t>&gt;=1000人</w:t>
            </w:r>
          </w:p>
        </w:tc>
        <w:tc>
          <w:tcPr>
            <w:tcW w:w="1701" w:type="dxa"/>
            <w:tcBorders>
              <w:top w:val="nil"/>
              <w:left w:val="nil"/>
              <w:bottom w:val="single" w:color="auto" w:sz="4" w:space="0"/>
              <w:right w:val="single" w:color="auto" w:sz="4" w:space="0"/>
            </w:tcBorders>
            <w:shd w:val="clear" w:color="auto" w:fill="auto"/>
            <w:noWrap/>
            <w:vAlign w:val="center"/>
          </w:tcPr>
          <w:p w14:paraId="0BC6E519">
            <w:pPr>
              <w:jc w:val="center"/>
            </w:pPr>
            <w:r>
              <w:rPr>
                <w:rFonts w:ascii="宋体" w:hAnsi="宋体"/>
                <w:sz w:val="18"/>
              </w:rPr>
              <w:t>吉布库镇人民政府2023年工作计划</w:t>
            </w:r>
          </w:p>
        </w:tc>
        <w:tc>
          <w:tcPr>
            <w:tcW w:w="1134" w:type="dxa"/>
            <w:tcBorders>
              <w:top w:val="nil"/>
              <w:left w:val="nil"/>
              <w:bottom w:val="single" w:color="auto" w:sz="4" w:space="0"/>
              <w:right w:val="single" w:color="auto" w:sz="4" w:space="0"/>
            </w:tcBorders>
            <w:shd w:val="clear" w:color="auto" w:fill="auto"/>
            <w:noWrap/>
            <w:vAlign w:val="center"/>
          </w:tcPr>
          <w:p w14:paraId="684F9EE9">
            <w:pPr>
              <w:jc w:val="center"/>
            </w:pPr>
            <w:r>
              <w:rPr>
                <w:rFonts w:ascii="宋体" w:hAnsi="宋体"/>
                <w:sz w:val="18"/>
              </w:rPr>
              <w:t>15</w:t>
            </w:r>
          </w:p>
        </w:tc>
        <w:tc>
          <w:tcPr>
            <w:tcW w:w="992" w:type="dxa"/>
            <w:tcBorders>
              <w:top w:val="nil"/>
              <w:left w:val="nil"/>
              <w:bottom w:val="single" w:color="auto" w:sz="4" w:space="0"/>
              <w:right w:val="single" w:color="auto" w:sz="4" w:space="0"/>
            </w:tcBorders>
            <w:shd w:val="clear" w:color="auto" w:fill="auto"/>
            <w:noWrap/>
            <w:vAlign w:val="center"/>
          </w:tcPr>
          <w:p w14:paraId="51903EA3">
            <w:pPr>
              <w:jc w:val="center"/>
            </w:pPr>
            <w:r>
              <w:rPr>
                <w:rFonts w:ascii="宋体" w:hAnsi="宋体"/>
                <w:sz w:val="18"/>
              </w:rPr>
              <w:t>1000人</w:t>
            </w:r>
          </w:p>
        </w:tc>
        <w:tc>
          <w:tcPr>
            <w:tcW w:w="720" w:type="dxa"/>
            <w:tcBorders>
              <w:top w:val="nil"/>
              <w:left w:val="nil"/>
              <w:bottom w:val="single" w:color="auto" w:sz="4" w:space="0"/>
              <w:right w:val="single" w:color="auto" w:sz="4" w:space="0"/>
            </w:tcBorders>
            <w:shd w:val="clear" w:color="auto" w:fill="auto"/>
            <w:noWrap/>
            <w:vAlign w:val="center"/>
          </w:tcPr>
          <w:p w14:paraId="25BFE5EF">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4DE4B8D2">
            <w:pPr>
              <w:widowControl/>
              <w:jc w:val="center"/>
              <w:rPr>
                <w:rFonts w:hint="eastAsia" w:ascii="宋体" w:hAnsi="宋体" w:cs="宋体"/>
                <w:kern w:val="0"/>
                <w:sz w:val="18"/>
                <w:szCs w:val="18"/>
              </w:rPr>
            </w:pPr>
          </w:p>
        </w:tc>
      </w:tr>
      <w:tr w14:paraId="7AE2CE51">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CA13031">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2EC2A7A3">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7CA5D7E7">
            <w:pPr>
              <w:jc w:val="center"/>
            </w:pPr>
            <w:r>
              <w:rPr>
                <w:rFonts w:ascii="宋体" w:hAnsi="宋体"/>
                <w:sz w:val="18"/>
              </w:rPr>
              <w:t>完成新一轮退耕还林补植补造亩数</w:t>
            </w:r>
          </w:p>
        </w:tc>
        <w:tc>
          <w:tcPr>
            <w:tcW w:w="1276" w:type="dxa"/>
            <w:tcBorders>
              <w:top w:val="nil"/>
              <w:left w:val="nil"/>
              <w:bottom w:val="single" w:color="auto" w:sz="4" w:space="0"/>
              <w:right w:val="single" w:color="auto" w:sz="4" w:space="0"/>
            </w:tcBorders>
            <w:shd w:val="clear" w:color="auto" w:fill="auto"/>
            <w:noWrap/>
            <w:vAlign w:val="center"/>
          </w:tcPr>
          <w:p w14:paraId="0158A1E6">
            <w:pPr>
              <w:jc w:val="center"/>
            </w:pPr>
            <w:r>
              <w:rPr>
                <w:rFonts w:ascii="宋体" w:hAnsi="宋体"/>
                <w:sz w:val="18"/>
              </w:rPr>
              <w:t>&gt;=3500亩</w:t>
            </w:r>
          </w:p>
        </w:tc>
        <w:tc>
          <w:tcPr>
            <w:tcW w:w="1701" w:type="dxa"/>
            <w:tcBorders>
              <w:top w:val="nil"/>
              <w:left w:val="nil"/>
              <w:bottom w:val="single" w:color="auto" w:sz="4" w:space="0"/>
              <w:right w:val="single" w:color="auto" w:sz="4" w:space="0"/>
            </w:tcBorders>
            <w:shd w:val="clear" w:color="auto" w:fill="auto"/>
            <w:noWrap/>
            <w:vAlign w:val="center"/>
          </w:tcPr>
          <w:p w14:paraId="4047941A">
            <w:pPr>
              <w:jc w:val="center"/>
            </w:pPr>
            <w:r>
              <w:rPr>
                <w:rFonts w:ascii="宋体" w:hAnsi="宋体"/>
                <w:sz w:val="18"/>
              </w:rPr>
              <w:t>吉布库镇人民政府2023年工作计划</w:t>
            </w:r>
          </w:p>
        </w:tc>
        <w:tc>
          <w:tcPr>
            <w:tcW w:w="1134" w:type="dxa"/>
            <w:tcBorders>
              <w:top w:val="nil"/>
              <w:left w:val="nil"/>
              <w:bottom w:val="single" w:color="auto" w:sz="4" w:space="0"/>
              <w:right w:val="single" w:color="auto" w:sz="4" w:space="0"/>
            </w:tcBorders>
            <w:shd w:val="clear" w:color="auto" w:fill="auto"/>
            <w:noWrap/>
            <w:vAlign w:val="center"/>
          </w:tcPr>
          <w:p w14:paraId="15096EFC">
            <w:pPr>
              <w:jc w:val="center"/>
            </w:pPr>
            <w:r>
              <w:rPr>
                <w:rFonts w:ascii="宋体" w:hAnsi="宋体"/>
                <w:sz w:val="18"/>
              </w:rPr>
              <w:t>15</w:t>
            </w:r>
          </w:p>
        </w:tc>
        <w:tc>
          <w:tcPr>
            <w:tcW w:w="992" w:type="dxa"/>
            <w:tcBorders>
              <w:top w:val="nil"/>
              <w:left w:val="nil"/>
              <w:bottom w:val="single" w:color="auto" w:sz="4" w:space="0"/>
              <w:right w:val="single" w:color="auto" w:sz="4" w:space="0"/>
            </w:tcBorders>
            <w:shd w:val="clear" w:color="auto" w:fill="auto"/>
            <w:noWrap/>
            <w:vAlign w:val="center"/>
          </w:tcPr>
          <w:p w14:paraId="25F367B4">
            <w:pPr>
              <w:jc w:val="center"/>
            </w:pPr>
            <w:r>
              <w:rPr>
                <w:rFonts w:ascii="宋体" w:hAnsi="宋体"/>
                <w:sz w:val="18"/>
              </w:rPr>
              <w:t>3500亩</w:t>
            </w:r>
          </w:p>
        </w:tc>
        <w:tc>
          <w:tcPr>
            <w:tcW w:w="720" w:type="dxa"/>
            <w:tcBorders>
              <w:top w:val="nil"/>
              <w:left w:val="nil"/>
              <w:bottom w:val="single" w:color="auto" w:sz="4" w:space="0"/>
              <w:right w:val="single" w:color="auto" w:sz="4" w:space="0"/>
            </w:tcBorders>
            <w:shd w:val="clear" w:color="auto" w:fill="auto"/>
            <w:noWrap/>
            <w:vAlign w:val="center"/>
          </w:tcPr>
          <w:p w14:paraId="05DE3A0A">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39653659">
            <w:pPr>
              <w:widowControl/>
              <w:jc w:val="center"/>
              <w:rPr>
                <w:rFonts w:hint="eastAsia" w:ascii="宋体" w:hAnsi="宋体" w:cs="宋体"/>
                <w:kern w:val="0"/>
                <w:sz w:val="18"/>
                <w:szCs w:val="18"/>
              </w:rPr>
            </w:pPr>
          </w:p>
        </w:tc>
      </w:tr>
    </w:tbl>
    <w:p w14:paraId="6A11FF65">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4F7FBD34">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F71A9A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8A42D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3D34035C">
            <w:pPr>
              <w:jc w:val="center"/>
            </w:pPr>
            <w:r>
              <w:rPr>
                <w:rFonts w:ascii="宋体" w:hAnsi="宋体"/>
                <w:sz w:val="18"/>
              </w:rPr>
              <w:t>关于拨付芨芨湖镇行政区域勘界费用的通知</w:t>
            </w:r>
          </w:p>
        </w:tc>
      </w:tr>
      <w:tr w14:paraId="024A93C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6854AB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14:paraId="12906EC1">
            <w:pPr>
              <w:jc w:val="center"/>
            </w:pPr>
            <w:r>
              <w:rPr>
                <w:rFonts w:ascii="宋体" w:hAnsi="宋体"/>
                <w:sz w:val="18"/>
              </w:rPr>
              <w:t>奇台县芨芨湖镇人民政府</w:t>
            </w:r>
          </w:p>
        </w:tc>
        <w:tc>
          <w:tcPr>
            <w:tcW w:w="1275" w:type="dxa"/>
            <w:gridSpan w:val="2"/>
            <w:tcBorders>
              <w:top w:val="nil"/>
              <w:left w:val="nil"/>
              <w:bottom w:val="single" w:color="auto" w:sz="4" w:space="0"/>
              <w:right w:val="single" w:color="000000" w:sz="4" w:space="0"/>
            </w:tcBorders>
            <w:shd w:val="clear" w:color="auto" w:fill="auto"/>
            <w:vAlign w:val="center"/>
          </w:tcPr>
          <w:p w14:paraId="49F5A9E5">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14:paraId="7083907A">
            <w:pPr>
              <w:jc w:val="center"/>
            </w:pPr>
            <w:r>
              <w:rPr>
                <w:rFonts w:ascii="宋体" w:hAnsi="宋体"/>
                <w:sz w:val="18"/>
              </w:rPr>
              <w:t>奇台县芨芨湖镇人民政府</w:t>
            </w:r>
          </w:p>
        </w:tc>
      </w:tr>
      <w:tr w14:paraId="11AF88D6">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215068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BA72CF9">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5775407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14:paraId="4836084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14:paraId="5BE8E58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0BA8CC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5FB7066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0B7E91E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41104E3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621254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09FDCB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FE38D6E">
            <w:pPr>
              <w:jc w:val="center"/>
            </w:pPr>
            <w:r>
              <w:rPr>
                <w:rFonts w:ascii="宋体" w:hAnsi="宋体"/>
                <w:sz w:val="18"/>
              </w:rPr>
              <w:t>58.88</w:t>
            </w:r>
          </w:p>
        </w:tc>
        <w:tc>
          <w:tcPr>
            <w:tcW w:w="1125" w:type="dxa"/>
            <w:tcBorders>
              <w:top w:val="nil"/>
              <w:left w:val="nil"/>
              <w:bottom w:val="single" w:color="auto" w:sz="4" w:space="0"/>
              <w:right w:val="single" w:color="auto" w:sz="4" w:space="0"/>
            </w:tcBorders>
            <w:shd w:val="clear" w:color="auto" w:fill="auto"/>
            <w:noWrap/>
            <w:vAlign w:val="center"/>
          </w:tcPr>
          <w:p w14:paraId="37B5A834">
            <w:pPr>
              <w:jc w:val="center"/>
            </w:pPr>
            <w:r>
              <w:rPr>
                <w:rFonts w:ascii="宋体" w:hAnsi="宋体"/>
                <w:sz w:val="18"/>
              </w:rPr>
              <w:t>58.88</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4F02944D">
            <w:pPr>
              <w:jc w:val="center"/>
            </w:pPr>
            <w:r>
              <w:rPr>
                <w:rFonts w:ascii="宋体" w:hAnsi="宋体"/>
                <w:sz w:val="18"/>
              </w:rPr>
              <w:t>29.44</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31003DC4">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714E6257">
            <w:pPr>
              <w:jc w:val="center"/>
            </w:pPr>
            <w:r>
              <w:rPr>
                <w:rFonts w:ascii="宋体" w:hAnsi="宋体"/>
                <w:sz w:val="18"/>
              </w:rPr>
              <w:t>50.00%</w:t>
            </w:r>
          </w:p>
        </w:tc>
        <w:tc>
          <w:tcPr>
            <w:tcW w:w="1275" w:type="dxa"/>
            <w:tcBorders>
              <w:top w:val="nil"/>
              <w:left w:val="nil"/>
              <w:bottom w:val="single" w:color="auto" w:sz="4" w:space="0"/>
              <w:right w:val="single" w:color="auto" w:sz="4" w:space="0"/>
            </w:tcBorders>
            <w:shd w:val="clear" w:color="auto" w:fill="auto"/>
            <w:vAlign w:val="center"/>
          </w:tcPr>
          <w:p w14:paraId="671F9126">
            <w:pPr>
              <w:jc w:val="center"/>
            </w:pPr>
            <w:r>
              <w:rPr>
                <w:rFonts w:ascii="宋体" w:hAnsi="宋体"/>
                <w:sz w:val="18"/>
              </w:rPr>
              <w:t>0.00</w:t>
            </w:r>
          </w:p>
        </w:tc>
      </w:tr>
      <w:tr w14:paraId="13C8FE2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995BE5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0B4F7E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9987938">
            <w:pPr>
              <w:jc w:val="center"/>
            </w:pPr>
            <w:r>
              <w:rPr>
                <w:rFonts w:ascii="宋体" w:hAnsi="宋体"/>
                <w:sz w:val="18"/>
              </w:rPr>
              <w:t>58.88</w:t>
            </w:r>
          </w:p>
        </w:tc>
        <w:tc>
          <w:tcPr>
            <w:tcW w:w="1125" w:type="dxa"/>
            <w:tcBorders>
              <w:top w:val="nil"/>
              <w:left w:val="nil"/>
              <w:bottom w:val="single" w:color="auto" w:sz="4" w:space="0"/>
              <w:right w:val="single" w:color="auto" w:sz="4" w:space="0"/>
            </w:tcBorders>
            <w:shd w:val="clear" w:color="auto" w:fill="auto"/>
            <w:noWrap/>
            <w:vAlign w:val="center"/>
          </w:tcPr>
          <w:p w14:paraId="196F3AAE">
            <w:pPr>
              <w:jc w:val="center"/>
            </w:pPr>
            <w:r>
              <w:rPr>
                <w:rFonts w:ascii="宋体" w:hAnsi="宋体"/>
                <w:sz w:val="18"/>
              </w:rPr>
              <w:t>58.88</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5B2AD6D0">
            <w:pPr>
              <w:jc w:val="center"/>
            </w:pPr>
            <w:r>
              <w:rPr>
                <w:rFonts w:ascii="宋体" w:hAnsi="宋体"/>
                <w:sz w:val="18"/>
              </w:rPr>
              <w:t>29.44</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57FCCD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2E247C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DE921F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59223C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0CB474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17A6D9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0CA60C4">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14:paraId="2EEF1A2B">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14:paraId="25CBAABB">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14:paraId="116189E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14:paraId="65F303D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6E7CC3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856292E">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273ACA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14:paraId="2AB2C22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14:paraId="26CF435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303922EF">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C76B0BD">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14:paraId="10671336">
            <w:pPr>
              <w:jc w:val="left"/>
            </w:pPr>
            <w:r>
              <w:rPr>
                <w:rFonts w:ascii="宋体" w:hAnsi="宋体"/>
                <w:sz w:val="18"/>
              </w:rPr>
              <w:t>测量镇级行政区域面积、主要任务包括准备工作、边界点和定标预设、定标测绘、边界地形图更新和边界线标绘、边界附图与走向说明，编制、成果验收确认、立标、勘界立标报告编制、建立地理信息数据库等。</w:t>
            </w:r>
          </w:p>
        </w:tc>
        <w:tc>
          <w:tcPr>
            <w:tcW w:w="4677" w:type="dxa"/>
            <w:gridSpan w:val="7"/>
            <w:tcBorders>
              <w:top w:val="single" w:color="auto" w:sz="4" w:space="0"/>
              <w:left w:val="nil"/>
              <w:bottom w:val="single" w:color="auto" w:sz="4" w:space="0"/>
              <w:right w:val="single" w:color="000000" w:sz="4" w:space="0"/>
            </w:tcBorders>
            <w:shd w:val="clear" w:color="auto" w:fill="auto"/>
          </w:tcPr>
          <w:p w14:paraId="5D58BC35">
            <w:pPr>
              <w:jc w:val="left"/>
            </w:pPr>
            <w:r>
              <w:rPr>
                <w:rFonts w:ascii="宋体" w:hAnsi="宋体"/>
                <w:sz w:val="18"/>
              </w:rPr>
              <w:t>埋设界桩完成及时率：100；勘界埋桩精确率：98；勘界测绘作业完成及时率：98%；测量镇级行政区域面积：3867.92；埋设界桩数量：3；勘界测绘作业精度率：99；有效解决芨芨湖边界线模糊问题：100；芨芨湖镇行政区域周边区域人民满意度：95</w:t>
            </w:r>
          </w:p>
        </w:tc>
      </w:tr>
      <w:tr w14:paraId="64EA7AA6">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AFDF0F6">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1B11C17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1336EF1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D7FBD9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14:paraId="6899417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14:paraId="5A7061F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46C343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61C5E9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9650E8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573AA916">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27021F3">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2D3337A">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2B6AC51C">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A188B54">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5AA5EC48">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2A666D09">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3671B4CF">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43322810">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7637D6DC">
            <w:pPr>
              <w:widowControl/>
              <w:jc w:val="left"/>
              <w:rPr>
                <w:rFonts w:hint="eastAsia" w:ascii="宋体" w:hAnsi="宋体" w:cs="宋体"/>
                <w:color w:val="000000"/>
                <w:kern w:val="0"/>
                <w:sz w:val="18"/>
                <w:szCs w:val="18"/>
              </w:rPr>
            </w:pPr>
          </w:p>
        </w:tc>
      </w:tr>
      <w:tr w14:paraId="7340D333">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07591E1">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396A12E5">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3563B0D6">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C83D849">
            <w:pPr>
              <w:jc w:val="center"/>
            </w:pPr>
            <w:r>
              <w:rPr>
                <w:rFonts w:ascii="宋体" w:hAnsi="宋体"/>
                <w:sz w:val="18"/>
              </w:rPr>
              <w:t>测量镇级行政区域面积</w:t>
            </w:r>
          </w:p>
        </w:tc>
        <w:tc>
          <w:tcPr>
            <w:tcW w:w="1125" w:type="dxa"/>
            <w:tcBorders>
              <w:top w:val="nil"/>
              <w:left w:val="nil"/>
              <w:bottom w:val="single" w:color="auto" w:sz="4" w:space="0"/>
              <w:right w:val="single" w:color="auto" w:sz="4" w:space="0"/>
            </w:tcBorders>
            <w:shd w:val="clear" w:color="auto" w:fill="auto"/>
            <w:vAlign w:val="center"/>
          </w:tcPr>
          <w:p w14:paraId="790D3A7D">
            <w:pPr>
              <w:jc w:val="center"/>
            </w:pPr>
            <w:r>
              <w:rPr>
                <w:rFonts w:ascii="宋体" w:hAnsi="宋体"/>
                <w:sz w:val="18"/>
              </w:rPr>
              <w:t>&gt;=3867.92平方千米</w:t>
            </w:r>
          </w:p>
        </w:tc>
        <w:tc>
          <w:tcPr>
            <w:tcW w:w="1229" w:type="dxa"/>
            <w:tcBorders>
              <w:top w:val="nil"/>
              <w:left w:val="nil"/>
              <w:bottom w:val="single" w:color="auto" w:sz="4" w:space="0"/>
              <w:right w:val="single" w:color="auto" w:sz="4" w:space="0"/>
            </w:tcBorders>
            <w:shd w:val="clear" w:color="auto" w:fill="auto"/>
            <w:vAlign w:val="center"/>
          </w:tcPr>
          <w:p w14:paraId="0B89C2AD">
            <w:pPr>
              <w:jc w:val="center"/>
            </w:pPr>
            <w:r>
              <w:rPr>
                <w:rFonts w:ascii="宋体" w:hAnsi="宋体"/>
                <w:sz w:val="18"/>
              </w:rPr>
              <w:t>=3867.92平方千米</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EFE24AA">
            <w:pPr>
              <w:jc w:val="center"/>
            </w:pPr>
            <w:r>
              <w:rPr>
                <w:rFonts w:ascii="宋体" w:hAnsi="宋体"/>
                <w:sz w:val="18"/>
              </w:rPr>
              <w:t>7</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36D161FA">
            <w:pPr>
              <w:jc w:val="center"/>
            </w:pPr>
            <w:r>
              <w:rPr>
                <w:rFonts w:ascii="宋体" w:hAnsi="宋体"/>
                <w:sz w:val="18"/>
              </w:rPr>
              <w:t>7</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19A893F5">
            <w:pPr>
              <w:jc w:val="center"/>
            </w:pPr>
          </w:p>
        </w:tc>
      </w:tr>
      <w:tr w14:paraId="5D791F2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8F34A6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879590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2587F89">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821947E">
            <w:pPr>
              <w:jc w:val="center"/>
            </w:pPr>
            <w:r>
              <w:rPr>
                <w:rFonts w:ascii="宋体" w:hAnsi="宋体"/>
                <w:sz w:val="18"/>
              </w:rPr>
              <w:t>埋设界桩数量</w:t>
            </w:r>
          </w:p>
        </w:tc>
        <w:tc>
          <w:tcPr>
            <w:tcW w:w="1125" w:type="dxa"/>
            <w:tcBorders>
              <w:top w:val="nil"/>
              <w:left w:val="nil"/>
              <w:bottom w:val="single" w:color="auto" w:sz="4" w:space="0"/>
              <w:right w:val="single" w:color="auto" w:sz="4" w:space="0"/>
            </w:tcBorders>
            <w:shd w:val="clear" w:color="auto" w:fill="auto"/>
            <w:vAlign w:val="center"/>
          </w:tcPr>
          <w:p w14:paraId="4B4A8B00">
            <w:pPr>
              <w:jc w:val="center"/>
            </w:pPr>
            <w:r>
              <w:rPr>
                <w:rFonts w:ascii="宋体" w:hAnsi="宋体"/>
                <w:sz w:val="18"/>
              </w:rPr>
              <w:t>&lt;=3个</w:t>
            </w:r>
          </w:p>
        </w:tc>
        <w:tc>
          <w:tcPr>
            <w:tcW w:w="1229" w:type="dxa"/>
            <w:tcBorders>
              <w:top w:val="nil"/>
              <w:left w:val="nil"/>
              <w:bottom w:val="single" w:color="auto" w:sz="4" w:space="0"/>
              <w:right w:val="single" w:color="auto" w:sz="4" w:space="0"/>
            </w:tcBorders>
            <w:shd w:val="clear" w:color="auto" w:fill="auto"/>
            <w:vAlign w:val="center"/>
          </w:tcPr>
          <w:p w14:paraId="05C3680E">
            <w:pPr>
              <w:jc w:val="center"/>
            </w:pPr>
            <w:r>
              <w:rPr>
                <w:rFonts w:ascii="宋体" w:hAnsi="宋体"/>
                <w:sz w:val="18"/>
              </w:rPr>
              <w:t>=3个</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347B8786">
            <w:pPr>
              <w:jc w:val="center"/>
            </w:pPr>
            <w:r>
              <w:rPr>
                <w:rFonts w:ascii="宋体" w:hAnsi="宋体"/>
                <w:sz w:val="18"/>
              </w:rPr>
              <w:t>7</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20B007E">
            <w:pPr>
              <w:jc w:val="center"/>
            </w:pPr>
            <w:r>
              <w:rPr>
                <w:rFonts w:ascii="宋体" w:hAnsi="宋体"/>
                <w:sz w:val="18"/>
              </w:rPr>
              <w:t>7</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B1E88F5">
            <w:pPr>
              <w:jc w:val="center"/>
            </w:pPr>
          </w:p>
        </w:tc>
      </w:tr>
      <w:tr w14:paraId="13A7100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AAC3D2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CB21CC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80655C2">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614C30E">
            <w:pPr>
              <w:jc w:val="center"/>
            </w:pPr>
            <w:r>
              <w:rPr>
                <w:rFonts w:ascii="宋体" w:hAnsi="宋体"/>
                <w:sz w:val="18"/>
              </w:rPr>
              <w:t>勘界测绘作业精度率</w:t>
            </w:r>
          </w:p>
        </w:tc>
        <w:tc>
          <w:tcPr>
            <w:tcW w:w="1125" w:type="dxa"/>
            <w:tcBorders>
              <w:top w:val="nil"/>
              <w:left w:val="nil"/>
              <w:bottom w:val="single" w:color="auto" w:sz="4" w:space="0"/>
              <w:right w:val="single" w:color="auto" w:sz="4" w:space="0"/>
            </w:tcBorders>
            <w:shd w:val="clear" w:color="auto" w:fill="auto"/>
            <w:vAlign w:val="center"/>
          </w:tcPr>
          <w:p w14:paraId="358B9FD1">
            <w:pPr>
              <w:jc w:val="center"/>
            </w:pPr>
            <w:r>
              <w:rPr>
                <w:rFonts w:ascii="宋体" w:hAnsi="宋体"/>
                <w:sz w:val="18"/>
              </w:rPr>
              <w:t>&gt;=99%</w:t>
            </w:r>
          </w:p>
        </w:tc>
        <w:tc>
          <w:tcPr>
            <w:tcW w:w="1229" w:type="dxa"/>
            <w:tcBorders>
              <w:top w:val="nil"/>
              <w:left w:val="nil"/>
              <w:bottom w:val="single" w:color="auto" w:sz="4" w:space="0"/>
              <w:right w:val="single" w:color="auto" w:sz="4" w:space="0"/>
            </w:tcBorders>
            <w:shd w:val="clear" w:color="auto" w:fill="auto"/>
            <w:vAlign w:val="center"/>
          </w:tcPr>
          <w:p w14:paraId="487EE373">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6E89A67">
            <w:pPr>
              <w:jc w:val="center"/>
            </w:pPr>
            <w:r>
              <w:rPr>
                <w:rFonts w:ascii="宋体" w:hAnsi="宋体"/>
                <w:sz w:val="18"/>
              </w:rPr>
              <w:t>7</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4784346">
            <w:pPr>
              <w:jc w:val="center"/>
            </w:pPr>
            <w:r>
              <w:rPr>
                <w:rFonts w:ascii="宋体" w:hAnsi="宋体"/>
                <w:sz w:val="18"/>
              </w:rPr>
              <w:t>7</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4B9B6CF">
            <w:pPr>
              <w:jc w:val="center"/>
            </w:pPr>
          </w:p>
        </w:tc>
      </w:tr>
      <w:tr w14:paraId="16A15FD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B1D799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4CE4211">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7C94018">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EACC237">
            <w:pPr>
              <w:jc w:val="center"/>
            </w:pPr>
            <w:r>
              <w:rPr>
                <w:rFonts w:ascii="宋体" w:hAnsi="宋体"/>
                <w:sz w:val="18"/>
              </w:rPr>
              <w:t>勘界埋桩精确率</w:t>
            </w:r>
          </w:p>
        </w:tc>
        <w:tc>
          <w:tcPr>
            <w:tcW w:w="1125" w:type="dxa"/>
            <w:tcBorders>
              <w:top w:val="nil"/>
              <w:left w:val="nil"/>
              <w:bottom w:val="single" w:color="auto" w:sz="4" w:space="0"/>
              <w:right w:val="single" w:color="auto" w:sz="4" w:space="0"/>
            </w:tcBorders>
            <w:shd w:val="clear" w:color="auto" w:fill="auto"/>
            <w:vAlign w:val="center"/>
          </w:tcPr>
          <w:p w14:paraId="44A3AE98">
            <w:pPr>
              <w:jc w:val="center"/>
            </w:pPr>
            <w:r>
              <w:rPr>
                <w:rFonts w:ascii="宋体" w:hAnsi="宋体"/>
                <w:sz w:val="18"/>
              </w:rPr>
              <w:t>&gt;=98%</w:t>
            </w:r>
          </w:p>
        </w:tc>
        <w:tc>
          <w:tcPr>
            <w:tcW w:w="1229" w:type="dxa"/>
            <w:tcBorders>
              <w:top w:val="nil"/>
              <w:left w:val="nil"/>
              <w:bottom w:val="single" w:color="auto" w:sz="4" w:space="0"/>
              <w:right w:val="single" w:color="auto" w:sz="4" w:space="0"/>
            </w:tcBorders>
            <w:shd w:val="clear" w:color="auto" w:fill="auto"/>
            <w:vAlign w:val="center"/>
          </w:tcPr>
          <w:p w14:paraId="566DC560">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C39CAA4">
            <w:pPr>
              <w:jc w:val="center"/>
            </w:pPr>
            <w:r>
              <w:rPr>
                <w:rFonts w:ascii="宋体" w:hAnsi="宋体"/>
                <w:sz w:val="18"/>
              </w:rPr>
              <w:t>7</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01FDC74">
            <w:pPr>
              <w:jc w:val="center"/>
            </w:pPr>
            <w:r>
              <w:rPr>
                <w:rFonts w:ascii="宋体" w:hAnsi="宋体"/>
                <w:sz w:val="18"/>
              </w:rPr>
              <w:t>7</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159370A">
            <w:pPr>
              <w:jc w:val="center"/>
            </w:pPr>
          </w:p>
        </w:tc>
      </w:tr>
      <w:tr w14:paraId="3552A46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7E763F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2F3144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25D08C9">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626D493">
            <w:pPr>
              <w:jc w:val="center"/>
            </w:pPr>
            <w:r>
              <w:rPr>
                <w:rFonts w:ascii="宋体" w:hAnsi="宋体"/>
                <w:sz w:val="18"/>
              </w:rPr>
              <w:t>勘界测绘作业完成及时率</w:t>
            </w:r>
          </w:p>
        </w:tc>
        <w:tc>
          <w:tcPr>
            <w:tcW w:w="1125" w:type="dxa"/>
            <w:tcBorders>
              <w:top w:val="nil"/>
              <w:left w:val="nil"/>
              <w:bottom w:val="single" w:color="auto" w:sz="4" w:space="0"/>
              <w:right w:val="single" w:color="auto" w:sz="4" w:space="0"/>
            </w:tcBorders>
            <w:shd w:val="clear" w:color="auto" w:fill="auto"/>
            <w:vAlign w:val="center"/>
          </w:tcPr>
          <w:p w14:paraId="6AB5BECD">
            <w:pPr>
              <w:jc w:val="center"/>
            </w:pPr>
            <w:r>
              <w:rPr>
                <w:rFonts w:ascii="宋体" w:hAnsi="宋体"/>
                <w:sz w:val="18"/>
              </w:rPr>
              <w:t>&gt;=98%</w:t>
            </w:r>
          </w:p>
        </w:tc>
        <w:tc>
          <w:tcPr>
            <w:tcW w:w="1229" w:type="dxa"/>
            <w:tcBorders>
              <w:top w:val="nil"/>
              <w:left w:val="nil"/>
              <w:bottom w:val="single" w:color="auto" w:sz="4" w:space="0"/>
              <w:right w:val="single" w:color="auto" w:sz="4" w:space="0"/>
            </w:tcBorders>
            <w:shd w:val="clear" w:color="auto" w:fill="auto"/>
            <w:vAlign w:val="center"/>
          </w:tcPr>
          <w:p w14:paraId="5965AF8A">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2D0C1EA5">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45006DCB">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3C80D405">
            <w:pPr>
              <w:jc w:val="center"/>
            </w:pPr>
          </w:p>
        </w:tc>
      </w:tr>
      <w:tr w14:paraId="22F9B74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E79BC1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F3097F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641C221">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3C15411">
            <w:pPr>
              <w:jc w:val="center"/>
            </w:pPr>
            <w:r>
              <w:rPr>
                <w:rFonts w:ascii="宋体" w:hAnsi="宋体"/>
                <w:sz w:val="18"/>
              </w:rPr>
              <w:t>埋设界桩完成及时率</w:t>
            </w:r>
          </w:p>
        </w:tc>
        <w:tc>
          <w:tcPr>
            <w:tcW w:w="1125" w:type="dxa"/>
            <w:tcBorders>
              <w:top w:val="nil"/>
              <w:left w:val="nil"/>
              <w:bottom w:val="single" w:color="auto" w:sz="4" w:space="0"/>
              <w:right w:val="single" w:color="auto" w:sz="4" w:space="0"/>
            </w:tcBorders>
            <w:shd w:val="clear" w:color="auto" w:fill="auto"/>
            <w:vAlign w:val="center"/>
          </w:tcPr>
          <w:p w14:paraId="2AC2CF1E">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0E907B8E">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7E0BF44">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641674E2">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4C8EF27E">
            <w:pPr>
              <w:jc w:val="center"/>
            </w:pPr>
          </w:p>
        </w:tc>
      </w:tr>
      <w:tr w14:paraId="2FD166F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0F9AB2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5291C57">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75310F84">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62D39F4">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14:paraId="40154159">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0A78C8FB">
            <w:pPr>
              <w:jc w:val="center"/>
            </w:pPr>
            <w:r>
              <w:rPr>
                <w:rFonts w:ascii="宋体" w:hAnsi="宋体"/>
                <w:sz w:val="18"/>
              </w:rPr>
              <w:t>=50%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56C2E9E6">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0E93F68C">
            <w:pPr>
              <w:jc w:val="center"/>
            </w:pPr>
            <w:r>
              <w:rPr>
                <w:rFonts w:ascii="宋体" w:hAnsi="宋体"/>
                <w:sz w:val="18"/>
              </w:rPr>
              <w:t>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5D66121A">
            <w:pPr>
              <w:jc w:val="center"/>
            </w:pPr>
            <w:r>
              <w:rPr>
                <w:rFonts w:ascii="宋体" w:hAnsi="宋体"/>
                <w:sz w:val="18"/>
              </w:rPr>
              <w:t>财政资金不到位，无法支付，改进措施：下年度积极和财政对接，对资金进行尽快支付。</w:t>
            </w:r>
          </w:p>
        </w:tc>
      </w:tr>
      <w:tr w14:paraId="77D0533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F6793FB">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3A4C8E5">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33BBC253">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51AA86B">
            <w:pPr>
              <w:jc w:val="center"/>
            </w:pPr>
            <w:r>
              <w:rPr>
                <w:rFonts w:ascii="宋体" w:hAnsi="宋体"/>
                <w:sz w:val="18"/>
              </w:rPr>
              <w:t>有效解决芨芨湖边界线模糊问题</w:t>
            </w:r>
          </w:p>
        </w:tc>
        <w:tc>
          <w:tcPr>
            <w:tcW w:w="1125" w:type="dxa"/>
            <w:tcBorders>
              <w:top w:val="nil"/>
              <w:left w:val="nil"/>
              <w:bottom w:val="single" w:color="auto" w:sz="4" w:space="0"/>
              <w:right w:val="single" w:color="auto" w:sz="4" w:space="0"/>
            </w:tcBorders>
            <w:shd w:val="clear" w:color="auto" w:fill="auto"/>
            <w:vAlign w:val="center"/>
          </w:tcPr>
          <w:p w14:paraId="2ABBE88A">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14:paraId="05D4BD8B">
            <w:pPr>
              <w:jc w:val="center"/>
            </w:pP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4D7834F1">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793EB47">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20B5C196">
            <w:pPr>
              <w:jc w:val="center"/>
            </w:pPr>
          </w:p>
        </w:tc>
      </w:tr>
      <w:tr w14:paraId="5B8BB13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E150F8B">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9020190">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3D02E8C0">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3A7D5C2">
            <w:pPr>
              <w:jc w:val="center"/>
            </w:pPr>
            <w:r>
              <w:rPr>
                <w:rFonts w:ascii="宋体" w:hAnsi="宋体"/>
                <w:sz w:val="18"/>
              </w:rPr>
              <w:t>芨芨湖镇行政区域周边区域人民满意度</w:t>
            </w:r>
          </w:p>
        </w:tc>
        <w:tc>
          <w:tcPr>
            <w:tcW w:w="1125" w:type="dxa"/>
            <w:tcBorders>
              <w:top w:val="nil"/>
              <w:left w:val="nil"/>
              <w:bottom w:val="single" w:color="auto" w:sz="4" w:space="0"/>
              <w:right w:val="single" w:color="auto" w:sz="4" w:space="0"/>
            </w:tcBorders>
            <w:shd w:val="clear" w:color="auto" w:fill="auto"/>
            <w:vAlign w:val="center"/>
          </w:tcPr>
          <w:p w14:paraId="48C03C4F">
            <w:pPr>
              <w:jc w:val="center"/>
            </w:pPr>
            <w:r>
              <w:rPr>
                <w:rFonts w:ascii="宋体" w:hAnsi="宋体"/>
                <w:sz w:val="18"/>
              </w:rPr>
              <w:t>&gt;=95%</w:t>
            </w:r>
          </w:p>
        </w:tc>
        <w:tc>
          <w:tcPr>
            <w:tcW w:w="1229" w:type="dxa"/>
            <w:tcBorders>
              <w:top w:val="nil"/>
              <w:left w:val="nil"/>
              <w:bottom w:val="single" w:color="auto" w:sz="4" w:space="0"/>
              <w:right w:val="single" w:color="auto" w:sz="4" w:space="0"/>
            </w:tcBorders>
            <w:shd w:val="clear" w:color="auto" w:fill="auto"/>
            <w:vAlign w:val="center"/>
          </w:tcPr>
          <w:p w14:paraId="11D66B75">
            <w:pPr>
              <w:jc w:val="center"/>
            </w:pP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14:paraId="69E5294A">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14:paraId="176DE828">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6E700C10">
            <w:pPr>
              <w:jc w:val="center"/>
            </w:pPr>
          </w:p>
        </w:tc>
      </w:tr>
      <w:tr w14:paraId="5017CF09">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91B022C">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14:paraId="3C2F0E61">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14:paraId="74476225">
            <w:pPr>
              <w:jc w:val="center"/>
            </w:pPr>
            <w:r>
              <w:rPr>
                <w:rFonts w:ascii="宋体" w:hAnsi="宋体"/>
                <w:sz w:val="18"/>
              </w:rPr>
              <w:t>70分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14:paraId="718D2D82">
            <w:pPr>
              <w:jc w:val="center"/>
            </w:pPr>
          </w:p>
        </w:tc>
      </w:tr>
    </w:tbl>
    <w:p w14:paraId="3C6E5B05">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14:paraId="70A6A4FB">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14:paraId="7E114CD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4142D0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5510BC36">
            <w:pPr>
              <w:jc w:val="center"/>
            </w:pPr>
            <w:r>
              <w:rPr>
                <w:rFonts w:ascii="宋体" w:hAnsi="宋体"/>
                <w:sz w:val="18"/>
              </w:rPr>
              <w:t>奇乡财【2023】8号关于拨付芨芨湖镇第一书记经费的通知</w:t>
            </w:r>
          </w:p>
        </w:tc>
      </w:tr>
      <w:tr w14:paraId="2272F41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BCC8A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14:paraId="7D6AFA65">
            <w:pPr>
              <w:jc w:val="center"/>
            </w:pPr>
            <w:r>
              <w:rPr>
                <w:rFonts w:ascii="宋体" w:hAnsi="宋体"/>
                <w:sz w:val="18"/>
              </w:rPr>
              <w:t>奇台县芨芨湖镇人民政府</w:t>
            </w:r>
          </w:p>
        </w:tc>
        <w:tc>
          <w:tcPr>
            <w:tcW w:w="1276" w:type="dxa"/>
            <w:gridSpan w:val="2"/>
            <w:tcBorders>
              <w:top w:val="nil"/>
              <w:left w:val="nil"/>
              <w:bottom w:val="single" w:color="auto" w:sz="4" w:space="0"/>
              <w:right w:val="single" w:color="000000" w:sz="4" w:space="0"/>
            </w:tcBorders>
            <w:shd w:val="clear" w:color="auto" w:fill="auto"/>
            <w:vAlign w:val="center"/>
          </w:tcPr>
          <w:p w14:paraId="0C14F067">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14:paraId="1A574EB3">
            <w:pPr>
              <w:jc w:val="center"/>
            </w:pPr>
            <w:r>
              <w:rPr>
                <w:rFonts w:ascii="宋体" w:hAnsi="宋体"/>
                <w:sz w:val="18"/>
              </w:rPr>
              <w:t>奇台县芨芨湖镇人民政府</w:t>
            </w:r>
          </w:p>
        </w:tc>
      </w:tr>
      <w:tr w14:paraId="65E0316B">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F0B89C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8B236B7">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17EA01F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14:paraId="075B3C4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14:paraId="522327F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29C0D18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6531D9C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14:paraId="447C0BD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071D554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4D4B3A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EFE03E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1E9CCFB">
            <w:pPr>
              <w:jc w:val="center"/>
            </w:pPr>
            <w:r>
              <w:rPr>
                <w:rFonts w:ascii="宋体" w:hAnsi="宋体"/>
                <w:sz w:val="18"/>
              </w:rPr>
              <w:t>5.00</w:t>
            </w:r>
          </w:p>
        </w:tc>
        <w:tc>
          <w:tcPr>
            <w:tcW w:w="1266" w:type="dxa"/>
            <w:tcBorders>
              <w:top w:val="nil"/>
              <w:left w:val="nil"/>
              <w:bottom w:val="single" w:color="auto" w:sz="4" w:space="0"/>
              <w:right w:val="single" w:color="auto" w:sz="4" w:space="0"/>
            </w:tcBorders>
            <w:shd w:val="clear" w:color="auto" w:fill="auto"/>
            <w:noWrap/>
            <w:vAlign w:val="center"/>
          </w:tcPr>
          <w:p w14:paraId="016974E8">
            <w:pPr>
              <w:jc w:val="center"/>
            </w:pPr>
            <w:r>
              <w:rPr>
                <w:rFonts w:ascii="宋体" w:hAnsi="宋体"/>
                <w:sz w:val="18"/>
              </w:rPr>
              <w:t>5.00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45B692D8">
            <w:pPr>
              <w:jc w:val="center"/>
            </w:pPr>
            <w:r>
              <w:rPr>
                <w:rFonts w:ascii="宋体" w:hAnsi="宋体"/>
                <w:sz w:val="18"/>
              </w:rPr>
              <w:t>4.06</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82C398A">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23A81809">
            <w:pPr>
              <w:jc w:val="center"/>
            </w:pPr>
            <w:r>
              <w:rPr>
                <w:rFonts w:ascii="宋体" w:hAnsi="宋体"/>
                <w:sz w:val="18"/>
              </w:rPr>
              <w:t>81.20%</w:t>
            </w:r>
          </w:p>
        </w:tc>
        <w:tc>
          <w:tcPr>
            <w:tcW w:w="1417" w:type="dxa"/>
            <w:tcBorders>
              <w:top w:val="nil"/>
              <w:left w:val="nil"/>
              <w:bottom w:val="single" w:color="auto" w:sz="4" w:space="0"/>
              <w:right w:val="single" w:color="auto" w:sz="4" w:space="0"/>
            </w:tcBorders>
            <w:shd w:val="clear" w:color="auto" w:fill="auto"/>
            <w:vAlign w:val="center"/>
          </w:tcPr>
          <w:p w14:paraId="02AECDE4">
            <w:pPr>
              <w:jc w:val="center"/>
            </w:pPr>
            <w:r>
              <w:rPr>
                <w:rFonts w:ascii="宋体" w:hAnsi="宋体"/>
                <w:sz w:val="18"/>
              </w:rPr>
              <w:t>5.30</w:t>
            </w:r>
          </w:p>
        </w:tc>
      </w:tr>
      <w:tr w14:paraId="176AE71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B5D808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D179B1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DA486F7">
            <w:pPr>
              <w:jc w:val="center"/>
            </w:pPr>
            <w:r>
              <w:rPr>
                <w:rFonts w:ascii="宋体" w:hAnsi="宋体"/>
                <w:sz w:val="18"/>
              </w:rPr>
              <w:t>5.00</w:t>
            </w:r>
          </w:p>
        </w:tc>
        <w:tc>
          <w:tcPr>
            <w:tcW w:w="1266" w:type="dxa"/>
            <w:tcBorders>
              <w:top w:val="nil"/>
              <w:left w:val="nil"/>
              <w:bottom w:val="single" w:color="auto" w:sz="4" w:space="0"/>
              <w:right w:val="single" w:color="auto" w:sz="4" w:space="0"/>
            </w:tcBorders>
            <w:shd w:val="clear" w:color="auto" w:fill="auto"/>
            <w:noWrap/>
            <w:vAlign w:val="center"/>
          </w:tcPr>
          <w:p w14:paraId="1BDA6FA0">
            <w:pPr>
              <w:jc w:val="center"/>
            </w:pPr>
            <w:r>
              <w:rPr>
                <w:rFonts w:ascii="宋体" w:hAnsi="宋体"/>
                <w:sz w:val="18"/>
              </w:rPr>
              <w:t>5.00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25F901F4">
            <w:pPr>
              <w:jc w:val="center"/>
            </w:pPr>
            <w:r>
              <w:rPr>
                <w:rFonts w:ascii="宋体" w:hAnsi="宋体"/>
                <w:sz w:val="18"/>
              </w:rPr>
              <w:t>4.06</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5CCCA34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1A129D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0ECE324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A7BC85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B2F4FE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118BA1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CA6E8BC">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14:paraId="7A3B1D81">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14:paraId="48E7DA52">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14:paraId="01AF4A6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14:paraId="3CC5A68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14:paraId="059399B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9F1D66E">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9C1451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14:paraId="16843F8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14:paraId="6A85CC0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959851D">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DBC0D48">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14:paraId="72565C65">
            <w:pPr>
              <w:jc w:val="left"/>
            </w:pPr>
            <w:r>
              <w:rPr>
                <w:rFonts w:ascii="宋体" w:hAnsi="宋体"/>
                <w:sz w:val="18"/>
              </w:rPr>
              <w:t>第一书记工作经费用于我镇基本工作的开展，包括群众信访工作、基层组织建设、困难群众走访慰问、环境卫生整治、安全生产、重点工作督查检查等日常工作，保障芨芨湖镇第一书记在我镇各项工作顺利开展，落实好奇台县及开发区各项工作，为第一书记在我镇更好的干事创业创造经济条件。</w:t>
            </w:r>
          </w:p>
        </w:tc>
        <w:tc>
          <w:tcPr>
            <w:tcW w:w="4536" w:type="dxa"/>
            <w:gridSpan w:val="7"/>
            <w:tcBorders>
              <w:top w:val="single" w:color="auto" w:sz="4" w:space="0"/>
              <w:left w:val="nil"/>
              <w:bottom w:val="single" w:color="auto" w:sz="4" w:space="0"/>
              <w:right w:val="single" w:color="000000" w:sz="4" w:space="0"/>
            </w:tcBorders>
            <w:shd w:val="clear" w:color="auto" w:fill="auto"/>
          </w:tcPr>
          <w:p w14:paraId="76237557">
            <w:pPr>
              <w:jc w:val="left"/>
            </w:pPr>
            <w:r>
              <w:rPr>
                <w:rFonts w:ascii="宋体" w:hAnsi="宋体"/>
                <w:sz w:val="18"/>
              </w:rPr>
              <w:t>走访慰问次数：2；信访事项按期办结率：100%；项目预算控制率：100%；信访事件办结率：100%；安全检查覆盖率（%）：100%；走访慰问对象覆盖率（%）：100；走访慰问完成及时率：100；区域环境卫生质量优良率（%）：100；信访人员满意度：90；登记办理群众来信来访数量：10</w:t>
            </w:r>
          </w:p>
        </w:tc>
      </w:tr>
      <w:tr w14:paraId="5C3DB73A">
        <w:tblPrEx>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A5482C7">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6729CC9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499A442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E344A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14:paraId="7728751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14:paraId="6621FDA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10BDB8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EF1ECA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210093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34F0E2E7">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6AB13C5">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2C225565">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3C32BB97">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15356AB">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14:paraId="7530842F">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14:paraId="614BE367">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375FD430">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725C133F">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515B419C">
            <w:pPr>
              <w:widowControl/>
              <w:jc w:val="left"/>
              <w:rPr>
                <w:rFonts w:hint="eastAsia" w:ascii="宋体" w:hAnsi="宋体" w:cs="宋体"/>
                <w:color w:val="000000"/>
                <w:kern w:val="0"/>
                <w:sz w:val="18"/>
                <w:szCs w:val="18"/>
              </w:rPr>
            </w:pPr>
          </w:p>
        </w:tc>
      </w:tr>
      <w:tr w14:paraId="02D49B99">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83D7A9B">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995591D">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14:paraId="418867FB">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909D5BC">
            <w:pPr>
              <w:jc w:val="center"/>
            </w:pPr>
            <w:r>
              <w:rPr>
                <w:rFonts w:ascii="宋体" w:hAnsi="宋体"/>
                <w:sz w:val="18"/>
              </w:rPr>
              <w:t>登记办理群众来信来访数量</w:t>
            </w:r>
          </w:p>
        </w:tc>
        <w:tc>
          <w:tcPr>
            <w:tcW w:w="1266" w:type="dxa"/>
            <w:tcBorders>
              <w:top w:val="nil"/>
              <w:left w:val="nil"/>
              <w:bottom w:val="single" w:color="auto" w:sz="4" w:space="0"/>
              <w:right w:val="single" w:color="auto" w:sz="4" w:space="0"/>
            </w:tcBorders>
            <w:shd w:val="clear" w:color="auto" w:fill="auto"/>
            <w:vAlign w:val="center"/>
          </w:tcPr>
          <w:p w14:paraId="7959670F">
            <w:pPr>
              <w:jc w:val="center"/>
            </w:pPr>
            <w:r>
              <w:rPr>
                <w:rFonts w:ascii="宋体" w:hAnsi="宋体"/>
                <w:sz w:val="18"/>
              </w:rPr>
              <w:t>&gt;=10个</w:t>
            </w:r>
          </w:p>
        </w:tc>
        <w:tc>
          <w:tcPr>
            <w:tcW w:w="1088" w:type="dxa"/>
            <w:tcBorders>
              <w:top w:val="nil"/>
              <w:left w:val="nil"/>
              <w:bottom w:val="single" w:color="auto" w:sz="4" w:space="0"/>
              <w:right w:val="single" w:color="auto" w:sz="4" w:space="0"/>
            </w:tcBorders>
            <w:shd w:val="clear" w:color="auto" w:fill="auto"/>
            <w:vAlign w:val="center"/>
          </w:tcPr>
          <w:p w14:paraId="75D39B83">
            <w:pPr>
              <w:jc w:val="center"/>
            </w:pPr>
            <w:r>
              <w:rPr>
                <w:rFonts w:ascii="宋体" w:hAnsi="宋体"/>
                <w:sz w:val="18"/>
              </w:rPr>
              <w:t>=10个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201F48A">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00F2707">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05909AA">
            <w:pPr>
              <w:jc w:val="center"/>
            </w:pPr>
          </w:p>
        </w:tc>
      </w:tr>
      <w:tr w14:paraId="0125EA0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161F21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590DDA2">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1935DB3">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D7E91AA">
            <w:pPr>
              <w:jc w:val="center"/>
            </w:pPr>
            <w:r>
              <w:rPr>
                <w:rFonts w:ascii="宋体" w:hAnsi="宋体"/>
                <w:sz w:val="18"/>
              </w:rPr>
              <w:t>走访慰问次数</w:t>
            </w:r>
          </w:p>
        </w:tc>
        <w:tc>
          <w:tcPr>
            <w:tcW w:w="1266" w:type="dxa"/>
            <w:tcBorders>
              <w:top w:val="nil"/>
              <w:left w:val="nil"/>
              <w:bottom w:val="single" w:color="auto" w:sz="4" w:space="0"/>
              <w:right w:val="single" w:color="auto" w:sz="4" w:space="0"/>
            </w:tcBorders>
            <w:shd w:val="clear" w:color="auto" w:fill="auto"/>
            <w:vAlign w:val="center"/>
          </w:tcPr>
          <w:p w14:paraId="3BA7077E">
            <w:pPr>
              <w:jc w:val="center"/>
            </w:pPr>
            <w:r>
              <w:rPr>
                <w:rFonts w:ascii="宋体" w:hAnsi="宋体"/>
                <w:sz w:val="18"/>
              </w:rPr>
              <w:t>&gt;=2次</w:t>
            </w:r>
          </w:p>
        </w:tc>
        <w:tc>
          <w:tcPr>
            <w:tcW w:w="1088" w:type="dxa"/>
            <w:tcBorders>
              <w:top w:val="nil"/>
              <w:left w:val="nil"/>
              <w:bottom w:val="single" w:color="auto" w:sz="4" w:space="0"/>
              <w:right w:val="single" w:color="auto" w:sz="4" w:space="0"/>
            </w:tcBorders>
            <w:shd w:val="clear" w:color="auto" w:fill="auto"/>
            <w:vAlign w:val="center"/>
          </w:tcPr>
          <w:p w14:paraId="11D7335C">
            <w:pPr>
              <w:jc w:val="center"/>
            </w:pPr>
            <w:r>
              <w:rPr>
                <w:rFonts w:ascii="宋体" w:hAnsi="宋体"/>
                <w:sz w:val="18"/>
              </w:rPr>
              <w:t>=2次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7DA07F3">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26F993E">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E56C08F">
            <w:pPr>
              <w:jc w:val="center"/>
            </w:pPr>
          </w:p>
        </w:tc>
      </w:tr>
      <w:tr w14:paraId="47A3417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690756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EF495E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826DD8C">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60E2F44">
            <w:pPr>
              <w:jc w:val="center"/>
            </w:pPr>
            <w:r>
              <w:rPr>
                <w:rFonts w:ascii="宋体" w:hAnsi="宋体"/>
                <w:sz w:val="18"/>
              </w:rPr>
              <w:t>信访事件办结率</w:t>
            </w:r>
          </w:p>
        </w:tc>
        <w:tc>
          <w:tcPr>
            <w:tcW w:w="1266" w:type="dxa"/>
            <w:tcBorders>
              <w:top w:val="nil"/>
              <w:left w:val="nil"/>
              <w:bottom w:val="single" w:color="auto" w:sz="4" w:space="0"/>
              <w:right w:val="single" w:color="auto" w:sz="4" w:space="0"/>
            </w:tcBorders>
            <w:shd w:val="clear" w:color="auto" w:fill="auto"/>
            <w:vAlign w:val="center"/>
          </w:tcPr>
          <w:p w14:paraId="49383F56">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0DE294D8">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874EAB3">
            <w:pPr>
              <w:jc w:val="center"/>
            </w:pPr>
            <w:r>
              <w:rPr>
                <w:rFonts w:ascii="宋体" w:hAnsi="宋体"/>
                <w:sz w:val="18"/>
              </w:rPr>
              <w:t>6</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85CB2C3">
            <w:pPr>
              <w:jc w:val="center"/>
            </w:pPr>
            <w:r>
              <w:rPr>
                <w:rFonts w:ascii="宋体" w:hAnsi="宋体"/>
                <w:sz w:val="18"/>
              </w:rPr>
              <w:t>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742C599">
            <w:pPr>
              <w:jc w:val="center"/>
            </w:pPr>
          </w:p>
        </w:tc>
      </w:tr>
      <w:tr w14:paraId="1A7D0F7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D14607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1C6232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93E77A9">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C81841B">
            <w:pPr>
              <w:jc w:val="center"/>
            </w:pPr>
            <w:r>
              <w:rPr>
                <w:rFonts w:ascii="宋体" w:hAnsi="宋体"/>
                <w:sz w:val="18"/>
              </w:rPr>
              <w:t>走访慰问对象覆盖率（%）</w:t>
            </w:r>
          </w:p>
        </w:tc>
        <w:tc>
          <w:tcPr>
            <w:tcW w:w="1266" w:type="dxa"/>
            <w:tcBorders>
              <w:top w:val="nil"/>
              <w:left w:val="nil"/>
              <w:bottom w:val="single" w:color="auto" w:sz="4" w:space="0"/>
              <w:right w:val="single" w:color="auto" w:sz="4" w:space="0"/>
            </w:tcBorders>
            <w:shd w:val="clear" w:color="auto" w:fill="auto"/>
            <w:vAlign w:val="center"/>
          </w:tcPr>
          <w:p w14:paraId="1FB5E75D">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20798F50">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27BB033">
            <w:pPr>
              <w:jc w:val="center"/>
            </w:pPr>
            <w:r>
              <w:rPr>
                <w:rFonts w:ascii="宋体" w:hAnsi="宋体"/>
                <w:sz w:val="18"/>
              </w:rPr>
              <w:t>6</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E2380F4">
            <w:pPr>
              <w:jc w:val="center"/>
            </w:pPr>
            <w:r>
              <w:rPr>
                <w:rFonts w:ascii="宋体" w:hAnsi="宋体"/>
                <w:sz w:val="18"/>
              </w:rPr>
              <w:t>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316BDD4">
            <w:pPr>
              <w:jc w:val="center"/>
            </w:pPr>
          </w:p>
        </w:tc>
      </w:tr>
      <w:tr w14:paraId="45A16AF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AC5EF9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6864629">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83E4A7F">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8BC9512">
            <w:pPr>
              <w:jc w:val="center"/>
            </w:pPr>
            <w:r>
              <w:rPr>
                <w:rFonts w:ascii="宋体" w:hAnsi="宋体"/>
                <w:sz w:val="18"/>
              </w:rPr>
              <w:t>信访事项按期办结率</w:t>
            </w:r>
          </w:p>
        </w:tc>
        <w:tc>
          <w:tcPr>
            <w:tcW w:w="1266" w:type="dxa"/>
            <w:tcBorders>
              <w:top w:val="nil"/>
              <w:left w:val="nil"/>
              <w:bottom w:val="single" w:color="auto" w:sz="4" w:space="0"/>
              <w:right w:val="single" w:color="auto" w:sz="4" w:space="0"/>
            </w:tcBorders>
            <w:shd w:val="clear" w:color="auto" w:fill="auto"/>
            <w:vAlign w:val="center"/>
          </w:tcPr>
          <w:p w14:paraId="55AFB073">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50110E9B">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96A408D">
            <w:pPr>
              <w:jc w:val="center"/>
            </w:pPr>
            <w:r>
              <w:rPr>
                <w:rFonts w:ascii="宋体" w:hAnsi="宋体"/>
                <w:sz w:val="18"/>
              </w:rPr>
              <w:t>6</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C3B3ECF">
            <w:pPr>
              <w:jc w:val="center"/>
            </w:pPr>
            <w:r>
              <w:rPr>
                <w:rFonts w:ascii="宋体" w:hAnsi="宋体"/>
                <w:sz w:val="18"/>
              </w:rPr>
              <w:t>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7E56005">
            <w:pPr>
              <w:jc w:val="center"/>
            </w:pPr>
          </w:p>
        </w:tc>
      </w:tr>
      <w:tr w14:paraId="4B2EC68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C918D0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6DD073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86A7423">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6F65488">
            <w:pPr>
              <w:jc w:val="center"/>
            </w:pPr>
            <w:r>
              <w:rPr>
                <w:rFonts w:ascii="宋体" w:hAnsi="宋体"/>
                <w:sz w:val="18"/>
              </w:rPr>
              <w:t>走访慰问完成及时率</w:t>
            </w:r>
          </w:p>
        </w:tc>
        <w:tc>
          <w:tcPr>
            <w:tcW w:w="1266" w:type="dxa"/>
            <w:tcBorders>
              <w:top w:val="nil"/>
              <w:left w:val="nil"/>
              <w:bottom w:val="single" w:color="auto" w:sz="4" w:space="0"/>
              <w:right w:val="single" w:color="auto" w:sz="4" w:space="0"/>
            </w:tcBorders>
            <w:shd w:val="clear" w:color="auto" w:fill="auto"/>
            <w:vAlign w:val="center"/>
          </w:tcPr>
          <w:p w14:paraId="5315BBF3">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03D82B41">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7000527">
            <w:pPr>
              <w:jc w:val="center"/>
            </w:pPr>
            <w:r>
              <w:rPr>
                <w:rFonts w:ascii="宋体" w:hAnsi="宋体"/>
                <w:sz w:val="18"/>
              </w:rPr>
              <w:t>6</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6D266E8">
            <w:pPr>
              <w:jc w:val="center"/>
            </w:pPr>
            <w:r>
              <w:rPr>
                <w:rFonts w:ascii="宋体" w:hAnsi="宋体"/>
                <w:sz w:val="18"/>
              </w:rPr>
              <w:t>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0C2C5E6">
            <w:pPr>
              <w:jc w:val="center"/>
            </w:pPr>
          </w:p>
        </w:tc>
      </w:tr>
      <w:tr w14:paraId="6BA4060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C82BE79">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ED20B50">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14:paraId="7B08D05B">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C2E1A2A">
            <w:pPr>
              <w:jc w:val="center"/>
            </w:pPr>
            <w:r>
              <w:rPr>
                <w:rFonts w:ascii="宋体" w:hAnsi="宋体"/>
                <w:sz w:val="18"/>
              </w:rPr>
              <w:t>项目预算控制率</w:t>
            </w:r>
          </w:p>
        </w:tc>
        <w:tc>
          <w:tcPr>
            <w:tcW w:w="1266" w:type="dxa"/>
            <w:tcBorders>
              <w:top w:val="nil"/>
              <w:left w:val="nil"/>
              <w:bottom w:val="single" w:color="auto" w:sz="4" w:space="0"/>
              <w:right w:val="single" w:color="auto" w:sz="4" w:space="0"/>
            </w:tcBorders>
            <w:shd w:val="clear" w:color="auto" w:fill="auto"/>
            <w:vAlign w:val="center"/>
          </w:tcPr>
          <w:p w14:paraId="2FAE6E56">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51CBB21B">
            <w:pPr>
              <w:jc w:val="center"/>
            </w:pPr>
            <w:r>
              <w:rPr>
                <w:rFonts w:ascii="宋体" w:hAnsi="宋体"/>
                <w:sz w:val="18"/>
              </w:rPr>
              <w:t>=81.2%</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E7C9FFC">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E1248C8">
            <w:pPr>
              <w:jc w:val="center"/>
            </w:pPr>
            <w:r>
              <w:rPr>
                <w:rFonts w:ascii="宋体" w:hAnsi="宋体"/>
                <w:sz w:val="18"/>
              </w:rPr>
              <w:t>10.6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E7F105F">
            <w:pPr>
              <w:jc w:val="center"/>
            </w:pPr>
            <w:r>
              <w:rPr>
                <w:rFonts w:ascii="宋体" w:hAnsi="宋体"/>
                <w:sz w:val="18"/>
              </w:rPr>
              <w:t>未支付原因：手续未履行完毕，不符合支付条件，改进措施：下年度积极与财政对接，提前谋划支付计划。</w:t>
            </w:r>
          </w:p>
        </w:tc>
      </w:tr>
      <w:tr w14:paraId="5B2D144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E88C5D1">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3019931B">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14:paraId="602D44C7">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3B47B8E">
            <w:pPr>
              <w:jc w:val="center"/>
            </w:pPr>
            <w:r>
              <w:rPr>
                <w:rFonts w:ascii="宋体" w:hAnsi="宋体"/>
                <w:sz w:val="18"/>
              </w:rPr>
              <w:t>安全检查覆盖率（%）</w:t>
            </w:r>
          </w:p>
        </w:tc>
        <w:tc>
          <w:tcPr>
            <w:tcW w:w="1266" w:type="dxa"/>
            <w:tcBorders>
              <w:top w:val="nil"/>
              <w:left w:val="nil"/>
              <w:bottom w:val="single" w:color="auto" w:sz="4" w:space="0"/>
              <w:right w:val="single" w:color="auto" w:sz="4" w:space="0"/>
            </w:tcBorders>
            <w:shd w:val="clear" w:color="auto" w:fill="auto"/>
            <w:vAlign w:val="center"/>
          </w:tcPr>
          <w:p w14:paraId="7DF4DAB0">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3576858E">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EEE568E">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87B4161">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B87FE20">
            <w:pPr>
              <w:jc w:val="center"/>
            </w:pPr>
          </w:p>
        </w:tc>
      </w:tr>
      <w:tr w14:paraId="0E1AA64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B709F6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AA0B6B8">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28E8B95">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18DABB3">
            <w:pPr>
              <w:jc w:val="center"/>
            </w:pPr>
            <w:r>
              <w:rPr>
                <w:rFonts w:ascii="宋体" w:hAnsi="宋体"/>
                <w:sz w:val="18"/>
              </w:rPr>
              <w:t>区域环境卫生质量优良率（%）</w:t>
            </w:r>
          </w:p>
        </w:tc>
        <w:tc>
          <w:tcPr>
            <w:tcW w:w="1266" w:type="dxa"/>
            <w:tcBorders>
              <w:top w:val="nil"/>
              <w:left w:val="nil"/>
              <w:bottom w:val="single" w:color="auto" w:sz="4" w:space="0"/>
              <w:right w:val="single" w:color="auto" w:sz="4" w:space="0"/>
            </w:tcBorders>
            <w:shd w:val="clear" w:color="auto" w:fill="auto"/>
            <w:vAlign w:val="center"/>
          </w:tcPr>
          <w:p w14:paraId="030099F8">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14:paraId="491F6B73">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56A0900">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FE816E5">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5C33D7C">
            <w:pPr>
              <w:jc w:val="center"/>
            </w:pPr>
          </w:p>
        </w:tc>
      </w:tr>
      <w:tr w14:paraId="70367A0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F69984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104D01E">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14:paraId="30B0B1F7">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5A82AE0">
            <w:pPr>
              <w:jc w:val="center"/>
            </w:pPr>
            <w:r>
              <w:rPr>
                <w:rFonts w:ascii="宋体" w:hAnsi="宋体"/>
                <w:sz w:val="18"/>
              </w:rPr>
              <w:t>信访人员满意度</w:t>
            </w:r>
          </w:p>
        </w:tc>
        <w:tc>
          <w:tcPr>
            <w:tcW w:w="1266" w:type="dxa"/>
            <w:tcBorders>
              <w:top w:val="nil"/>
              <w:left w:val="nil"/>
              <w:bottom w:val="single" w:color="auto" w:sz="4" w:space="0"/>
              <w:right w:val="single" w:color="auto" w:sz="4" w:space="0"/>
            </w:tcBorders>
            <w:shd w:val="clear" w:color="auto" w:fill="auto"/>
            <w:vAlign w:val="center"/>
          </w:tcPr>
          <w:p w14:paraId="1F817FB3">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14:paraId="460CA738">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E77DF7A">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7C54276">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5935527">
            <w:pPr>
              <w:jc w:val="center"/>
            </w:pPr>
          </w:p>
        </w:tc>
      </w:tr>
      <w:tr w14:paraId="05C14F1D">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4F55076">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021CB5EF">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227C3711">
            <w:pPr>
              <w:jc w:val="center"/>
            </w:pPr>
            <w:r>
              <w:rPr>
                <w:rFonts w:ascii="宋体" w:hAnsi="宋体"/>
                <w:sz w:val="18"/>
              </w:rPr>
              <w:t>85.9分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2594539">
            <w:pPr>
              <w:jc w:val="center"/>
            </w:pPr>
          </w:p>
        </w:tc>
      </w:tr>
    </w:tbl>
    <w:p w14:paraId="591C5B17">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2FDF72E0">
      <w:pPr>
        <w:ind w:firstLine="640"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我单位本年资金紧张未购买办公用品及设备。因此政府采购金额支出为0.00万元。其中授予中小企业合同金额、授予小微企业合同金额为0.00万元。</w:t>
      </w:r>
    </w:p>
    <w:p w14:paraId="777792CB">
      <w:pPr>
        <w:jc w:val="center"/>
        <w:outlineLvl w:val="0"/>
        <w:rPr>
          <w:rFonts w:hint="eastAsia" w:ascii="黑体" w:hAnsi="黑体" w:eastAsia="黑体"/>
          <w:sz w:val="32"/>
          <w:szCs w:val="32"/>
        </w:rPr>
      </w:pPr>
      <w:bookmarkStart w:id="30" w:name="_Toc3250"/>
      <w:bookmarkStart w:id="31"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14:paraId="41475CEC">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69C4A83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3876480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2CB7278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0973B20C">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3682279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3A358C4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3353FB2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7D7D6B3">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6E54535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340E00EE">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18467983">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62B06244">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3B6B614">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3373DBE8">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7EC8276C">
      <w:pPr>
        <w:ind w:firstLine="640" w:firstLineChars="200"/>
        <w:outlineLvl w:val="1"/>
        <w:rPr>
          <w:rFonts w:hint="eastAsia" w:ascii="黑体" w:hAnsi="黑体" w:eastAsia="仿宋_GB2312" w:cs="宋体"/>
          <w:bCs/>
          <w:kern w:val="0"/>
          <w:sz w:val="32"/>
          <w:szCs w:val="32"/>
        </w:rPr>
      </w:pPr>
      <w:bookmarkStart w:id="32" w:name="_Toc2183"/>
      <w:bookmarkStart w:id="33" w:name="_Toc6062"/>
      <w:r>
        <w:rPr>
          <w:rFonts w:hint="eastAsia" w:ascii="黑体" w:hAnsi="黑体" w:eastAsia="仿宋_GB2312" w:cs="宋体"/>
          <w:bCs/>
          <w:kern w:val="0"/>
          <w:sz w:val="32"/>
          <w:szCs w:val="32"/>
        </w:rPr>
        <w:t>一、《收入支出决算总表》</w:t>
      </w:r>
      <w:bookmarkEnd w:id="32"/>
      <w:bookmarkEnd w:id="33"/>
    </w:p>
    <w:p w14:paraId="5F9D59C3">
      <w:pPr>
        <w:ind w:firstLine="640" w:firstLineChars="200"/>
        <w:outlineLvl w:val="1"/>
        <w:rPr>
          <w:rFonts w:hint="eastAsia" w:ascii="黑体" w:hAnsi="黑体" w:eastAsia="仿宋_GB2312" w:cs="宋体"/>
          <w:bCs/>
          <w:kern w:val="0"/>
          <w:sz w:val="32"/>
          <w:szCs w:val="32"/>
        </w:rPr>
      </w:pPr>
      <w:bookmarkStart w:id="34" w:name="_Toc30364"/>
      <w:bookmarkStart w:id="35" w:name="_Toc24532"/>
      <w:r>
        <w:rPr>
          <w:rFonts w:hint="eastAsia" w:ascii="黑体" w:hAnsi="黑体" w:eastAsia="仿宋_GB2312" w:cs="宋体"/>
          <w:bCs/>
          <w:kern w:val="0"/>
          <w:sz w:val="32"/>
          <w:szCs w:val="32"/>
        </w:rPr>
        <w:t>二、《收入决算表》</w:t>
      </w:r>
      <w:bookmarkEnd w:id="34"/>
      <w:bookmarkEnd w:id="35"/>
    </w:p>
    <w:p w14:paraId="32896DAD">
      <w:pPr>
        <w:ind w:firstLine="640" w:firstLineChars="200"/>
        <w:outlineLvl w:val="1"/>
        <w:rPr>
          <w:rFonts w:hint="eastAsia" w:ascii="黑体" w:hAnsi="黑体" w:eastAsia="仿宋_GB2312" w:cs="宋体"/>
          <w:bCs/>
          <w:kern w:val="0"/>
          <w:sz w:val="32"/>
          <w:szCs w:val="32"/>
        </w:rPr>
      </w:pPr>
      <w:bookmarkStart w:id="36" w:name="_Toc32434"/>
      <w:bookmarkStart w:id="37" w:name="_Toc21304"/>
      <w:r>
        <w:rPr>
          <w:rFonts w:hint="eastAsia" w:ascii="黑体" w:hAnsi="黑体" w:eastAsia="仿宋_GB2312" w:cs="宋体"/>
          <w:bCs/>
          <w:kern w:val="0"/>
          <w:sz w:val="32"/>
          <w:szCs w:val="32"/>
        </w:rPr>
        <w:t>三、《支出决算表》</w:t>
      </w:r>
      <w:bookmarkEnd w:id="36"/>
      <w:bookmarkEnd w:id="37"/>
    </w:p>
    <w:p w14:paraId="5D414589">
      <w:pPr>
        <w:ind w:firstLine="640" w:firstLineChars="200"/>
        <w:outlineLvl w:val="1"/>
        <w:rPr>
          <w:rFonts w:hint="eastAsia" w:ascii="黑体" w:hAnsi="黑体" w:eastAsia="仿宋_GB2312" w:cs="宋体"/>
          <w:bCs/>
          <w:kern w:val="0"/>
          <w:sz w:val="32"/>
          <w:szCs w:val="32"/>
        </w:rPr>
      </w:pPr>
      <w:bookmarkStart w:id="38" w:name="_Toc28786"/>
      <w:bookmarkStart w:id="39" w:name="_Toc14238"/>
      <w:r>
        <w:rPr>
          <w:rFonts w:hint="eastAsia" w:ascii="黑体" w:hAnsi="黑体" w:eastAsia="仿宋_GB2312" w:cs="宋体"/>
          <w:bCs/>
          <w:kern w:val="0"/>
          <w:sz w:val="32"/>
          <w:szCs w:val="32"/>
        </w:rPr>
        <w:t>四、《财政拨款收入支出决算总表》</w:t>
      </w:r>
      <w:bookmarkEnd w:id="38"/>
      <w:bookmarkEnd w:id="39"/>
    </w:p>
    <w:p w14:paraId="2C1581BF">
      <w:pPr>
        <w:ind w:firstLine="640" w:firstLineChars="200"/>
        <w:outlineLvl w:val="1"/>
        <w:rPr>
          <w:rFonts w:hint="eastAsia" w:ascii="黑体" w:hAnsi="黑体" w:eastAsia="仿宋_GB2312" w:cs="宋体"/>
          <w:bCs/>
          <w:kern w:val="0"/>
          <w:sz w:val="32"/>
          <w:szCs w:val="32"/>
        </w:rPr>
      </w:pPr>
      <w:bookmarkStart w:id="40" w:name="_Toc14869"/>
      <w:bookmarkStart w:id="41" w:name="_Toc10347"/>
      <w:r>
        <w:rPr>
          <w:rFonts w:hint="eastAsia" w:ascii="黑体" w:hAnsi="黑体" w:eastAsia="仿宋_GB2312" w:cs="宋体"/>
          <w:bCs/>
          <w:kern w:val="0"/>
          <w:sz w:val="32"/>
          <w:szCs w:val="32"/>
        </w:rPr>
        <w:t>五、《一般公共预算财政拨款支出决算表》</w:t>
      </w:r>
      <w:bookmarkEnd w:id="40"/>
      <w:bookmarkEnd w:id="41"/>
    </w:p>
    <w:p w14:paraId="501F4238">
      <w:pPr>
        <w:ind w:firstLine="640" w:firstLineChars="200"/>
        <w:outlineLvl w:val="1"/>
        <w:rPr>
          <w:rFonts w:hint="eastAsia" w:ascii="黑体" w:hAnsi="黑体" w:eastAsia="仿宋_GB2312" w:cs="宋体"/>
          <w:bCs/>
          <w:kern w:val="0"/>
          <w:sz w:val="32"/>
          <w:szCs w:val="32"/>
        </w:rPr>
      </w:pPr>
      <w:bookmarkStart w:id="42" w:name="_Toc5626"/>
      <w:bookmarkStart w:id="43" w:name="_Toc8884"/>
      <w:r>
        <w:rPr>
          <w:rFonts w:hint="eastAsia" w:ascii="黑体" w:hAnsi="黑体" w:eastAsia="仿宋_GB2312" w:cs="宋体"/>
          <w:bCs/>
          <w:kern w:val="0"/>
          <w:sz w:val="32"/>
          <w:szCs w:val="32"/>
        </w:rPr>
        <w:t>六、《一般公共预算财政拨款基本支出决算表》</w:t>
      </w:r>
      <w:bookmarkEnd w:id="42"/>
      <w:bookmarkEnd w:id="43"/>
    </w:p>
    <w:p w14:paraId="5A3C4345">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29106"/>
      <w:bookmarkStart w:id="45" w:name="_Toc32663"/>
      <w:r>
        <w:rPr>
          <w:rFonts w:hint="eastAsia" w:ascii="黑体" w:hAnsi="黑体" w:eastAsia="仿宋_GB2312" w:cs="宋体"/>
          <w:bCs/>
          <w:kern w:val="0"/>
          <w:sz w:val="32"/>
          <w:szCs w:val="32"/>
        </w:rPr>
        <w:t>《财政拨款“三公”经费支出决算表》</w:t>
      </w:r>
      <w:bookmarkEnd w:id="44"/>
      <w:bookmarkEnd w:id="45"/>
    </w:p>
    <w:p w14:paraId="54EDA19B">
      <w:pPr>
        <w:ind w:firstLine="640" w:firstLineChars="200"/>
        <w:outlineLvl w:val="1"/>
        <w:rPr>
          <w:rFonts w:hint="eastAsia" w:ascii="黑体" w:hAnsi="黑体" w:eastAsia="仿宋_GB2312" w:cs="宋体"/>
          <w:bCs/>
          <w:kern w:val="0"/>
          <w:sz w:val="32"/>
          <w:szCs w:val="32"/>
        </w:rPr>
      </w:pPr>
      <w:bookmarkStart w:id="46" w:name="_Toc7643"/>
      <w:bookmarkStart w:id="47" w:name="_Toc5453"/>
      <w:r>
        <w:rPr>
          <w:rFonts w:hint="eastAsia" w:ascii="黑体" w:hAnsi="黑体" w:eastAsia="仿宋_GB2312" w:cs="宋体"/>
          <w:bCs/>
          <w:kern w:val="0"/>
          <w:sz w:val="32"/>
          <w:szCs w:val="32"/>
        </w:rPr>
        <w:t>八、《政府性基金预算财政拨款收入支出决算表》</w:t>
      </w:r>
      <w:bookmarkEnd w:id="46"/>
      <w:bookmarkEnd w:id="47"/>
    </w:p>
    <w:p w14:paraId="3B5D9498">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101A6A88">
      <w:pPr>
        <w:ind w:firstLine="640" w:firstLineChars="200"/>
        <w:rPr>
          <w:rFonts w:ascii="仿宋_GB2312" w:eastAsia="仿宋_GB2312"/>
          <w:sz w:val="32"/>
          <w:szCs w:val="32"/>
        </w:rPr>
      </w:pPr>
    </w:p>
    <w:p w14:paraId="607598AE">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170BAE">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B9474E8">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7B9474E8">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wYmJhZjc0NGViYWI2MzA4ODc2NzVjMTUwODc4MTAifQ=="/>
    <w:docVar w:name="KSO_WPS_MARK_KEY" w:val="41ee2a61-2d54-4f93-83be-afdb9a40d732"/>
  </w:docVars>
  <w:rsids>
    <w:rsidRoot w:val="002E6C3F"/>
    <w:rsid w:val="00016851"/>
    <w:rsid w:val="000440C5"/>
    <w:rsid w:val="00146CD0"/>
    <w:rsid w:val="001E2826"/>
    <w:rsid w:val="00213C59"/>
    <w:rsid w:val="002E6C3F"/>
    <w:rsid w:val="003210CE"/>
    <w:rsid w:val="00470486"/>
    <w:rsid w:val="007321A2"/>
    <w:rsid w:val="00A61A6F"/>
    <w:rsid w:val="00B619C0"/>
    <w:rsid w:val="00B70D59"/>
    <w:rsid w:val="00BB71B0"/>
    <w:rsid w:val="00F02CF9"/>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25E3F"/>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8409</Words>
  <Characters>9597</Characters>
  <Lines>78</Lines>
  <Paragraphs>22</Paragraphs>
  <TotalTime>1</TotalTime>
  <ScaleCrop>false</ScaleCrop>
  <LinksUpToDate>false</LinksUpToDate>
  <CharactersWithSpaces>9608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仰～</cp:lastModifiedBy>
  <dcterms:modified xsi:type="dcterms:W3CDTF">2024-12-27T09:27:45Z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D624B15633CD43C8BF9435464A96BF70</vt:lpwstr>
  </property>
</Properties>
</file>