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奇台县教育局2023年度部门决算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按照县委、县人民政府的总体部署，负责制定全县教育事业发展规划、计划，确定教育事业发展重点、规模、速度和步骤，并指导、协调贯彻实施。</w:t>
      </w:r>
    </w:p>
    <w:p>
      <w:pPr>
        <w:ind w:firstLine="640" w:firstLineChars="200"/>
        <w:jc w:val="left"/>
        <w:rPr>
          <w:rFonts w:ascii="仿宋_GB2312" w:eastAsia="仿宋_GB2312"/>
          <w:sz w:val="32"/>
          <w:szCs w:val="32"/>
        </w:rPr>
      </w:pPr>
      <w:r>
        <w:rPr>
          <w:rFonts w:hint="eastAsia" w:ascii="仿宋_GB2312" w:eastAsia="仿宋_GB2312"/>
          <w:sz w:val="32"/>
          <w:szCs w:val="32"/>
        </w:rPr>
        <w:t>综合管理全县的基础教育、学前教育、成人、职业技术教育、社会力量办学等教育工作，负责奇台县人民政府教育督导工作。组织实施素质教育，指导各类学校的体育、卫生、艺术和劳动教育工作，管理全县的学历教育及考试工作。规划指导全县继续教育工作、勤工俭学工作、成人教育工作及扫除青壮年文盲工作。</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奇台县教育局2023年度，实有人数</w:t>
      </w:r>
      <w:r>
        <w:rPr>
          <w:rFonts w:hint="eastAsia" w:ascii="仿宋_GB2312" w:eastAsia="仿宋_GB2312"/>
          <w:sz w:val="32"/>
          <w:szCs w:val="32"/>
          <w:lang w:val="zh-CN"/>
        </w:rPr>
        <w:t>82</w:t>
      </w:r>
      <w:r>
        <w:rPr>
          <w:rFonts w:hint="eastAsia" w:ascii="仿宋_GB2312" w:eastAsia="仿宋_GB2312"/>
          <w:sz w:val="32"/>
          <w:szCs w:val="32"/>
        </w:rPr>
        <w:t>人，其中：在职人员</w:t>
      </w:r>
      <w:r>
        <w:rPr>
          <w:rFonts w:hint="eastAsia" w:ascii="仿宋_GB2312" w:eastAsia="仿宋_GB2312"/>
          <w:sz w:val="32"/>
          <w:szCs w:val="32"/>
          <w:lang w:val="zh-CN"/>
        </w:rPr>
        <w:t>48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34</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14</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党政办、教育督导室、人事科、基础教育科、成职教科、项目办、教研电教中心、招生办、勤俭办、核算中心、安全办、思政科、学生资助中心、青少年校外活动中心。</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2023年度收入总计9,864.17万元，其中：本年收入合计9,371.99万元，使用非财政拨款结余0.00万元，年初结转和结余492.17万元。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2023年度支出总计9,864.17万元，其中：本年支出合计9,738.18万元，结余分配0.00万元，年末结转和结余125.98万元。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增加1,825.53万元</w:t>
      </w:r>
      <w:r>
        <w:rPr>
          <w:rFonts w:hint="eastAsia" w:ascii="仿宋_GB2312" w:eastAsia="仿宋_GB2312"/>
          <w:sz w:val="32"/>
          <w:szCs w:val="32"/>
        </w:rPr>
        <w:t>，增长22.71%，主要原因是：本年单位增加学前教育发展资金、暖气管道维修费、昌吉州城乡义务教育班主任津贴专项资金等项目经费。</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本年收入9,371.99万元，其中：财政拨款收入</w:t>
      </w:r>
      <w:r>
        <w:rPr>
          <w:rFonts w:hint="eastAsia" w:ascii="仿宋_GB2312" w:eastAsia="仿宋_GB2312"/>
          <w:sz w:val="32"/>
          <w:szCs w:val="32"/>
          <w:lang w:val="zh-CN"/>
        </w:rPr>
        <w:t>3,865.09</w:t>
      </w:r>
      <w:r>
        <w:rPr>
          <w:rFonts w:hint="eastAsia" w:ascii="仿宋_GB2312" w:eastAsia="仿宋_GB2312"/>
          <w:sz w:val="32"/>
          <w:szCs w:val="32"/>
        </w:rPr>
        <w:t>万元，占</w:t>
      </w:r>
      <w:r>
        <w:rPr>
          <w:rFonts w:hint="eastAsia" w:ascii="仿宋_GB2312" w:eastAsia="仿宋_GB2312"/>
          <w:sz w:val="32"/>
          <w:szCs w:val="32"/>
          <w:lang w:val="zh-CN"/>
        </w:rPr>
        <w:t>41.24%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5,506.90</w:t>
      </w:r>
      <w:r>
        <w:rPr>
          <w:rFonts w:hint="eastAsia" w:ascii="仿宋_GB2312" w:eastAsia="仿宋_GB2312"/>
          <w:sz w:val="32"/>
          <w:szCs w:val="32"/>
        </w:rPr>
        <w:t>万元，占</w:t>
      </w:r>
      <w:r>
        <w:rPr>
          <w:rFonts w:hint="eastAsia" w:ascii="仿宋_GB2312" w:eastAsia="仿宋_GB2312"/>
          <w:sz w:val="32"/>
          <w:szCs w:val="32"/>
          <w:lang w:val="zh-CN"/>
        </w:rPr>
        <w:t>58.76%</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本年支出9,738.18万元，其中：基本支出7,370.68万元，占75.69%；项目支出2,367.51万元，占24.31%；上缴上级支出0.00万元，占0.00%；经营支出0.00万元，占0.00%；对附属单位补助支出0.00万元，占0.00%。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3,865.09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3,865.09</w:t>
      </w:r>
      <w:r>
        <w:rPr>
          <w:rFonts w:hint="eastAsia" w:ascii="仿宋_GB2312" w:eastAsia="仿宋_GB2312"/>
          <w:sz w:val="32"/>
          <w:szCs w:val="32"/>
        </w:rPr>
        <w:t>万元。财政拨款支出总计</w:t>
      </w:r>
      <w:r>
        <w:rPr>
          <w:rFonts w:hint="eastAsia" w:ascii="仿宋_GB2312" w:eastAsia="仿宋_GB2312"/>
          <w:sz w:val="32"/>
          <w:szCs w:val="32"/>
          <w:lang w:val="zh-CN"/>
        </w:rPr>
        <w:t>3,865.09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3,865.09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增加376.66万元</w:t>
      </w:r>
      <w:r>
        <w:rPr>
          <w:rFonts w:hint="eastAsia" w:ascii="仿宋_GB2312" w:eastAsia="仿宋_GB2312"/>
          <w:sz w:val="32"/>
          <w:szCs w:val="32"/>
        </w:rPr>
        <w:t>，增长10.80%,主要原因是：本年单位增加学前教育发展资金、暖气管道维修费、昌吉州城乡义务教育班主任津贴专项资金等项目经费。与年初预算相比，年初预算数</w:t>
      </w:r>
      <w:r>
        <w:rPr>
          <w:rFonts w:hint="eastAsia" w:ascii="仿宋_GB2312" w:eastAsia="仿宋_GB2312"/>
          <w:sz w:val="32"/>
          <w:szCs w:val="32"/>
          <w:lang w:val="zh-CN"/>
        </w:rPr>
        <w:t>9,634.22</w:t>
      </w:r>
      <w:r>
        <w:rPr>
          <w:rFonts w:hint="eastAsia" w:ascii="仿宋_GB2312" w:eastAsia="仿宋_GB2312"/>
          <w:sz w:val="32"/>
          <w:szCs w:val="32"/>
        </w:rPr>
        <w:t>万元，决算数</w:t>
      </w:r>
      <w:r>
        <w:rPr>
          <w:rFonts w:hint="eastAsia" w:ascii="仿宋_GB2312" w:eastAsia="仿宋_GB2312"/>
          <w:sz w:val="32"/>
          <w:szCs w:val="32"/>
          <w:lang w:val="zh-CN"/>
        </w:rPr>
        <w:t>3,865.09</w:t>
      </w:r>
      <w:r>
        <w:rPr>
          <w:rFonts w:hint="eastAsia" w:ascii="仿宋_GB2312" w:eastAsia="仿宋_GB2312"/>
          <w:sz w:val="32"/>
          <w:szCs w:val="32"/>
        </w:rPr>
        <w:t>万元，预决算差异率-59.88%，主要原因是：本年单位实际人员工资、津补贴等人员经费和单位学前教育发展资金、昌吉州城乡义务教育班主任津贴专项资金等项目经费小于年初预算安排金额。</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2023年度一般公共预算财政拨款支出3,865.09万元，占本年支出合计的</w:t>
      </w:r>
      <w:r>
        <w:rPr>
          <w:rFonts w:hint="eastAsia" w:ascii="仿宋_GB2312" w:eastAsia="仿宋_GB2312"/>
          <w:sz w:val="32"/>
          <w:szCs w:val="32"/>
          <w:lang w:val="zh-CN"/>
        </w:rPr>
        <w:t>39.69%</w:t>
      </w:r>
      <w:r>
        <w:rPr>
          <w:rFonts w:hint="eastAsia" w:ascii="仿宋_GB2312" w:eastAsia="仿宋_GB2312"/>
          <w:sz w:val="32"/>
          <w:szCs w:val="32"/>
        </w:rPr>
        <w:t>。与上年相比，</w:t>
      </w:r>
      <w:r>
        <w:rPr>
          <w:rFonts w:hint="eastAsia" w:ascii="仿宋_GB2312" w:eastAsia="仿宋_GB2312"/>
          <w:sz w:val="32"/>
          <w:szCs w:val="32"/>
          <w:lang w:val="zh-CN"/>
        </w:rPr>
        <w:t>增加376.66万元</w:t>
      </w:r>
      <w:r>
        <w:rPr>
          <w:rFonts w:hint="eastAsia" w:ascii="仿宋_GB2312" w:eastAsia="仿宋_GB2312"/>
          <w:sz w:val="32"/>
          <w:szCs w:val="32"/>
        </w:rPr>
        <w:t>，增长10.80%,主要原因是：本年单位增加学前教育发展资金、暖气管道维修费、昌吉州城乡义务教育班主任津贴专项资金等项目经费。与年初预算相比，年初预算数</w:t>
      </w:r>
      <w:r>
        <w:rPr>
          <w:rFonts w:hint="eastAsia" w:ascii="仿宋_GB2312" w:eastAsia="仿宋_GB2312"/>
          <w:sz w:val="32"/>
          <w:szCs w:val="32"/>
          <w:lang w:val="zh-CN"/>
        </w:rPr>
        <w:t>9,634.22</w:t>
      </w:r>
      <w:r>
        <w:rPr>
          <w:rFonts w:hint="eastAsia" w:ascii="仿宋_GB2312" w:eastAsia="仿宋_GB2312"/>
          <w:sz w:val="32"/>
          <w:szCs w:val="32"/>
        </w:rPr>
        <w:t>万元，决算数</w:t>
      </w:r>
      <w:r>
        <w:rPr>
          <w:rFonts w:hint="eastAsia" w:ascii="仿宋_GB2312" w:eastAsia="仿宋_GB2312"/>
          <w:sz w:val="32"/>
          <w:szCs w:val="32"/>
          <w:lang w:val="zh-CN"/>
        </w:rPr>
        <w:t>3,865.09</w:t>
      </w:r>
      <w:r>
        <w:rPr>
          <w:rFonts w:hint="eastAsia" w:ascii="仿宋_GB2312" w:eastAsia="仿宋_GB2312"/>
          <w:sz w:val="32"/>
          <w:szCs w:val="32"/>
        </w:rPr>
        <w:t>万元，预决算差异率</w:t>
      </w:r>
      <w:r>
        <w:rPr>
          <w:rFonts w:hint="eastAsia" w:ascii="仿宋_GB2312" w:eastAsia="仿宋_GB2312"/>
          <w:sz w:val="32"/>
          <w:szCs w:val="32"/>
          <w:lang w:val="zh-CN"/>
        </w:rPr>
        <w:t>-59.88%</w:t>
      </w:r>
      <w:r>
        <w:rPr>
          <w:rFonts w:hint="eastAsia" w:ascii="仿宋_GB2312" w:eastAsia="仿宋_GB2312"/>
          <w:sz w:val="32"/>
          <w:szCs w:val="32"/>
        </w:rPr>
        <w:t>，主要原因是：本年单位实际人员工资、津补贴等人员经费和单位学前教育发展资金、昌吉州城乡义务教育班主任津贴专项资金等项目经费小于年初预算安排金额。</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13.34</w:t>
      </w:r>
      <w:r>
        <w:rPr>
          <w:rFonts w:ascii="仿宋_GB2312" w:eastAsia="仿宋_GB2312"/>
          <w:kern w:val="2"/>
          <w:sz w:val="32"/>
          <w:szCs w:val="32"/>
          <w:lang w:val="zh-CN"/>
        </w:rPr>
        <w:t>万元，占</w:t>
      </w:r>
      <w:r>
        <w:rPr>
          <w:rFonts w:hint="eastAsia" w:ascii="仿宋_GB2312" w:eastAsia="仿宋_GB2312"/>
          <w:kern w:val="2"/>
          <w:sz w:val="32"/>
          <w:szCs w:val="32"/>
          <w:lang w:val="zh-CN"/>
        </w:rPr>
        <w:t>0.35%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.教育支出（类）</w:t>
      </w:r>
      <w:r>
        <w:rPr>
          <w:rFonts w:hint="eastAsia" w:ascii="仿宋_GB2312" w:eastAsia="仿宋_GB2312"/>
          <w:kern w:val="2"/>
          <w:sz w:val="32"/>
          <w:szCs w:val="32"/>
          <w:lang w:val="zh-CN"/>
        </w:rPr>
        <w:t>3,632.31</w:t>
      </w:r>
      <w:r>
        <w:rPr>
          <w:rFonts w:ascii="仿宋_GB2312" w:eastAsia="仿宋_GB2312"/>
          <w:kern w:val="2"/>
          <w:sz w:val="32"/>
          <w:szCs w:val="32"/>
          <w:lang w:val="zh-CN"/>
        </w:rPr>
        <w:t>万元，占</w:t>
      </w:r>
      <w:r>
        <w:rPr>
          <w:rFonts w:hint="eastAsia" w:ascii="仿宋_GB2312" w:eastAsia="仿宋_GB2312"/>
          <w:kern w:val="2"/>
          <w:sz w:val="32"/>
          <w:szCs w:val="32"/>
          <w:lang w:val="zh-CN"/>
        </w:rPr>
        <w:t>93.98%</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3.农林水支出（类）22.20万元，占</w:t>
      </w:r>
      <w:r>
        <w:rPr>
          <w:rFonts w:hint="eastAsia" w:ascii="仿宋_GB2312" w:eastAsia="仿宋_GB2312"/>
          <w:kern w:val="2"/>
          <w:sz w:val="32"/>
          <w:szCs w:val="32"/>
          <w:lang w:val="zh-CN"/>
        </w:rPr>
        <w:t>0.57%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145.57</w:t>
      </w:r>
      <w:r>
        <w:rPr>
          <w:rFonts w:ascii="仿宋_GB2312" w:eastAsia="仿宋_GB2312"/>
          <w:kern w:val="2"/>
          <w:sz w:val="32"/>
          <w:szCs w:val="32"/>
          <w:lang w:val="zh-CN"/>
        </w:rPr>
        <w:t>万元，占</w:t>
      </w:r>
      <w:r>
        <w:rPr>
          <w:rFonts w:hint="eastAsia" w:ascii="仿宋_GB2312" w:eastAsia="仿宋_GB2312"/>
          <w:kern w:val="2"/>
          <w:sz w:val="32"/>
          <w:szCs w:val="32"/>
          <w:lang w:val="zh-CN"/>
        </w:rPr>
        <w:t>3.77%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.其他支出（类）</w:t>
      </w:r>
      <w:r>
        <w:rPr>
          <w:rFonts w:hint="eastAsia" w:ascii="仿宋_GB2312" w:eastAsia="仿宋_GB2312"/>
          <w:kern w:val="2"/>
          <w:sz w:val="32"/>
          <w:szCs w:val="32"/>
          <w:lang w:val="zh-CN"/>
        </w:rPr>
        <w:t>51.68</w:t>
      </w:r>
      <w:r>
        <w:rPr>
          <w:rFonts w:ascii="仿宋_GB2312" w:eastAsia="仿宋_GB2312"/>
          <w:kern w:val="2"/>
          <w:sz w:val="32"/>
          <w:szCs w:val="32"/>
          <w:lang w:val="zh-CN"/>
        </w:rPr>
        <w:t>万元，占</w:t>
      </w:r>
      <w:r>
        <w:rPr>
          <w:rFonts w:hint="eastAsia" w:ascii="仿宋_GB2312" w:eastAsia="仿宋_GB2312"/>
          <w:kern w:val="2"/>
          <w:sz w:val="32"/>
          <w:szCs w:val="32"/>
          <w:lang w:val="zh-CN"/>
        </w:rPr>
        <w:t>1.34%。</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1.教育支出（类）教育费附加安排的支出（款）其他教育费附加安排的支出（项）:支出决算数为75.60万元，比上年决算增加44.04万元，增长139.54%，主要原因是：本年单位暖气管道维修费较上年增加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2.农林水支出（类）巩固脱贫攻坚成果衔接乡村振兴（款）生产发展（项）:支出决算数为22.20万元，比上年决算增加22.20万元，增长100%，主要原因是：</w:t>
      </w:r>
      <w:r>
        <w:rPr>
          <w:rFonts w:hint="eastAsia" w:ascii="仿宋_GB2312" w:hAnsi="仿宋_GB2312" w:eastAsia="仿宋_GB2312" w:cs="仿宋_GB2312"/>
          <w:sz w:val="32"/>
          <w:szCs w:val="32"/>
          <w:lang w:val="zh-CN"/>
        </w:rPr>
        <w:t>增加昌州财农[2022]52号奇台县2023年“雨露计划”助学项目。</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3.一般公共服务支出（类）政府办公厅（室）及相关机构事务（款）信访事务（项）:支出决算数为13.34万元，比上年决算增加13.34万元，增长100%，主要原因是：</w:t>
      </w:r>
      <w:r>
        <w:rPr>
          <w:rFonts w:hint="eastAsia" w:ascii="仿宋_GB2312" w:hAnsi="仿宋_GB2312" w:eastAsia="仿宋_GB2312" w:cs="仿宋_GB2312"/>
          <w:sz w:val="32"/>
          <w:szCs w:val="32"/>
          <w:lang w:val="zh-CN"/>
        </w:rPr>
        <w:t>增加教育系统葛玉莲等人部分借款和驻腰站子村工作队为民办实事欠拨经费（信访）。</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4.教育支出（类）教育管理事务（款）行政运行（项）:支出决算数为1,437.83万元，比上年决算减少531.88万元，下降27.00%，主要原因是：本年给各学校的维修经费较上年减少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5.教育支出（类）普通教育（款）其他普通教育支出（项）:支出决算数为312.52万元，比上年决算减少199.14万元，下降38.92%，主要原因是：</w:t>
      </w:r>
      <w:r>
        <w:rPr>
          <w:rFonts w:hint="eastAsia" w:ascii="仿宋_GB2312" w:hAnsi="仿宋_GB2312" w:eastAsia="仿宋_GB2312" w:cs="仿宋_GB2312"/>
          <w:sz w:val="32"/>
          <w:szCs w:val="32"/>
          <w:lang w:val="zh-CN"/>
        </w:rPr>
        <w:t>本年单位对各中小学和幼儿园自聘教师工资补助资金较上年减少。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6.资源勘探工业信息等支出（类）支持中小企业发展和管理支出（款）其他支持中小企业发展和管理支出（项）:支出决算数为145.57万元，比上年决算增加101.79万元，增长232.50%，主要原因是：本年我县</w:t>
      </w:r>
      <w:r>
        <w:rPr>
          <w:rFonts w:hint="eastAsia" w:ascii="仿宋_GB2312" w:eastAsia="仿宋_GB2312" w:cs="仿宋_GB2312"/>
          <w:sz w:val="32"/>
          <w:szCs w:val="32"/>
        </w:rPr>
        <w:t>各校购买办公设备经费较上年增加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7.教育支出（类）教育管理事务（款）其他教育管理事务支出（项）:支出决算数为128.03万元，比上年决算增加47.93万元，增长59.84%，主要原因是：</w:t>
      </w:r>
      <w:r>
        <w:rPr>
          <w:rFonts w:hint="eastAsia" w:ascii="仿宋_GB2312" w:hAnsi="仿宋_GB2312" w:eastAsia="仿宋_GB2312" w:cs="仿宋_GB2312"/>
          <w:sz w:val="32"/>
          <w:szCs w:val="32"/>
          <w:lang w:val="zh-CN"/>
        </w:rPr>
        <w:t>本年单位增加隐性债务工程欠款化解项目经费。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8.教育支出（类）普通教育（款）小学教育（项）:支出决算数为121.74万元，比上年决算减少272.05万元，下降69.09%，主要原因是：</w:t>
      </w:r>
      <w:r>
        <w:rPr>
          <w:rFonts w:hint="eastAsia" w:ascii="仿宋_GB2312" w:hAnsi="仿宋_GB2312" w:eastAsia="仿宋_GB2312" w:cs="仿宋_GB2312"/>
          <w:sz w:val="32"/>
          <w:szCs w:val="32"/>
          <w:lang w:val="zh-CN"/>
        </w:rPr>
        <w:t>本年我县</w:t>
      </w:r>
      <w:r>
        <w:rPr>
          <w:rFonts w:hint="eastAsia" w:ascii="仿宋_GB2312" w:eastAsia="仿宋_GB2312" w:cs="仿宋_GB2312"/>
          <w:sz w:val="32"/>
          <w:szCs w:val="32"/>
        </w:rPr>
        <w:t>部分小学合校，导致校园办公经费、人员经费等小于上年经费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9.教育支出（类）普通教育（款）学前教育（项）:支出决算数为1,527.17万元，比上年决算增加1,289.89万元，增长543.62%，主要原因是：本年单位补</w:t>
      </w:r>
      <w:r>
        <w:rPr>
          <w:rFonts w:hint="eastAsia" w:ascii="仿宋_GB2312" w:eastAsia="仿宋_GB2312" w:cs="仿宋_GB2312"/>
          <w:sz w:val="32"/>
          <w:szCs w:val="32"/>
        </w:rPr>
        <w:t>助民办幼儿园幼儿伙食费增加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10.教育支出（类）普通教育（款）高中教育（项）:支出决算数为4.44万元，比上年决算增加4.44万元，增长100%，主要原因是：</w:t>
      </w:r>
      <w:r>
        <w:rPr>
          <w:rFonts w:hint="eastAsia" w:ascii="仿宋_GB2312" w:hAnsi="仿宋_GB2312" w:eastAsia="仿宋_GB2312" w:cs="仿宋_GB2312"/>
          <w:sz w:val="32"/>
          <w:szCs w:val="32"/>
          <w:lang w:val="zh-CN"/>
        </w:rPr>
        <w:t>本年单位拨付各学校教师补贴资金增加。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11.教育支出（类）普通教育（款）初中教育（项）:支出决算数为24.98万元，比上年决算减少162.25万元，下降86.66%，主要原因是：</w:t>
      </w:r>
      <w:r>
        <w:rPr>
          <w:rFonts w:hint="eastAsia" w:ascii="仿宋_GB2312" w:hAnsi="仿宋_GB2312" w:eastAsia="仿宋_GB2312" w:cs="仿宋_GB2312"/>
          <w:sz w:val="32"/>
          <w:szCs w:val="32"/>
          <w:lang w:val="zh-CN"/>
        </w:rPr>
        <w:t>本年我县</w:t>
      </w:r>
      <w:r>
        <w:rPr>
          <w:rFonts w:hint="eastAsia" w:ascii="仿宋_GB2312" w:eastAsia="仿宋_GB2312" w:cs="仿宋_GB2312"/>
          <w:sz w:val="32"/>
          <w:szCs w:val="32"/>
        </w:rPr>
        <w:t>部分初中合校，导致校园办公经费、人员经费等小于上年经费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12.其他支出（类）其他支出（款）其他支出（项）:支出决算数为51.68万元，比上年决算增加51.68万元，增长100%，主要原因是：</w:t>
      </w:r>
      <w:r>
        <w:rPr>
          <w:rFonts w:hint="eastAsia" w:ascii="仿宋_GB2312" w:hAnsi="仿宋_GB2312" w:eastAsia="仿宋_GB2312" w:cs="仿宋_GB2312"/>
          <w:sz w:val="32"/>
          <w:szCs w:val="32"/>
          <w:lang w:val="zh-CN"/>
        </w:rPr>
        <w:t>本年单位增加各学校教师酒店住宿费。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13.教育支出（类）职业教育（款）中等职业教育（项）:支出决算数为0.00万元，比上年决算减少19.20万元，下降100%，主要原因是：</w:t>
      </w:r>
      <w:r>
        <w:rPr>
          <w:rFonts w:hint="eastAsia" w:ascii="仿宋_GB2312" w:eastAsia="仿宋_GB2312"/>
          <w:sz w:val="32"/>
          <w:szCs w:val="32"/>
          <w:lang w:val="zh-CN"/>
        </w:rPr>
        <w:t>单位科目调整，本科目减少学生助学金补助资金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14.社会保障和就业支出（类）行政事业单位养老支出（款）机关事业单位职业年金缴费支出（项）:支出决算数为0.00万元，比上年决算减少14.12万元，下降100%，主要原因是：</w:t>
      </w:r>
      <w:r>
        <w:rPr>
          <w:rFonts w:hint="eastAsia" w:ascii="仿宋_GB2312" w:eastAsia="仿宋_GB2312"/>
          <w:sz w:val="32"/>
          <w:szCs w:val="32"/>
          <w:lang w:val="zh-CN"/>
        </w:rPr>
        <w:t>本年无新增退休人员，减少退休人员</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1,497.59万元，其中：人员经费1,042.96万元，包括：基本工资、津贴补贴、奖金、绩效工资、机关事业单位基本养老保险缴费、职业年金缴费、职工基本医疗保险缴费、公务员医疗补助缴费、其他社会保障缴费、住房公积金、退休费、抚恤金、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公用经费454.63万元，包括：办公费、印刷费、水费、电费、邮电费、取暖费、差旅费、劳务费、公务用车运行维护费、其他交通费用、办公设备购置</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主要原因是：本年无此项经费；公务用车购置及运行维护费支出5.00万元，占100.00%，比上年增加0.00万元，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公务用车购置及运行维护费5.00万元，其中：公务用车购置费0.00万元，公务用车运行维护费5.00万元。公务用车运行维护费开支内容包括</w:t>
      </w:r>
      <w:bookmarkStart w:id="18" w:name="_Hlk176442988"/>
      <w:r>
        <w:rPr>
          <w:rFonts w:hint="eastAsia" w:ascii="仿宋_GB2312" w:eastAsia="仿宋_GB2312" w:cs="仿宋_GB2312"/>
          <w:kern w:val="0"/>
          <w:sz w:val="32"/>
          <w:szCs w:val="32"/>
        </w:rPr>
        <w:t>公务用车燃油费、车辆维修维护费、保险费、过路费等</w:t>
      </w:r>
      <w:bookmarkEnd w:id="18"/>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19" w:name="_Hlk181961318"/>
      <w:r>
        <w:rPr>
          <w:rFonts w:hint="eastAsia" w:ascii="仿宋_GB2312" w:eastAsia="仿宋_GB2312"/>
          <w:sz w:val="32"/>
          <w:szCs w:val="32"/>
          <w:lang w:val="zh-CN"/>
        </w:rPr>
        <w:t>国有资产车辆与公务用车保有量无差异</w:t>
      </w:r>
      <w:bookmarkEnd w:id="19"/>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预算数5.00万元，决算数5.00万元，预决算差异率0.00%，主要原因是：</w:t>
      </w:r>
      <w:bookmarkStart w:id="20" w:name="_Hlk176443013"/>
      <w:r>
        <w:rPr>
          <w:rFonts w:hint="eastAsia" w:ascii="仿宋_GB2312" w:eastAsia="仿宋_GB2312"/>
          <w:sz w:val="32"/>
          <w:szCs w:val="32"/>
          <w:lang w:val="zh-CN"/>
        </w:rPr>
        <w:t>本年严格按年初预算执行“三公”经费，预决算对比无差异</w:t>
      </w:r>
      <w:bookmarkEnd w:id="20"/>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预算数5.00万元，决算数5.00万元，预决算差异率0.00%，主要原因是：本年严格按年初预算执行“三公”经费，预决算对比无差异；公务接待费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pPr>
        <w:ind w:firstLine="640" w:firstLineChars="200"/>
        <w:jc w:val="left"/>
        <w:outlineLvl w:val="1"/>
        <w:rPr>
          <w:rFonts w:hint="eastAsia" w:ascii="黑体" w:hAnsi="黑体" w:eastAsia="黑体" w:cs="宋体"/>
          <w:bCs/>
          <w:kern w:val="0"/>
          <w:sz w:val="32"/>
          <w:szCs w:val="32"/>
        </w:rPr>
      </w:pPr>
      <w:bookmarkStart w:id="21" w:name="_Toc7927"/>
      <w:bookmarkStart w:id="22" w:name="_Toc5810"/>
      <w:r>
        <w:rPr>
          <w:rFonts w:hint="eastAsia" w:ascii="黑体" w:hAnsi="黑体" w:eastAsia="黑体" w:cs="宋体"/>
          <w:bCs/>
          <w:kern w:val="0"/>
          <w:sz w:val="32"/>
          <w:szCs w:val="32"/>
        </w:rPr>
        <w:t>八、政府性基金预算财政拨款收入支出决算情况说明</w:t>
      </w:r>
      <w:bookmarkEnd w:id="21"/>
      <w:bookmarkEnd w:id="22"/>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3" w:name="_Toc7314"/>
      <w:bookmarkStart w:id="24" w:name="_Toc1235"/>
      <w:r>
        <w:rPr>
          <w:rFonts w:hint="eastAsia" w:ascii="黑体" w:hAnsi="黑体" w:eastAsia="黑体" w:cs="宋体"/>
          <w:bCs/>
          <w:kern w:val="0"/>
          <w:sz w:val="32"/>
          <w:szCs w:val="32"/>
        </w:rPr>
        <w:t>十、其他重要事项的情况说明</w:t>
      </w:r>
      <w:bookmarkEnd w:id="23"/>
      <w:bookmarkEnd w:id="24"/>
    </w:p>
    <w:p>
      <w:pPr>
        <w:ind w:firstLine="640" w:firstLineChars="200"/>
        <w:jc w:val="left"/>
        <w:outlineLvl w:val="2"/>
        <w:rPr>
          <w:rFonts w:hint="eastAsia" w:ascii="黑体" w:hAnsi="黑体" w:eastAsia="黑体"/>
          <w:sz w:val="32"/>
          <w:szCs w:val="32"/>
        </w:rPr>
      </w:pPr>
      <w:bookmarkStart w:id="25" w:name="_Toc14519"/>
      <w:bookmarkStart w:id="26" w:name="_Toc13105"/>
      <w:r>
        <w:rPr>
          <w:rFonts w:hint="eastAsia" w:ascii="黑体" w:hAnsi="黑体" w:eastAsia="黑体"/>
          <w:sz w:val="32"/>
          <w:szCs w:val="32"/>
        </w:rPr>
        <w:t>（一）机关运行经费支出情况</w:t>
      </w:r>
      <w:bookmarkEnd w:id="25"/>
      <w:bookmarkEnd w:id="26"/>
    </w:p>
    <w:p>
      <w:pPr>
        <w:ind w:firstLine="640" w:firstLineChars="200"/>
        <w:rPr>
          <w:rFonts w:hint="eastAsia" w:ascii="仿宋_GB2312" w:hAnsi="仿宋_GB2312" w:eastAsia="仿宋_GB2312" w:cs="仿宋_GB2312"/>
          <w:sz w:val="32"/>
          <w:szCs w:val="32"/>
          <w:lang w:val="zh-CN"/>
        </w:rPr>
      </w:pPr>
      <w:bookmarkStart w:id="27" w:name="_Toc227"/>
      <w:bookmarkStart w:id="28"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奇台县教育局（行政单位和参照公务员法管理事业单位）机关运行经费支出454.63万元，</w:t>
      </w:r>
      <w:r>
        <w:rPr>
          <w:rFonts w:hint="eastAsia" w:ascii="仿宋_GB2312" w:hAnsi="仿宋_GB2312" w:eastAsia="仿宋_GB2312" w:cs="仿宋_GB2312"/>
          <w:sz w:val="32"/>
          <w:szCs w:val="32"/>
          <w:lang w:val="zh-CN"/>
        </w:rPr>
        <w:t>比上年减少1,272.86万元，下降73.68%，主要原因是：本年单位办公经费、取暖费等较上年减少。</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2023年度政府采购支出总额38.42万元，其中：政府采购货物支出14.18万元、政府采购工程支出0.05万元、政府采购服务支出24.19万元。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授予中小企业合同金额37.69万元，占政府采购支出总额的98.10%，其中：授予小微企业合同金额37.69万元，占政府采购支出总额的98.10%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9" w:name="_Toc4591"/>
      <w:bookmarkStart w:id="30" w:name="_Toc8391"/>
      <w:r>
        <w:rPr>
          <w:rFonts w:hint="eastAsia" w:eastAsia="黑体"/>
          <w:sz w:val="32"/>
          <w:szCs w:val="30"/>
          <w:lang w:val="zh-CN"/>
        </w:rPr>
        <w:t>（三）国有资产占用情况说明</w:t>
      </w:r>
      <w:bookmarkEnd w:id="29"/>
      <w:bookmarkEnd w:id="30"/>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788.34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屋4,798.69平方米，价值470.57万元。车辆2辆，价值34.83万元，其中：副部（省）级及以上领导用车0辆、主要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用车0辆、其他用车2辆，其他用车主要是：单位</w:t>
      </w:r>
      <w:r>
        <w:rPr>
          <w:rFonts w:hint="eastAsia" w:ascii="仿宋_GB2312" w:hAnsi="仿宋_GB2312" w:eastAsia="仿宋_GB2312" w:cs="仿宋_GB2312"/>
          <w:sz w:val="32"/>
          <w:szCs w:val="32"/>
        </w:rPr>
        <w:t>业</w:t>
      </w:r>
      <w:r>
        <w:rPr>
          <w:rFonts w:hint="eastAsia" w:ascii="仿宋_GB2312" w:hAnsi="仿宋_GB2312" w:eastAsia="仿宋_GB2312" w:cs="仿宋_GB2312"/>
          <w:sz w:val="32"/>
          <w:szCs w:val="32"/>
          <w:lang w:val="zh-CN"/>
        </w:rPr>
        <w:t>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31" w:name="_Toc11283"/>
      <w:bookmarkStart w:id="32" w:name="_Toc435"/>
      <w:r>
        <w:rPr>
          <w:rFonts w:hint="eastAsia" w:ascii="黑体" w:hAnsi="黑体" w:eastAsia="黑体" w:cs="宋体"/>
          <w:bCs/>
          <w:kern w:val="0"/>
          <w:sz w:val="32"/>
          <w:szCs w:val="32"/>
        </w:rPr>
        <w:t>十一、预算绩效的情况说明</w:t>
      </w:r>
      <w:bookmarkEnd w:id="31"/>
      <w:bookmarkEnd w:id="32"/>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9,864.17</w:t>
      </w:r>
      <w:r>
        <w:rPr>
          <w:rFonts w:hint="eastAsia" w:ascii="仿宋_GB2312" w:eastAsia="仿宋_GB2312"/>
          <w:sz w:val="32"/>
          <w:szCs w:val="32"/>
        </w:rPr>
        <w:t>万元，实际执行总额</w:t>
      </w:r>
      <w:r>
        <w:rPr>
          <w:rFonts w:ascii="仿宋_GB2312" w:eastAsia="仿宋_GB2312"/>
          <w:sz w:val="32"/>
          <w:szCs w:val="32"/>
        </w:rPr>
        <w:t>9,738.18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预算绩效评价项目16个，全年预算数</w:t>
      </w:r>
      <w:r>
        <w:rPr>
          <w:rFonts w:ascii="仿宋_GB2312" w:eastAsia="仿宋_GB2312"/>
          <w:sz w:val="32"/>
          <w:szCs w:val="32"/>
        </w:rPr>
        <w:t>11,157.04</w:t>
      </w:r>
      <w:r>
        <w:rPr>
          <w:rFonts w:hint="eastAsia" w:ascii="仿宋_GB2312" w:eastAsia="仿宋_GB2312"/>
          <w:sz w:val="32"/>
          <w:szCs w:val="32"/>
        </w:rPr>
        <w:t>万元，全年执行数</w:t>
      </w:r>
      <w:r>
        <w:rPr>
          <w:rFonts w:ascii="仿宋_GB2312" w:eastAsia="仿宋_GB2312"/>
          <w:sz w:val="32"/>
          <w:szCs w:val="32"/>
        </w:rPr>
        <w:t>9,806.31</w:t>
      </w:r>
      <w:r>
        <w:rPr>
          <w:rFonts w:hint="eastAsia" w:ascii="仿宋_GB2312" w:eastAsia="仿宋_GB2312"/>
          <w:sz w:val="32"/>
          <w:szCs w:val="32"/>
        </w:rPr>
        <w:t>万元。预算绩效管理取得的成效：一是不断改善行政管理、严格经费及资产管理，改进文风会风，精简会议，提高了行政效率，降低了行政成本；二是资金使用合规性不断提升，资金使用无截留、挤占、挪用、虚列支出等情况。发现的问题及原因：一是预算编制工作有待细化。预算编制不够明确和细化，预算编制的合理性需要提高，预算执行力度还要进一步加强；二是在绩效目标编制上依然有欠缺，绩效目标设立不够明确、细化和量化，对绩效分析也不够透彻。下一步改进措施:一是细化预算编制工作，认真做好预算的编制。进一步加强单位内部的预算管理意识，严格按照预算编制的相关制度和要求进行预算编制；二是加强财务管理，严格财务审核。加强单位财务管理，健全单位财务管理制度体系，规范单位财务行为。在费用报账支付时，按照预算规定的费用项目和用途进行资金使用审核、列报支付、财务核算，杜绝超支现象的发生。具体项目自评情况附绩效自评表及自评报告。</w:t>
      </w:r>
    </w:p>
    <w:p>
      <w:pPr>
        <w:jc w:val="center"/>
        <w:rPr>
          <w:rFonts w:hint="eastAsia" w:ascii="宋体" w:hAnsi="宋体" w:cs="宋体"/>
          <w:b/>
          <w:bCs/>
          <w:kern w:val="0"/>
          <w:sz w:val="28"/>
          <w:szCs w:val="28"/>
        </w:rPr>
      </w:pPr>
      <w:bookmarkStart w:id="33"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奇台县教育局</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4,460.59</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2,839.34</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2,839.34</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98.72%</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304.45</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304.45</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304.45</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3,307.30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1,213.48</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1,087.49</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6,710.61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5,506.90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5,506.90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14,782.95</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9,864.17</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9,738.18</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2023年教育系统将以习近平新时代中国特色社会主义思想为指导，深入学习贯彻党的二十大精神，</w:t>
            </w:r>
            <w:bookmarkStart w:id="52" w:name="_GoBack"/>
            <w:bookmarkEnd w:id="52"/>
            <w:r>
              <w:rPr>
                <w:rFonts w:ascii="宋体" w:hAnsi="宋体"/>
                <w:sz w:val="18"/>
              </w:rPr>
              <w:t>纵深推进教育领域综合改革，加快推进城乡教育一体化，全面提升教育教学质量，不断推进更高质量、更具内涵的教育公平。</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全面贯彻党的教育方针，落实立德树人根本任务，纵深推进教育领域综合改革，加快推进城乡教育一体化，全面提升教育教学质量，不断推进更高质量、更具内涵的教育公平。普惠性幼儿园覆盖率达到了100%，九年义务教育巩固率达到了101.9%，义务教育段适龄学生入学率达到了100%，残疾适龄儿童少年入学率达到了95%，巩固学前教育毛入园率达到了100%。</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普惠性幼儿园覆盖率</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&gt;=97%</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“十四五”规划</w:t>
            </w: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九年义务教育巩固率</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&gt;=97%</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101.9%</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义务教育段适龄学生入学率</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“十四五”规划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残疾适龄儿童少年入学率</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&gt;=95%</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“十四五”规划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95%</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巩固学前教育毛入园率</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&gt;=99%</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“十四五”规划</w:t>
            </w: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2023年义务教育保障机制经费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2,425.70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2,845.68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2,713.59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95.36%</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2,425.70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2,845.68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2,713.59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2845.68万元用于发放2023年义务教育保障机制经费，其中，小学人数14273人，初中人数6605人，随班就读残疾学生92人，寄宿生补助享受比例：寄宿生生活补助县城按寄宿生的40%补助，农村按寄宿生的100%补助。非寄宿生补助享受比例：非寄宿生生活补助按照非寄宿生占非寄宿在校生的30%测算。公用经费享受比例100%，资金发放及时率100%，小学寄宿生补助标准1250元，初中寄宿生补助标准1500元，初中生公用经费标准850元/生/年，小学公用经费标准小学公用经费标准，学生家庭经济负担有效降低，家长满意度、学生满意度、教师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小学人数：14273；初中人数：6605；随班就读残疾学生：92；特教人数：0；寄宿生补助享受比例：寄宿生生活补助县城按寄宿生的40%补助，农村按寄宿生的100%补助。；非寄宿生补助享受比例：非寄宿生生活补助按照非寄宿生占非寄宿在校生的30%测算。；公用经费享受比例：100；资金发放及时率：100；小学寄宿生补助标准：1250；初中寄宿生补助标准：1500；初中生公用经费标准：850；小学公用经费标准：650；特教寄宿生补助标准：1750；学生家庭经济负担：有效降低；家长满意度：95；学生满意度：95；教师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小学人数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=14273人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=14273人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初中人数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=6605人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=6605人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随班就读残疾学生</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特教人数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寄宿生补助享受比例</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寄宿生生活补助县城按寄宿生的40%补助，农村按寄宿生的100%补助。</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寄宿生生活补助县城按寄宿生的40%补助，农村按寄宿生的100%补助。</w:t>
            </w:r>
            <w:r>
              <w:rPr>
                <w:rFonts w:ascii="宋体" w:hAnsi="宋体"/>
                <w:sz w:val="18"/>
              </w:rPr>
              <w:tab/>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非寄宿生补助享受比例</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非寄宿生生活补助按照非寄宿生占非寄宿在校生的30%测算。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非寄宿生生活补助按照非寄宿生占非寄宿在校生的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公用经费享受比例</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资金发放及时率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小学寄宿生补助标准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=1250元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=1250元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初中寄宿生补助标准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初中生公用经费标准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=850元/生/年</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=850元/生/年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小学公用经费标准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=650元/生/年</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=650元/生/年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特教寄宿生补助标准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=1750元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=1750元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学生家庭经济负担</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有效降低</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有效降低</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3"/>
    </w:tbl>
    <w:p>
      <w:pPr>
        <w:jc w:val="center"/>
        <w:rPr>
          <w:rFonts w:hint="eastAsia" w:ascii="宋体" w:hAnsi="宋体" w:cs="宋体"/>
          <w:b/>
          <w:bCs/>
          <w:kern w:val="0"/>
          <w:sz w:val="28"/>
          <w:szCs w:val="28"/>
        </w:rPr>
      </w:pPr>
    </w:p>
    <w:p>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2023年地方教育费附加</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6"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650.00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454.18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454.18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650.00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454.18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454.18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650万元整地方教育费附加用于均衡发展城乡义务教育，修建中小学校舍，改善中小学和中等职业学校办学条件，保障各学校正常运转、完成教育教学活动和其他日常工作任务等支出。此项目涉及学校数量大于等于27所，此项目涉及学生人数大于等于21000人，教学设施利用率达到100%，教育教学年度业务考核合格率大于等于90%，学校校舍日常维修改造质量达标率达到100%，全县学校教育教学按期完成率达到100%，全县学校教育教学水平显著提高，政策知晓率大于等于90%，持续保障所有适龄孩子有学可上，有书可读，学校满意度大于等于90%，家长和学生满意度大于等于95%。</w:t>
            </w:r>
          </w:p>
        </w:tc>
        <w:tc>
          <w:tcPr>
            <w:tcW w:w="4536"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涉及学生人数：21000；教育教学年度业务考核合格率：90；全县学校教育教学按期完成率：100；教育教学年度业务考核及时率：100；全县学校教育教学按期及时率：100；项目预算控制率：100；政策知晓率：90；全县学校教育教学水平：显著提高；此项目涉及学校数量：27；学生满意度：95；学校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此项目涉及学校数量</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&gt;=27所</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=27所</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此项目涉及学生人数</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&gt;=21000人</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=21000人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教育教学年度业务考核合格率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全县学校教育教学按期完成率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教育教学年度业务考核及时率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全县学校教育教学按期及时率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政策知晓率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全县学校教育教学水平</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显著提高</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显著提高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学校满意度</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2023年学前教育保障机制经费</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1,615.20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1,730.19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1,260.91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72.88%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3.22</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1,615.20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1,730.19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1,260.91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1615.2万元用于发放2023年学前教育保障机制经费。涉及幼儿园数量36所，保障农村学前三年适龄幼儿人数5879人，农村学前国语教育覆盖率100%，农村学前三年免费教育覆盖率100%，免费读本按期发放率100%，保障机制补助经费发放周期2022-2023学年，幼儿生均保障标准2800元，保障适龄幼儿接受学前免费教育持续加强，家长满意度、学生满意度大于等于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农村学前三年适龄幼儿人数：5879；涉及幼儿园数量：36；农村学前国语教育覆盖率：100；农村学前三年免费教育覆盖率：100；免费读本按期发放率：100；保障机制补助经费发放周期：2022；幼儿生均保障标准：2800；保障适龄幼儿接受学前免费教育：持续加强；家长满意度：90；学生满意度：90</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保障农村学前三年适龄幼儿人数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&gt;=5879人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=5879人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涉及幼儿园数量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农村学前国语教育覆盖率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农村学前三年免费教育覆盖率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免费读本按期发放率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保障机制补助经费发放周期</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=2022-2023学年</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=2022-2023学年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幼儿生均保障标准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=2800元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保障适龄幼儿接受学前免费教育</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持续加强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持续加强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93.22分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2023年教育费附加</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954.00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482.80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413.26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85.60%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954.00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482.80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413.26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954万元整地方教育费附加用于均衡发展城乡义务教育，修建中小学校舍，改善中小学和中等职业学校办学条件，保障各学校正常运转、完成教育教学活动和其他日常工作任务等支出。此项目涉及学校数量大于等于27所，此项目涉及学生人数大于等于21000人，教学设施利用率达到100%，教育教学年度业务考核合格率大于等于90%，学校校舍日常维修改造质量达标率达到100%，全县学校教育教学按期完成率达到100%，全县学校教育教学水平显著提高，政策知晓率大于等于90%，持续保障所有适龄孩子有学可上，有书可读，学校满意度大于等于90%，家长和学生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此项目涉及学校数量：27；此项目涉及学生人数：21000；教育教学年度业务考核合格率：90；学校校舍日常维修改造质量达标率：100；教育教学年度业务考核及时率：100；学校校舍日常维修改造质量及时率：100；政策知晓率：90；全县学校教育教学水平：显著提高；学校满意度：90；学生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此项目涉及学校数量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&gt;=27所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此项目涉及学生人数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&gt;=21000人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=21000人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教育教学年度业务考核合格率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学校校舍日常维修改造质量达标率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教育教学年度业务考核及时率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学校校舍日常维修改造质量及时率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部分项目中标价低于预算价，项目预算控制率就有偏差。改进措施：今后对项目核算尽量更加精准，避免偏差。。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政策知晓率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全县学校教育教学水平</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显著提高</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显著提高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89.2分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2023年自聘教师工资</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232.44</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419.44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281.72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67.17%</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1.79</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232.44</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419.44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281.72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419.44万元整用于发放自聘教师工资，发放自聘教师人数大于等于95人，聘用人员学校数量大于等于36所，教师年度业务考核合格率100%，自聘教师持证上岗比例100%，教学计划按时完成，月人均工资小于等于4000元，教师工作积极性有限提高，教师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聘用人员学校数量：36；教师年度业务考核合格率：100；自聘教师持证上岗比例（%）：100；按时发放工资完成率：100；提高教师工作积极性：有效提高；教师满意度（%）：95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发放自聘教师人数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7.58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由于临聘教师流动性较大，人数不确定性，取平均人数。改进措施：下年度提高人数的准确性</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聘用人员学校数量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&gt;=36所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发放次数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=8次</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3.44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发放工资次数按照实际情况合并时间发放。故存在偏差，改进措施下年度及时合理支付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教师年度业务考核合格率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自聘教师持证上岗比例（%）</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按时发放工资完成率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月人均工资</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&lt;=4000元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=3500元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13.75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月工资考虑社保缴费，所以3500元+500元社保，实际社保未缴费。改进措施：下年度和财政对接，将社保缴纳</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提高教师工作积极性</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 （%）</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83.56分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ascii="宋体" w:hAnsi="宋体" w:cs="宋体"/>
          <w:b/>
          <w:bCs/>
          <w:kern w:val="0"/>
          <w:sz w:val="28"/>
          <w:szCs w:val="28"/>
        </w:rPr>
      </w:pPr>
    </w:p>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化解教育系统以前年度专项资金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364.00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1,748.63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1,725.84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98.70%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9.68</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364.00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1,748.63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1,725.84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364万元整用于义务教育薄弱环节改善与能力提升补助，项目建设涉及学校23所，项目合格率100%，建设项目及时合格率小于等于90%，项目预算控制率（%）小于等于100%，提升办学条件，消除大班额，教师、学生对综合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建设项目及时合格率：100；项目预算控制率（%：100；提升学校教育教学质量：有效提升；教师满意度：95；学生满意度：95；项目建设涉及学校：23；建设项目合格率：100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项目建设涉及学校</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建设项目合格率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建设项目及时合格率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=98.7%</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19.35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预算价和实际中标价存在偏差，改进措施：进一步加大对项目的精准核算，尽量做到无偏差。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提升学校教育教学质量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99.03分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拨付庆祝第39个教师节资金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4.5万元整用于保障教师节庆祝大会文艺汇演及教师节慰问活动，表彰优秀教育工作者人数30人，表彰援疆教师20人，慰问资金发放到位及时率100%，表彰完成及时率100%，项目预算控制率100%，慰问对象政策的知晓度&gt;=100%，教师满意度（%）&gt;=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教师满意度（%）：95；表彰优秀教育工作者人数：30；表彰援疆教师：20；慰问资金发放到位及时率（%）：100；表彰完成及时率：100%；项目预算控制率：100%；慰问对象政策的知晓度：100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表彰优秀教育工作者人数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表彰援疆教师</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慰问资金发放到位及时率（%）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表彰完成及时率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慰问对象政策的知晓度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 （%）</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拨付教育系统以前年度专项资金</w:t>
            </w:r>
          </w:p>
        </w:tc>
      </w:tr>
      <w:tr>
        <w:tblPrEx>
          <w:tblLayout w:type="fixed"/>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967.36</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967.36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943.82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97.57%</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967.36</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967.36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943.82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9673615.16元用于拨付以前年度专项资金。涉及幼儿园数量36所，保障农村学前三年适龄幼儿人数5879人，农村学前国语教育覆盖率100%，农村学前三年免费教育覆盖率100%，免费读本按期发放率100%，保障机制补助经费发放周期2022-2023学年，幼儿生均保障标准2800元，保障适龄幼儿接受学前免费教育持续加强，家长满意度、学生满意度大于等于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保障农村学前三年适龄幼儿人数：5879人；涉及幼儿园数量：36；农村学前国语教育覆盖率：100；农村学前三年免费教育覆盖率：100；免费读本按期发放率：100；保障适龄幼儿接受学前免费教育：持续加强；家长满意度：90；学生满意度：90；幼儿生均保障标准：2800元</w:t>
            </w:r>
          </w:p>
        </w:tc>
      </w:tr>
      <w:tr>
        <w:tblPrEx>
          <w:tblLayout w:type="fixed"/>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保障农村学前三年适龄幼儿人数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&gt;=5879人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=5879人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涉及幼儿园数量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&gt;=36所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农村学前国语教育覆盖率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农村学前三年免费教育覆盖率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免费读本按期发放率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幼儿生均保障标准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=2800元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保障适龄幼儿接受学前免费教育</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持续加强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持续加强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拨付教育系统倪坤明等5人部分借款</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70万元整用于拨付教育系统倪昆明等5人部分借款，债务支付笔数7笔，债务资金支付完成率100%，债务还款准确率100%，债务资金按期支付率100%，债务资金支付率100%，保障单位良好信用得到了有效保障，支付对象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债务支付笔数：7；债务资金支付完成率：100；债务还款准确率：100；债务资金按期支付率：100；债务资金支付率：100；保障单位良好信用：有效保障；支付对象满意度：95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=7笔</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6.43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有两笔合并一笔支付了，所以存在偏差，改进措施：以后更加精准核对支付的所有数据。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96.43分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援疆教师酒店隔离费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51.16</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51.16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51.16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51.16</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51.16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51.16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51.16万元整用于支付援疆教师酒店隔离费用，债务支付笔数1笔，债务资金支付完成率100%，债务还款准确率100%，债务资金按期支付率100%，债务资金支付率100%，单位良好信用得到有效保障，支付对象满意度小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债务资金按期支付率：100；债务资金支付率：100；债务支付笔数：1；保障单位良好信用：有效保障；支付对象满意度：95；债务资金支付完成率：100；债务还款准确率：100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=1笔</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昌州财教[2022]80号2023年自治区教育项目[不含直达]资金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42.00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199.10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120.92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60.73%</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0.18</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42.00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199.10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120.92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62.46万元整用于发放义务教育阶段班主任津贴补助经费，补助标准每班每月补助120元，补助班级493个，补助月数10个月，补助班主任覆盖率100%，项目完成时限2023年12月31日，涉及班主任工作积极性有效提高，班主任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补助班级：493；补助月份：10；补助班主任覆盖率：100；项目完成时限：2023年12月31日；补助标准：400；提高班主任工作积极性：有效提高；班主任满意度：90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补助班级</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=493个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补助月份</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=10个月</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=10个月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补助班主任覆盖率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2023年12月31日</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=2023年12月31日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补助标准</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=400元/月</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=400元/月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提高班主任工作积极性</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班主任满意度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90.18分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昌州财教[2022]81号2023年“三区”人才计划教师专项工作补助经费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20万元用于发放奇台县2023年“三区”人才计划教师专项工作补助，奇台县涉及“银龄计划”银龄讲学10人，都能胜任国家通用语言文字教学工作，专业条件100%。符合支教讲学条件100%，工作生活补助每年2万元，项目完成时限2023年12月31日，有效缓解边远地区学校师资短缺问题，支教老师满意度大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符合支教讲学条件：100%；工作生活补助：2；边远地区学校师资保障：有效保障；支教教师满意度（%）：95%；项目完成时限：2023/12/31；银龄讲学支教人数：20人；国家通用语言文字能力：100；专业条件：100%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银龄讲学支教人数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国家通用语言文字能力</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专业条件</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符合支教讲学条件</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项目完成时限</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2023/12/31</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=2023/12/31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工作生活补助</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=2万元/人/年</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=2万元/人/年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边远地区学校师资保障</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支教教师满意度 （%）</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昌州财教[2022]84号2023年义务教育薄弱环节改善与能力提升补助资金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513.00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513.00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503.77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98.20%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9.55</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513.00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513.00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503.77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513万元整用于义务教育薄弱环节改善与能力提升补助，项目建设涉及学校7所，项目合格率100%，设备采购质量合格率100%，年度计划完成率大于等于90%，成本节约率（%）100%，提升办学条件，消除大班额，教师、学生对项目的综合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项目建设涉及学校：7；建设项目合格率：100；设备采购质量合格率：90；建设项目完工及时率：100；66人以上班额：全面消除；教师、学生对项目的综合满意度：95；设备采购数量：70；56人以上大班额：进一步降低；学校教学质量：进一步提升；设备采购及时率：100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项目建设涉及学校</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设备采购数量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=70台</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=70台</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建设项目合格率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设备采购质量合格率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建设项目完工及时率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设备采购及时率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=98.2%</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19.1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中标价格低于预算价格，所以有偏差，改进措施：以后对项目预算更精准。</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66人以上班额</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全面消除</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全面消除</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56人以上大班额</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进一步降低</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进一步降低</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学校教学质量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进一步提升</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ab/>
            </w:r>
            <w:r>
              <w:rPr>
                <w:rFonts w:ascii="宋体" w:hAnsi="宋体"/>
                <w:sz w:val="18"/>
              </w:rPr>
              <w:t>进一步提升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教师、学生对项目的综合满意度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98.65分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昌州财教[2022]85号2023年特殊教育补助资金</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20万元整用于建设特殊教育资源教室，普通中小学特殊教育资源教室建设1间，涉及特殊教育学校1所，项目建设和设备配备进度100%，维修质量标准合格以上档次，设备质量符合国家标准，维修建设周期小于等于4个月，资金支出情况11月底支出完，教室各项设备采购大于等于15万元，特殊教育学校办学条件有效改善，采购设备持续使用年限大于等于20年，玩具设备类使用年限小于等于4年，残疾学生、家长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特殊教育资源中心建设：1；普通中小学特殊教育资源教室建设：1；设备质量达标率：100；预算控制率：100；改善特殊教育学校办学条件：有效改善；残疾学生、家长满意度：95；设备利用率（%）：100；项目建设完成的及时率：100；涉及购买设备种类：60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特殊教育资源中心建设</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普通中小学特殊教育资源教室建设</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=1间</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涉及购买设备种类</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&gt;=60种</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=60种</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设备质量达标率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项目建设完成的及时率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设备利用率（%）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改善特殊教育学校办学条件</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残疾学生、家长满意度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昌州财教[2022]86号关于提前下达2023年支持学前教育发展资金预算的通知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1,600.00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1,231.84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76.99%</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4.25</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1,600.00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1,231.84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1600万元整用于支持学前教育发展,涉及学校数量1所，学前三年毛入园率100%，普惠性幼儿园覆盖率100%，建设周期小于等于6个月，建设成本小于等于1600万元，项目覆盖学前段学生受益人数大于等于200人，学前教育办学条件有效改善，幼儿及家长满意度大于等于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幼儿园验收合格率：100；项目周期建设完成及时率：100；预算控制率：100；普惠性学前教育资源：不断扩大；学前教育服务能力水平：显著提高；学生满意度：95；涉及学校数量：1；学前三年毛入园率：90；普惠性幼儿园覆盖率：85；符合条件的农村家庭经济困难幼儿享受幼儿资助政策的比例：100；学前教育关注度、社会影响力：稳步提升；家长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涉及学校数量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=1所</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=1所</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学前三年毛入园率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普惠性幼儿园覆盖率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&gt;=85%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符合条件的农村家庭经济困难幼儿享受幼儿资助政策的比例</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幼儿园验收合格率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项目周期建设完成及时率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=76.99%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8.49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工程因进度未完工，故存在偏差，改进措施：督促企业按工程进度付款。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普惠性学前教育资源</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不断扩大</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得到扩大</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工程因进度未完工，故存在偏差，改进措施：完工后，教学资源将被利用。</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学前教育服务能力水平</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显著提高</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得到提高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工程因进度未完工，故存在偏差，改进措施：完工后，学校教育教学能力水平后期提高。</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学前教育关注度、社会影响力</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稳步提升</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得到提升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工程因进度未完工，故存在偏差，改进措施：学前教育关注度、社会影响力在完工后有效提升。</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学生满意度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家长满意度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74.74分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昌州财教[2023]36关于拨付2023年教育系统州级人才工作室和“庭州名师”育才专项行动经费的通知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奇台县教育局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21.18%</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51.00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本项目拟投入51万元整用于3个工作室专项补助经费，补助标准每个工作室5万元，“庭州名师”12人，每人3万元，合计51万元，项目完成时限2023年12月31日，涉及名师工作积极性得到提高，名师满意度达到95%。</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评选庭州名师人数：12人；评选州级人才工作室个数：3；评选工作涉及班级覆盖率：3；评选工作完成及时率：100；评选工作经费支付及时率：95%；提高奇台县教育教学质量水平：得到提高；教师满意度：95%</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评选庭州名师人数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评选州级人才工作室个数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评选工作涉及班级覆盖率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&gt;=3个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评选工作完成及时率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评选工作经费支付及时率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=21.18%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由于该项目启动时间为2023年9月以后，评选后第一批支付到2023年12月底，资金未支付出去，所以控制率较低。改进措施：下年度积极和财政对接，争取资金</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提高奇台县教育教学质量水平</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得到提高</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ab/>
            </w:r>
            <w:r>
              <w:rPr>
                <w:rFonts w:ascii="宋体" w:hAnsi="宋体"/>
                <w:sz w:val="18"/>
              </w:rPr>
              <w:t>得到提高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70分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ind w:firstLine="643" w:firstLineChars="200"/>
        <w:jc w:val="left"/>
        <w:rPr>
          <w:rFonts w:hint="eastAsia" w:ascii="仿宋_GB2312" w:hAnsi="仿宋_GB2312" w:eastAsia="仿宋_GB2312" w:cs="仿宋_GB2312"/>
          <w:b/>
          <w:bCs/>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4" w:name="_Toc3250"/>
      <w:bookmarkStart w:id="35"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4"/>
      <w:bookmarkEnd w:id="35"/>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6" w:name="_Toc2183"/>
      <w:bookmarkStart w:id="37" w:name="_Toc6062"/>
      <w:r>
        <w:rPr>
          <w:rFonts w:hint="eastAsia" w:ascii="黑体" w:hAnsi="黑体" w:eastAsia="仿宋_GB2312" w:cs="宋体"/>
          <w:bCs/>
          <w:kern w:val="0"/>
          <w:sz w:val="32"/>
          <w:szCs w:val="32"/>
        </w:rPr>
        <w:t>一、《收入支出决算总表》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30364"/>
      <w:bookmarkStart w:id="39" w:name="_Toc24532"/>
      <w:r>
        <w:rPr>
          <w:rFonts w:hint="eastAsia" w:ascii="黑体" w:hAnsi="黑体" w:eastAsia="仿宋_GB2312" w:cs="宋体"/>
          <w:bCs/>
          <w:kern w:val="0"/>
          <w:sz w:val="32"/>
          <w:szCs w:val="32"/>
        </w:rPr>
        <w:t>二、《收入决算表》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32434"/>
      <w:bookmarkStart w:id="41" w:name="_Toc21304"/>
      <w:r>
        <w:rPr>
          <w:rFonts w:hint="eastAsia" w:ascii="黑体" w:hAnsi="黑体" w:eastAsia="仿宋_GB2312" w:cs="宋体"/>
          <w:bCs/>
          <w:kern w:val="0"/>
          <w:sz w:val="32"/>
          <w:szCs w:val="32"/>
        </w:rPr>
        <w:t>三、《支出决算表》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14238"/>
      <w:bookmarkStart w:id="43" w:name="_Toc28786"/>
      <w:r>
        <w:rPr>
          <w:rFonts w:hint="eastAsia" w:ascii="黑体" w:hAnsi="黑体" w:eastAsia="仿宋_GB2312" w:cs="宋体"/>
          <w:bCs/>
          <w:kern w:val="0"/>
          <w:sz w:val="32"/>
          <w:szCs w:val="32"/>
        </w:rPr>
        <w:t>四、《财政拨款收入支出决算总表》</w:t>
      </w:r>
      <w:bookmarkEnd w:id="42"/>
      <w:bookmarkEnd w:id="43"/>
    </w:p>
    <w:p>
      <w:pPr>
        <w:ind w:firstLine="640" w:firstLineChars="200"/>
        <w:outlineLvl w:val="1"/>
        <w:rPr>
          <w:rFonts w:hint="eastAsia" w:ascii="黑体" w:hAnsi="黑体" w:eastAsia="仿宋_GB2312" w:cs="宋体"/>
          <w:bCs/>
          <w:kern w:val="0"/>
          <w:sz w:val="32"/>
          <w:szCs w:val="32"/>
        </w:rPr>
      </w:pPr>
      <w:bookmarkStart w:id="44" w:name="_Toc10347"/>
      <w:bookmarkStart w:id="45" w:name="_Toc14869"/>
      <w:r>
        <w:rPr>
          <w:rFonts w:hint="eastAsia" w:ascii="黑体" w:hAnsi="黑体" w:eastAsia="仿宋_GB2312" w:cs="宋体"/>
          <w:bCs/>
          <w:kern w:val="0"/>
          <w:sz w:val="32"/>
          <w:szCs w:val="32"/>
        </w:rPr>
        <w:t>五、《一般公共预算财政拨款支出决算表》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8884"/>
      <w:bookmarkStart w:id="47" w:name="_Toc5626"/>
      <w:r>
        <w:rPr>
          <w:rFonts w:hint="eastAsia" w:ascii="黑体" w:hAnsi="黑体" w:eastAsia="仿宋_GB2312" w:cs="宋体"/>
          <w:bCs/>
          <w:kern w:val="0"/>
          <w:sz w:val="32"/>
          <w:szCs w:val="32"/>
        </w:rPr>
        <w:t>六、《一般公共预算财政拨款基本支出决算表》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8" w:name="_Toc32663"/>
      <w:bookmarkStart w:id="49" w:name="_Toc29106"/>
      <w:r>
        <w:rPr>
          <w:rFonts w:hint="eastAsia" w:ascii="黑体" w:hAnsi="黑体" w:eastAsia="仿宋_GB2312" w:cs="宋体"/>
          <w:bCs/>
          <w:kern w:val="0"/>
          <w:sz w:val="32"/>
          <w:szCs w:val="32"/>
        </w:rPr>
        <w:t>《财政拨款“三公”经费支出决算表》</w:t>
      </w:r>
      <w:bookmarkEnd w:id="48"/>
      <w:bookmarkEnd w:id="49"/>
    </w:p>
    <w:p>
      <w:pPr>
        <w:ind w:firstLine="640" w:firstLineChars="200"/>
        <w:outlineLvl w:val="1"/>
        <w:rPr>
          <w:rFonts w:hint="eastAsia" w:ascii="黑体" w:hAnsi="黑体" w:eastAsia="仿宋_GB2312" w:cs="宋体"/>
          <w:bCs/>
          <w:kern w:val="0"/>
          <w:sz w:val="32"/>
          <w:szCs w:val="32"/>
        </w:rPr>
      </w:pPr>
      <w:bookmarkStart w:id="50" w:name="_Toc7643"/>
      <w:bookmarkStart w:id="51" w:name="_Toc5453"/>
      <w:r>
        <w:rPr>
          <w:rFonts w:hint="eastAsia" w:ascii="黑体" w:hAnsi="黑体" w:eastAsia="仿宋_GB2312" w:cs="宋体"/>
          <w:bCs/>
          <w:kern w:val="0"/>
          <w:sz w:val="32"/>
          <w:szCs w:val="32"/>
        </w:rPr>
        <w:t>八、《政府性基金预算财政拨款收入支出决算表》</w:t>
      </w:r>
      <w:bookmarkEnd w:id="50"/>
      <w:bookmarkEnd w:id="51"/>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69283F"/>
    <w:rsid w:val="00062313"/>
    <w:rsid w:val="000E0D7A"/>
    <w:rsid w:val="00114231"/>
    <w:rsid w:val="001710DE"/>
    <w:rsid w:val="00213C59"/>
    <w:rsid w:val="003210CE"/>
    <w:rsid w:val="003C27E0"/>
    <w:rsid w:val="003E4AC2"/>
    <w:rsid w:val="003E76CD"/>
    <w:rsid w:val="0069283F"/>
    <w:rsid w:val="006C558E"/>
    <w:rsid w:val="006E32F6"/>
    <w:rsid w:val="0099478D"/>
    <w:rsid w:val="00B314BA"/>
    <w:rsid w:val="00B70D59"/>
    <w:rsid w:val="00CC4A89"/>
    <w:rsid w:val="00CF01F4"/>
    <w:rsid w:val="00D7410F"/>
    <w:rsid w:val="00D90482"/>
    <w:rsid w:val="00DA63D1"/>
    <w:rsid w:val="00DE058E"/>
    <w:rsid w:val="00DF24E7"/>
    <w:rsid w:val="00E4550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EF66684"/>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FC52DD"/>
    <w:rsid w:val="2F3F0A28"/>
    <w:rsid w:val="2FBF7029"/>
    <w:rsid w:val="2FD0187F"/>
    <w:rsid w:val="2FD27414"/>
    <w:rsid w:val="2FFE4BB0"/>
    <w:rsid w:val="300E7B60"/>
    <w:rsid w:val="300F6E18"/>
    <w:rsid w:val="30862F5F"/>
    <w:rsid w:val="30A4775A"/>
    <w:rsid w:val="314029C9"/>
    <w:rsid w:val="31C63837"/>
    <w:rsid w:val="31C82E39"/>
    <w:rsid w:val="32601BAD"/>
    <w:rsid w:val="329F6389"/>
    <w:rsid w:val="332553E6"/>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B01D26"/>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3773</Words>
  <Characters>21507</Characters>
  <Lines>179</Lines>
  <Paragraphs>50</Paragraphs>
  <TotalTime>84</TotalTime>
  <ScaleCrop>false</ScaleCrop>
  <LinksUpToDate>false</LinksUpToDate>
  <CharactersWithSpaces>25230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2025-06-13T04:49:15Z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