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77FA2">
      <w:pPr>
        <w:rPr>
          <w:rFonts w:hint="eastAsia" w:ascii="黑体" w:hAnsi="黑体" w:eastAsia="黑体"/>
          <w:sz w:val="32"/>
          <w:szCs w:val="32"/>
        </w:rPr>
      </w:pPr>
    </w:p>
    <w:p w14:paraId="6E580DBD">
      <w:pPr>
        <w:jc w:val="center"/>
        <w:rPr>
          <w:rFonts w:hint="eastAsia" w:ascii="方正小标宋_GBK" w:hAnsi="宋体" w:eastAsia="方正小标宋_GBK"/>
          <w:sz w:val="44"/>
          <w:szCs w:val="44"/>
        </w:rPr>
      </w:pPr>
    </w:p>
    <w:p w14:paraId="43140C16">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奇台县发展和改革委员会</w:t>
      </w:r>
    </w:p>
    <w:p w14:paraId="73208EB7">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431003CF">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586EE374">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3118CF61">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1FD887D8">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50E0278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42588F5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5A804377">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05A908E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40C7ED4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50E752D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556251A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37E3796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2CB5BA1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52B1C5D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0900E5F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0282E211">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7227558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6A091474">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79629302">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55AEB101">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29C9682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2EAE6702">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73B27756">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2099269D">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2E6B1EF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5E90B47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706809E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6251BAF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747F595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5493723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37917B8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633CB1D3">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2A7EC5F1">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5C7C83AB">
      <w:r>
        <w:rPr>
          <w:rFonts w:hint="eastAsia" w:ascii="仿宋_GB2312" w:hAnsi="仿宋_GB2312" w:eastAsia="仿宋_GB2312" w:cs="仿宋_GB2312"/>
          <w:sz w:val="32"/>
          <w:szCs w:val="32"/>
        </w:rPr>
        <w:fldChar w:fldCharType="end"/>
      </w:r>
    </w:p>
    <w:p w14:paraId="2FD41E26">
      <w:pPr>
        <w:rPr>
          <w:rFonts w:ascii="仿宋_GB2312" w:eastAsia="仿宋_GB2312"/>
          <w:sz w:val="32"/>
          <w:szCs w:val="32"/>
        </w:rPr>
      </w:pPr>
      <w:r>
        <w:rPr>
          <w:rFonts w:hint="eastAsia" w:ascii="仿宋_GB2312" w:eastAsia="仿宋_GB2312"/>
          <w:sz w:val="32"/>
          <w:szCs w:val="32"/>
        </w:rPr>
        <w:br w:type="page"/>
      </w:r>
    </w:p>
    <w:p w14:paraId="77956846">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39CE48C8">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39CAE42B">
      <w:pPr>
        <w:ind w:firstLine="640" w:firstLineChars="200"/>
        <w:rPr>
          <w:rFonts w:ascii="仿宋_GB2312" w:eastAsia="仿宋_GB2312"/>
          <w:sz w:val="32"/>
          <w:szCs w:val="32"/>
        </w:rPr>
      </w:pPr>
      <w:r>
        <w:rPr>
          <w:rFonts w:hint="eastAsia" w:ascii="仿宋_GB2312" w:eastAsia="仿宋_GB2312"/>
          <w:sz w:val="32"/>
          <w:szCs w:val="32"/>
        </w:rPr>
        <w:t>（1）贯彻执行国家和自治区国民经济和社会发展方针、政策。研究提出奇台县国民经济和社会发展战略、中长期规划和年度发展计划，统筹协调经济社会发展，提出国民经济发展、价格总水平调控和优化重大经济结构的目标、政策，提出综合运用各种经济手段和政策的建议；组织研究、协调实施重点专项规划，衔接、平衡各部门（园区）及主要行业的规划；受县人民政府委托向县人大提交国民经济和社会发展计划的报告。</w:t>
      </w:r>
    </w:p>
    <w:p w14:paraId="37A01259">
      <w:pPr>
        <w:ind w:firstLine="640" w:firstLineChars="200"/>
        <w:rPr>
          <w:rFonts w:ascii="仿宋_GB2312" w:eastAsia="仿宋_GB2312"/>
          <w:sz w:val="32"/>
          <w:szCs w:val="32"/>
        </w:rPr>
      </w:pPr>
      <w:r>
        <w:rPr>
          <w:rFonts w:hint="eastAsia" w:ascii="仿宋_GB2312" w:eastAsia="仿宋_GB2312"/>
          <w:sz w:val="32"/>
          <w:szCs w:val="32"/>
        </w:rPr>
        <w:t>（2）负责监测宏观经济和社会发展态势，承担预测预警和信息引导的责任。提出促进奇台县经济高质量发展的政策建议；研究涉及奇台县经济安全及总体产业安全等重要问题并提出政策措施和建议；负责国民经济动员办公室的工作。</w:t>
      </w:r>
    </w:p>
    <w:p w14:paraId="12ECBA2D">
      <w:pPr>
        <w:ind w:firstLine="640" w:firstLineChars="200"/>
        <w:rPr>
          <w:rFonts w:ascii="仿宋_GB2312" w:eastAsia="仿宋_GB2312"/>
          <w:sz w:val="32"/>
          <w:szCs w:val="32"/>
        </w:rPr>
      </w:pPr>
      <w:r>
        <w:rPr>
          <w:rFonts w:hint="eastAsia" w:ascii="仿宋_GB2312" w:eastAsia="仿宋_GB2312"/>
          <w:sz w:val="32"/>
          <w:szCs w:val="32"/>
        </w:rPr>
        <w:t>（3）汇总分析奇台县财政、金融、产业、价格政策等方面的情况和执行效果，提出建议。拟订并组织实施价格政策；制定和调整政府管理的重要商品价格、服务价格和收费项目、标准；发布重大价格信息，规范市场价格行为等。</w:t>
      </w:r>
    </w:p>
    <w:p w14:paraId="1EAEFBA9">
      <w:pPr>
        <w:ind w:firstLine="640" w:firstLineChars="200"/>
        <w:rPr>
          <w:rFonts w:ascii="仿宋_GB2312" w:eastAsia="仿宋_GB2312"/>
          <w:sz w:val="32"/>
          <w:szCs w:val="32"/>
        </w:rPr>
      </w:pPr>
      <w:r>
        <w:rPr>
          <w:rFonts w:hint="eastAsia" w:ascii="仿宋_GB2312" w:eastAsia="仿宋_GB2312"/>
          <w:sz w:val="32"/>
          <w:szCs w:val="32"/>
        </w:rPr>
        <w:t>（4）承担综合协调经济体制改革的责任。参与研究制定经济体制改革和对外开放的重大问题，组织拟订综合性经济体制改革方案，协调有关专项经济体制改革方案；组织制定区域经济协调发展规划和政策；推进西部大开发战略和重大政策的实施；推进全县城镇化建设。跟踪调查小城镇改革与发展、非国有经济改革与发展政策措施执行情况，及时提出对策建议；参与研究论证县涉外经济体制改革；指导有关部门和各乡镇的经济体制改革工作。</w:t>
      </w:r>
    </w:p>
    <w:p w14:paraId="39F9356C">
      <w:pPr>
        <w:ind w:firstLine="640" w:firstLineChars="200"/>
        <w:rPr>
          <w:rFonts w:ascii="仿宋_GB2312" w:eastAsia="仿宋_GB2312"/>
          <w:sz w:val="32"/>
          <w:szCs w:val="32"/>
        </w:rPr>
      </w:pPr>
      <w:r>
        <w:rPr>
          <w:rFonts w:hint="eastAsia" w:ascii="仿宋_GB2312" w:eastAsia="仿宋_GB2312"/>
          <w:sz w:val="32"/>
          <w:szCs w:val="32"/>
        </w:rPr>
        <w:t>（5）承担规划重大建设项目和生产力布局的责任。研究提出全社会固定资产投资总规模和投资方向，规划重点项目和生产力布局；负责重点项目的管理和组织协调；按照管理权限，负责审核上报、审批、核准、备案各行业固定资产投资项目；组织实施固定资产投资项目节能评估工作；指导和协调招投标工作，负责重点项目招投标活动有关监督管理工作。</w:t>
      </w:r>
    </w:p>
    <w:p w14:paraId="28833E76">
      <w:pPr>
        <w:ind w:firstLine="640" w:firstLineChars="200"/>
        <w:rPr>
          <w:rFonts w:ascii="仿宋_GB2312" w:eastAsia="仿宋_GB2312"/>
          <w:sz w:val="32"/>
          <w:szCs w:val="32"/>
        </w:rPr>
      </w:pPr>
      <w:r>
        <w:rPr>
          <w:rFonts w:hint="eastAsia" w:ascii="仿宋_GB2312" w:eastAsia="仿宋_GB2312"/>
          <w:sz w:val="32"/>
          <w:szCs w:val="32"/>
        </w:rPr>
        <w:t>（6）推进产业结构调整和升级。组织拟订综合性产业政策，负责协调第一、二、三产业发展的重大问题，做好与国民经济和社会发展规划、计划的衔接平衡；提出国民经济重要产业的发展战略和规划，组织审核上报、审批专项规划；研究并协调农业和农村经济社会发展的有关重大问题，衔接农村专项规划和政策；拟订并实施以工代赈规划和计划。</w:t>
      </w:r>
    </w:p>
    <w:p w14:paraId="4E00009F">
      <w:pPr>
        <w:ind w:firstLine="640" w:firstLineChars="200"/>
        <w:rPr>
          <w:rFonts w:ascii="仿宋_GB2312" w:eastAsia="仿宋_GB2312"/>
          <w:sz w:val="32"/>
          <w:szCs w:val="32"/>
        </w:rPr>
      </w:pPr>
      <w:r>
        <w:rPr>
          <w:rFonts w:hint="eastAsia" w:ascii="仿宋_GB2312" w:eastAsia="仿宋_GB2312"/>
          <w:sz w:val="32"/>
          <w:szCs w:val="32"/>
        </w:rPr>
        <w:t>（7）研究提出能源发展战略、规划，贯彻执行国家、自治区、自治州有关发展能源工业的方针政策、法律、法规，负责全县能源安全监督管理工作，组织协调全县能演安全的技术开发、推广和先进技术的引进、合作和交流，提供信息、技术、管理、咨询服务。</w:t>
      </w:r>
    </w:p>
    <w:p w14:paraId="71249FBD">
      <w:pPr>
        <w:ind w:firstLine="640" w:firstLineChars="200"/>
        <w:rPr>
          <w:rFonts w:ascii="仿宋_GB2312" w:eastAsia="仿宋_GB2312"/>
          <w:sz w:val="32"/>
          <w:szCs w:val="32"/>
        </w:rPr>
      </w:pPr>
      <w:r>
        <w:rPr>
          <w:rFonts w:hint="eastAsia" w:ascii="仿宋_GB2312" w:eastAsia="仿宋_GB2312"/>
          <w:sz w:val="32"/>
          <w:szCs w:val="32"/>
        </w:rPr>
        <w:t>（8）研究提出奇台县利用外资的发展战略、总量平衡和结构优化的目标和政策并监测运行情况。按照管理权限，负责审核上报国外贷款项目、外商直接投资项目和境外投资项目；会同有关部门协调和审查利用重大内外资项目。</w:t>
      </w:r>
    </w:p>
    <w:p w14:paraId="2510F68B">
      <w:pPr>
        <w:ind w:firstLine="640" w:firstLineChars="200"/>
        <w:rPr>
          <w:rFonts w:ascii="仿宋_GB2312" w:eastAsia="仿宋_GB2312"/>
          <w:sz w:val="32"/>
          <w:szCs w:val="32"/>
        </w:rPr>
      </w:pPr>
      <w:r>
        <w:rPr>
          <w:rFonts w:hint="eastAsia" w:ascii="仿宋_GB2312" w:eastAsia="仿宋_GB2312"/>
          <w:sz w:val="32"/>
          <w:szCs w:val="32"/>
        </w:rPr>
        <w:t>（9）承担重要商品的总量平衡和宏观调控的责任。研究提出地方储备粮油和物资储备规划、储备品种目录的建议；负责组织实施粮油、棉花、食糖、食盐等重要商品储备、轮换和投放计划；组织实施地方储备粮油、棉花、食糖、食盐等物资的储备、轮换和日常管理；按要求承担全县救灾物资采购和储备管理工作，落实有关动用计划和指令。承担粮食监测预警和应急责任；负责粮食流通行政管理、行业指导。</w:t>
      </w:r>
    </w:p>
    <w:p w14:paraId="16CF0718">
      <w:pPr>
        <w:ind w:firstLine="640" w:firstLineChars="200"/>
        <w:rPr>
          <w:rFonts w:ascii="仿宋_GB2312" w:eastAsia="仿宋_GB2312"/>
          <w:sz w:val="32"/>
          <w:szCs w:val="32"/>
        </w:rPr>
      </w:pPr>
      <w:r>
        <w:rPr>
          <w:rFonts w:hint="eastAsia" w:ascii="仿宋_GB2312" w:eastAsia="仿宋_GB2312"/>
          <w:sz w:val="32"/>
          <w:szCs w:val="32"/>
        </w:rPr>
        <w:t>（10）负责社会发展与国民经济发展的政策衔接，组织拟订社会发展战略，总体规划和年度计划。参与拟定人口规划、科学技术、教育、文化、卫生、民政等社会事业发展政策，协调奇台县社会事业发展的重大问题；研究提出促进就业、调整收入分配、完善社会保障与经济协调发展的措施和建议。</w:t>
      </w:r>
    </w:p>
    <w:p w14:paraId="1F4FD9F8">
      <w:pPr>
        <w:ind w:firstLine="640" w:firstLineChars="200"/>
        <w:rPr>
          <w:rFonts w:ascii="仿宋_GB2312" w:eastAsia="仿宋_GB2312"/>
          <w:sz w:val="32"/>
          <w:szCs w:val="32"/>
        </w:rPr>
      </w:pPr>
      <w:r>
        <w:rPr>
          <w:rFonts w:hint="eastAsia" w:ascii="仿宋_GB2312" w:eastAsia="仿宋_GB2312"/>
          <w:sz w:val="32"/>
          <w:szCs w:val="32"/>
        </w:rPr>
        <w:t>（11）推进可持续发展战略，负责全社会节能综合协调工作。会同有关部门研究提出生态建设、环境保护规划、资源节约综合利用规划和计划，协调生态建设、环保产业和资源节约综合利用的重大问题。</w:t>
      </w:r>
    </w:p>
    <w:p w14:paraId="5569C60D">
      <w:pPr>
        <w:ind w:firstLine="640" w:firstLineChars="200"/>
        <w:rPr>
          <w:rFonts w:ascii="仿宋_GB2312" w:eastAsia="仿宋_GB2312"/>
          <w:sz w:val="32"/>
          <w:szCs w:val="32"/>
        </w:rPr>
      </w:pPr>
      <w:r>
        <w:rPr>
          <w:rFonts w:hint="eastAsia" w:ascii="仿宋_GB2312" w:eastAsia="仿宋_GB2312"/>
          <w:sz w:val="32"/>
          <w:szCs w:val="32"/>
        </w:rPr>
        <w:t>（12）完成县党委、县人民政府交办的其他任务。</w:t>
      </w:r>
    </w:p>
    <w:p w14:paraId="55DFBB16">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03191715">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奇台县发展和改革委员会2023年度，实有人数</w:t>
      </w:r>
      <w:r>
        <w:rPr>
          <w:rFonts w:hint="eastAsia" w:ascii="仿宋_GB2312" w:eastAsia="仿宋_GB2312"/>
          <w:sz w:val="32"/>
          <w:szCs w:val="32"/>
          <w:lang w:val="zh-CN"/>
        </w:rPr>
        <w:t>70</w:t>
      </w:r>
      <w:r>
        <w:rPr>
          <w:rFonts w:hint="eastAsia" w:ascii="仿宋_GB2312" w:eastAsia="仿宋_GB2312"/>
          <w:sz w:val="32"/>
          <w:szCs w:val="32"/>
        </w:rPr>
        <w:t>人，其中：在职人员</w:t>
      </w:r>
      <w:r>
        <w:rPr>
          <w:rFonts w:hint="eastAsia" w:ascii="仿宋_GB2312" w:eastAsia="仿宋_GB2312"/>
          <w:sz w:val="32"/>
          <w:szCs w:val="32"/>
          <w:lang w:val="zh-CN"/>
        </w:rPr>
        <w:t>40</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30</w:t>
      </w:r>
      <w:r>
        <w:rPr>
          <w:rFonts w:hint="eastAsia" w:ascii="仿宋_GB2312" w:eastAsia="仿宋_GB2312"/>
          <w:sz w:val="32"/>
          <w:szCs w:val="32"/>
        </w:rPr>
        <w:t>人。</w:t>
      </w:r>
    </w:p>
    <w:p w14:paraId="4B2A1FC4">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党政办公室、国防动员委员会和国民经济动员办公室、重点项目投资室、能源综合业务室、价格和价格收费管理室、粮食和物资储备室。</w:t>
      </w:r>
    </w:p>
    <w:p w14:paraId="691291D5">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087188DA">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069BB8F7">
      <w:pPr>
        <w:ind w:firstLine="640" w:firstLineChars="200"/>
        <w:jc w:val="left"/>
        <w:rPr>
          <w:rFonts w:ascii="仿宋_GB2312" w:eastAsia="仿宋_GB2312"/>
          <w:sz w:val="32"/>
          <w:szCs w:val="32"/>
        </w:rPr>
      </w:pPr>
      <w:r>
        <w:rPr>
          <w:rFonts w:hint="eastAsia" w:ascii="仿宋_GB2312" w:eastAsia="仿宋_GB2312"/>
          <w:sz w:val="32"/>
          <w:szCs w:val="32"/>
        </w:rPr>
        <w:t>2023年度收入总计2,315.31万元，其中：本年收入合计2,315.31万元，使用非财政拨款结余0.00万元，年初结转和结余0.00万元。</w:t>
      </w:r>
    </w:p>
    <w:p w14:paraId="1F137DD3">
      <w:pPr>
        <w:ind w:firstLine="640" w:firstLineChars="200"/>
        <w:jc w:val="left"/>
        <w:rPr>
          <w:rFonts w:ascii="仿宋_GB2312" w:eastAsia="仿宋_GB2312"/>
          <w:sz w:val="32"/>
          <w:szCs w:val="32"/>
        </w:rPr>
      </w:pPr>
      <w:r>
        <w:rPr>
          <w:rFonts w:hint="eastAsia" w:ascii="仿宋_GB2312" w:eastAsia="仿宋_GB2312"/>
          <w:sz w:val="32"/>
          <w:szCs w:val="32"/>
        </w:rPr>
        <w:t>2023年度支出总计2,315.31万元，其中：本年支出合计2,315.31万元，结余分配0.00万元，年末结转和结余0.00万元。</w:t>
      </w:r>
    </w:p>
    <w:p w14:paraId="49CED3EE">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增加1,520.36万元</w:t>
      </w:r>
      <w:r>
        <w:rPr>
          <w:rFonts w:hint="eastAsia" w:ascii="仿宋_GB2312" w:eastAsia="仿宋_GB2312"/>
          <w:sz w:val="32"/>
          <w:szCs w:val="32"/>
        </w:rPr>
        <w:t>，增长191.25%，主要原因是：</w:t>
      </w:r>
      <w:r>
        <w:rPr>
          <w:rFonts w:hint="eastAsia" w:ascii="仿宋_GB2312" w:hAnsi="仿宋_GB2312" w:eastAsia="仿宋_GB2312" w:cs="仿宋_GB2312"/>
          <w:sz w:val="32"/>
          <w:szCs w:val="32"/>
          <w:lang w:val="zh-CN"/>
        </w:rPr>
        <w:t>单位本年自治区为民办实事、办好事社区工作专项项目经费增加</w:t>
      </w:r>
      <w:r>
        <w:rPr>
          <w:rFonts w:hint="eastAsia" w:ascii="仿宋_GB2312" w:eastAsia="仿宋_GB2312"/>
          <w:sz w:val="32"/>
          <w:szCs w:val="32"/>
        </w:rPr>
        <w:t>。</w:t>
      </w:r>
    </w:p>
    <w:p w14:paraId="1EA527DB">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40F6C098">
      <w:pPr>
        <w:ind w:firstLine="640" w:firstLineChars="200"/>
        <w:jc w:val="left"/>
        <w:rPr>
          <w:rFonts w:ascii="仿宋_GB2312" w:eastAsia="仿宋_GB2312"/>
          <w:sz w:val="32"/>
          <w:szCs w:val="32"/>
        </w:rPr>
      </w:pPr>
      <w:r>
        <w:rPr>
          <w:rFonts w:hint="eastAsia" w:ascii="仿宋_GB2312" w:eastAsia="仿宋_GB2312"/>
          <w:sz w:val="32"/>
          <w:szCs w:val="32"/>
        </w:rPr>
        <w:t>本年收入2,315.31万元，其中：财政拨款收入</w:t>
      </w:r>
      <w:r>
        <w:rPr>
          <w:rFonts w:hint="eastAsia" w:ascii="仿宋_GB2312" w:eastAsia="仿宋_GB2312"/>
          <w:sz w:val="32"/>
          <w:szCs w:val="32"/>
          <w:lang w:val="zh-CN"/>
        </w:rPr>
        <w:t>2,315.18</w:t>
      </w:r>
      <w:r>
        <w:rPr>
          <w:rFonts w:hint="eastAsia" w:ascii="仿宋_GB2312" w:eastAsia="仿宋_GB2312"/>
          <w:sz w:val="32"/>
          <w:szCs w:val="32"/>
        </w:rPr>
        <w:t>万元，占</w:t>
      </w:r>
      <w:r>
        <w:rPr>
          <w:rFonts w:hint="eastAsia" w:ascii="仿宋_GB2312" w:eastAsia="仿宋_GB2312"/>
          <w:sz w:val="32"/>
          <w:szCs w:val="32"/>
          <w:lang w:val="zh-CN"/>
        </w:rPr>
        <w:t>99.99%</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0.12</w:t>
      </w:r>
      <w:r>
        <w:rPr>
          <w:rFonts w:hint="eastAsia" w:ascii="仿宋_GB2312" w:eastAsia="仿宋_GB2312"/>
          <w:sz w:val="32"/>
          <w:szCs w:val="32"/>
        </w:rPr>
        <w:t>万元，占</w:t>
      </w:r>
      <w:r>
        <w:rPr>
          <w:rFonts w:hint="eastAsia" w:ascii="仿宋_GB2312" w:eastAsia="仿宋_GB2312"/>
          <w:sz w:val="32"/>
          <w:szCs w:val="32"/>
          <w:lang w:val="zh-CN"/>
        </w:rPr>
        <w:t>0.01%</w:t>
      </w:r>
      <w:r>
        <w:rPr>
          <w:rFonts w:hint="eastAsia" w:ascii="仿宋_GB2312" w:eastAsia="仿宋_GB2312"/>
          <w:sz w:val="32"/>
          <w:szCs w:val="32"/>
        </w:rPr>
        <w:t>。</w:t>
      </w:r>
    </w:p>
    <w:p w14:paraId="55475E5C">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2DFBD2C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本年支出2,315.31万元，其中：基本支出688.28万元，占29.73%；项目支出1,627.03万元，占70.27%；上缴上级支出0.00万元，占0.00%；经营支出0.00万元，占0.00%；对附属单位补助支出0.00万元，占0.00%。</w:t>
      </w:r>
    </w:p>
    <w:p w14:paraId="30D1F097">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01079199">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2,315.18</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2,315.18</w:t>
      </w:r>
      <w:r>
        <w:rPr>
          <w:rFonts w:hint="eastAsia" w:ascii="仿宋_GB2312" w:eastAsia="仿宋_GB2312"/>
          <w:sz w:val="32"/>
          <w:szCs w:val="32"/>
        </w:rPr>
        <w:t>万元。财政拨款支出总计</w:t>
      </w:r>
      <w:r>
        <w:rPr>
          <w:rFonts w:hint="eastAsia" w:ascii="仿宋_GB2312" w:eastAsia="仿宋_GB2312"/>
          <w:sz w:val="32"/>
          <w:szCs w:val="32"/>
          <w:lang w:val="zh-CN"/>
        </w:rPr>
        <w:t>2,315.18</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2,315.18</w:t>
      </w:r>
      <w:r>
        <w:rPr>
          <w:rFonts w:hint="eastAsia" w:ascii="仿宋_GB2312" w:eastAsia="仿宋_GB2312"/>
          <w:sz w:val="32"/>
          <w:szCs w:val="32"/>
        </w:rPr>
        <w:t>万元。</w:t>
      </w:r>
    </w:p>
    <w:p w14:paraId="1A694BAA">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增加1,520.40万元</w:t>
      </w:r>
      <w:r>
        <w:rPr>
          <w:rFonts w:hint="eastAsia" w:ascii="仿宋_GB2312" w:eastAsia="仿宋_GB2312"/>
          <w:sz w:val="32"/>
          <w:szCs w:val="32"/>
        </w:rPr>
        <w:t>，增长191.30%,主要原因是：</w:t>
      </w:r>
      <w:r>
        <w:rPr>
          <w:rFonts w:hint="eastAsia" w:ascii="仿宋_GB2312" w:hAnsi="仿宋_GB2312" w:eastAsia="仿宋_GB2312" w:cs="仿宋_GB2312"/>
          <w:sz w:val="32"/>
          <w:szCs w:val="32"/>
          <w:lang w:val="zh-CN"/>
        </w:rPr>
        <w:t>单位本年自治区为民办实事、办好事社区工作专项项目经费增加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606.51</w:t>
      </w:r>
      <w:r>
        <w:rPr>
          <w:rFonts w:hint="eastAsia" w:ascii="仿宋_GB2312" w:eastAsia="仿宋_GB2312"/>
          <w:sz w:val="32"/>
          <w:szCs w:val="32"/>
        </w:rPr>
        <w:t>万元，决算数</w:t>
      </w:r>
      <w:r>
        <w:rPr>
          <w:rFonts w:hint="eastAsia" w:ascii="仿宋_GB2312" w:eastAsia="仿宋_GB2312"/>
          <w:sz w:val="32"/>
          <w:szCs w:val="32"/>
          <w:lang w:val="zh-CN"/>
        </w:rPr>
        <w:t>2,315.18</w:t>
      </w:r>
      <w:r>
        <w:rPr>
          <w:rFonts w:hint="eastAsia" w:ascii="仿宋_GB2312" w:eastAsia="仿宋_GB2312"/>
          <w:sz w:val="32"/>
          <w:szCs w:val="32"/>
        </w:rPr>
        <w:t>万元，预决算差异率281.72%，主要原因是：年中追加</w:t>
      </w:r>
      <w:r>
        <w:rPr>
          <w:rFonts w:hint="eastAsia" w:ascii="仿宋_GB2312" w:hAnsi="仿宋_GB2312" w:eastAsia="仿宋_GB2312" w:cs="仿宋_GB2312"/>
          <w:sz w:val="32"/>
          <w:szCs w:val="32"/>
          <w:lang w:val="zh-CN"/>
        </w:rPr>
        <w:t>新疆裕隆丰源气体有限公司化工尾气碳捕集与氢能综合利用项目经费</w:t>
      </w:r>
      <w:r>
        <w:rPr>
          <w:rFonts w:hint="eastAsia" w:ascii="仿宋_GB2312" w:eastAsia="仿宋_GB2312"/>
          <w:sz w:val="32"/>
          <w:szCs w:val="32"/>
        </w:rPr>
        <w:t>。</w:t>
      </w:r>
    </w:p>
    <w:p w14:paraId="54886B42">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1087B8A8">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41C3AF97">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2023年度一般公共预算财政拨款支出2,315.18万元，占本年支出合计的</w:t>
      </w:r>
      <w:r>
        <w:rPr>
          <w:rFonts w:hint="eastAsia" w:ascii="仿宋_GB2312" w:eastAsia="仿宋_GB2312"/>
          <w:sz w:val="32"/>
          <w:szCs w:val="32"/>
          <w:lang w:val="zh-CN"/>
        </w:rPr>
        <w:t>99.99%</w:t>
      </w:r>
      <w:r>
        <w:rPr>
          <w:rFonts w:hint="eastAsia" w:ascii="仿宋_GB2312" w:eastAsia="仿宋_GB2312"/>
          <w:sz w:val="32"/>
          <w:szCs w:val="32"/>
        </w:rPr>
        <w:t>。与上年相比，</w:t>
      </w:r>
      <w:r>
        <w:rPr>
          <w:rFonts w:hint="eastAsia" w:ascii="仿宋_GB2312" w:eastAsia="仿宋_GB2312"/>
          <w:sz w:val="32"/>
          <w:szCs w:val="32"/>
          <w:lang w:val="zh-CN"/>
        </w:rPr>
        <w:t>增加1,520.40万元</w:t>
      </w:r>
      <w:r>
        <w:rPr>
          <w:rFonts w:hint="eastAsia" w:ascii="仿宋_GB2312" w:eastAsia="仿宋_GB2312"/>
          <w:sz w:val="32"/>
          <w:szCs w:val="32"/>
        </w:rPr>
        <w:t>，增长191.30%,主要原因是：</w:t>
      </w:r>
      <w:r>
        <w:rPr>
          <w:rFonts w:hint="eastAsia" w:ascii="仿宋_GB2312" w:hAnsi="仿宋_GB2312" w:eastAsia="仿宋_GB2312" w:cs="仿宋_GB2312"/>
          <w:sz w:val="32"/>
          <w:szCs w:val="32"/>
          <w:lang w:val="zh-CN"/>
        </w:rPr>
        <w:t>单位本年自治区为民办实事、办好事社区工作专项项目经费增加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606.51</w:t>
      </w:r>
      <w:r>
        <w:rPr>
          <w:rFonts w:hint="eastAsia" w:ascii="仿宋_GB2312" w:eastAsia="仿宋_GB2312"/>
          <w:sz w:val="32"/>
          <w:szCs w:val="32"/>
        </w:rPr>
        <w:t>万元，决算数</w:t>
      </w:r>
      <w:r>
        <w:rPr>
          <w:rFonts w:hint="eastAsia" w:ascii="仿宋_GB2312" w:eastAsia="仿宋_GB2312"/>
          <w:sz w:val="32"/>
          <w:szCs w:val="32"/>
          <w:lang w:val="zh-CN"/>
        </w:rPr>
        <w:t>2,315.18</w:t>
      </w:r>
      <w:r>
        <w:rPr>
          <w:rFonts w:hint="eastAsia" w:ascii="仿宋_GB2312" w:eastAsia="仿宋_GB2312"/>
          <w:sz w:val="32"/>
          <w:szCs w:val="32"/>
        </w:rPr>
        <w:t>万元，预决算差异率</w:t>
      </w:r>
      <w:r>
        <w:rPr>
          <w:rFonts w:hint="eastAsia" w:ascii="仿宋_GB2312" w:eastAsia="仿宋_GB2312"/>
          <w:sz w:val="32"/>
          <w:szCs w:val="32"/>
          <w:lang w:val="zh-CN"/>
        </w:rPr>
        <w:t>281.72%</w:t>
      </w:r>
      <w:r>
        <w:rPr>
          <w:rFonts w:hint="eastAsia" w:ascii="仿宋_GB2312" w:eastAsia="仿宋_GB2312"/>
          <w:sz w:val="32"/>
          <w:szCs w:val="32"/>
        </w:rPr>
        <w:t>，主要原因是：年中追加</w:t>
      </w:r>
      <w:r>
        <w:rPr>
          <w:rFonts w:hint="eastAsia" w:ascii="仿宋_GB2312" w:hAnsi="仿宋_GB2312" w:eastAsia="仿宋_GB2312" w:cs="仿宋_GB2312"/>
          <w:sz w:val="32"/>
          <w:szCs w:val="32"/>
          <w:lang w:val="zh-CN"/>
        </w:rPr>
        <w:t>新疆裕隆丰源气体有限公司化工尾气碳捕集与氢能综合利用项目经费</w:t>
      </w:r>
      <w:r>
        <w:rPr>
          <w:rFonts w:hint="eastAsia" w:ascii="仿宋_GB2312" w:eastAsia="仿宋_GB2312"/>
          <w:sz w:val="32"/>
          <w:szCs w:val="32"/>
        </w:rPr>
        <w:t>。</w:t>
      </w:r>
    </w:p>
    <w:p w14:paraId="0B34144B">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67FB2BF4">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581.08</w:t>
      </w:r>
      <w:r>
        <w:rPr>
          <w:rFonts w:ascii="仿宋_GB2312" w:eastAsia="仿宋_GB2312"/>
          <w:kern w:val="2"/>
          <w:sz w:val="32"/>
          <w:szCs w:val="32"/>
          <w:lang w:val="zh-CN"/>
        </w:rPr>
        <w:t>万元，占</w:t>
      </w:r>
      <w:r>
        <w:rPr>
          <w:rFonts w:hint="eastAsia" w:ascii="仿宋_GB2312" w:eastAsia="仿宋_GB2312"/>
          <w:kern w:val="2"/>
          <w:sz w:val="32"/>
          <w:szCs w:val="32"/>
          <w:lang w:val="zh-CN"/>
        </w:rPr>
        <w:t>25.10%</w:t>
      </w:r>
      <w:r>
        <w:rPr>
          <w:rFonts w:ascii="仿宋_GB2312" w:eastAsia="仿宋_GB2312"/>
          <w:kern w:val="2"/>
          <w:sz w:val="32"/>
          <w:szCs w:val="32"/>
          <w:lang w:val="zh-CN"/>
        </w:rPr>
        <w:t>；</w:t>
      </w:r>
    </w:p>
    <w:p w14:paraId="29D21E03">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159.41</w:t>
      </w:r>
      <w:r>
        <w:rPr>
          <w:rFonts w:ascii="仿宋_GB2312" w:eastAsia="仿宋_GB2312"/>
          <w:kern w:val="2"/>
          <w:sz w:val="32"/>
          <w:szCs w:val="32"/>
          <w:lang w:val="zh-CN"/>
        </w:rPr>
        <w:t>万元，占</w:t>
      </w:r>
      <w:r>
        <w:rPr>
          <w:rFonts w:hint="eastAsia" w:ascii="仿宋_GB2312" w:eastAsia="仿宋_GB2312"/>
          <w:kern w:val="2"/>
          <w:sz w:val="32"/>
          <w:szCs w:val="32"/>
          <w:lang w:val="zh-CN"/>
        </w:rPr>
        <w:t>6.89%</w:t>
      </w:r>
      <w:r>
        <w:rPr>
          <w:rFonts w:ascii="仿宋_GB2312" w:eastAsia="仿宋_GB2312"/>
          <w:kern w:val="2"/>
          <w:sz w:val="32"/>
          <w:szCs w:val="32"/>
          <w:lang w:val="zh-CN"/>
        </w:rPr>
        <w:t>；</w:t>
      </w:r>
    </w:p>
    <w:p w14:paraId="7CD621EB">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3</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31.86</w:t>
      </w:r>
      <w:r>
        <w:rPr>
          <w:rFonts w:ascii="仿宋_GB2312" w:eastAsia="仿宋_GB2312"/>
          <w:kern w:val="2"/>
          <w:sz w:val="32"/>
          <w:szCs w:val="32"/>
          <w:lang w:val="zh-CN"/>
        </w:rPr>
        <w:t>万元，占</w:t>
      </w:r>
      <w:r>
        <w:rPr>
          <w:rFonts w:hint="eastAsia" w:ascii="仿宋_GB2312" w:eastAsia="仿宋_GB2312"/>
          <w:kern w:val="2"/>
          <w:sz w:val="32"/>
          <w:szCs w:val="32"/>
          <w:lang w:val="zh-CN"/>
        </w:rPr>
        <w:t>1.38%</w:t>
      </w:r>
      <w:r>
        <w:rPr>
          <w:rFonts w:ascii="仿宋_GB2312" w:eastAsia="仿宋_GB2312"/>
          <w:kern w:val="2"/>
          <w:sz w:val="32"/>
          <w:szCs w:val="32"/>
          <w:lang w:val="zh-CN"/>
        </w:rPr>
        <w:t>；</w:t>
      </w:r>
    </w:p>
    <w:p w14:paraId="3DE0237D">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4</w:t>
      </w:r>
      <w:r>
        <w:rPr>
          <w:rFonts w:ascii="仿宋_GB2312" w:eastAsia="仿宋_GB2312"/>
          <w:kern w:val="2"/>
          <w:sz w:val="32"/>
          <w:szCs w:val="32"/>
          <w:lang w:val="zh-CN"/>
        </w:rPr>
        <w:t>.节能环保支出（类）</w:t>
      </w:r>
      <w:r>
        <w:rPr>
          <w:rFonts w:hint="eastAsia" w:ascii="仿宋_GB2312" w:eastAsia="仿宋_GB2312"/>
          <w:kern w:val="2"/>
          <w:sz w:val="32"/>
          <w:szCs w:val="32"/>
          <w:lang w:val="zh-CN"/>
        </w:rPr>
        <w:t>1,200.00</w:t>
      </w:r>
      <w:r>
        <w:rPr>
          <w:rFonts w:ascii="仿宋_GB2312" w:eastAsia="仿宋_GB2312"/>
          <w:kern w:val="2"/>
          <w:sz w:val="32"/>
          <w:szCs w:val="32"/>
          <w:lang w:val="zh-CN"/>
        </w:rPr>
        <w:t>万元，占</w:t>
      </w:r>
      <w:r>
        <w:rPr>
          <w:rFonts w:hint="eastAsia" w:ascii="仿宋_GB2312" w:eastAsia="仿宋_GB2312"/>
          <w:kern w:val="2"/>
          <w:sz w:val="32"/>
          <w:szCs w:val="32"/>
          <w:lang w:val="zh-CN"/>
        </w:rPr>
        <w:t>51.83%</w:t>
      </w:r>
      <w:r>
        <w:rPr>
          <w:rFonts w:ascii="仿宋_GB2312" w:eastAsia="仿宋_GB2312"/>
          <w:kern w:val="2"/>
          <w:sz w:val="32"/>
          <w:szCs w:val="32"/>
          <w:lang w:val="zh-CN"/>
        </w:rPr>
        <w:t>；</w:t>
      </w:r>
    </w:p>
    <w:p w14:paraId="5ABE5AA2">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5</w:t>
      </w:r>
      <w:r>
        <w:rPr>
          <w:rFonts w:ascii="仿宋_GB2312" w:eastAsia="仿宋_GB2312"/>
          <w:kern w:val="2"/>
          <w:sz w:val="32"/>
          <w:szCs w:val="32"/>
          <w:lang w:val="zh-CN"/>
        </w:rPr>
        <w:t>.资源勘探信息等支出（类）</w:t>
      </w:r>
      <w:r>
        <w:rPr>
          <w:rFonts w:hint="eastAsia" w:ascii="仿宋_GB2312" w:eastAsia="仿宋_GB2312"/>
          <w:kern w:val="2"/>
          <w:sz w:val="32"/>
          <w:szCs w:val="32"/>
          <w:lang w:val="zh-CN"/>
        </w:rPr>
        <w:t>5.00</w:t>
      </w:r>
      <w:r>
        <w:rPr>
          <w:rFonts w:ascii="仿宋_GB2312" w:eastAsia="仿宋_GB2312"/>
          <w:kern w:val="2"/>
          <w:sz w:val="32"/>
          <w:szCs w:val="32"/>
          <w:lang w:val="zh-CN"/>
        </w:rPr>
        <w:t>万元，占</w:t>
      </w:r>
      <w:r>
        <w:rPr>
          <w:rFonts w:hint="eastAsia" w:ascii="仿宋_GB2312" w:eastAsia="仿宋_GB2312"/>
          <w:kern w:val="2"/>
          <w:sz w:val="32"/>
          <w:szCs w:val="32"/>
          <w:lang w:val="zh-CN"/>
        </w:rPr>
        <w:t>0.22%</w:t>
      </w:r>
      <w:r>
        <w:rPr>
          <w:rFonts w:ascii="仿宋_GB2312" w:eastAsia="仿宋_GB2312"/>
          <w:kern w:val="2"/>
          <w:sz w:val="32"/>
          <w:szCs w:val="32"/>
          <w:lang w:val="zh-CN"/>
        </w:rPr>
        <w:t>；</w:t>
      </w:r>
    </w:p>
    <w:p w14:paraId="53A7EC17">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6</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44.08</w:t>
      </w:r>
      <w:r>
        <w:rPr>
          <w:rFonts w:ascii="仿宋_GB2312" w:eastAsia="仿宋_GB2312"/>
          <w:kern w:val="2"/>
          <w:sz w:val="32"/>
          <w:szCs w:val="32"/>
          <w:lang w:val="zh-CN"/>
        </w:rPr>
        <w:t>万元，占</w:t>
      </w:r>
      <w:r>
        <w:rPr>
          <w:rFonts w:hint="eastAsia" w:ascii="仿宋_GB2312" w:eastAsia="仿宋_GB2312"/>
          <w:kern w:val="2"/>
          <w:sz w:val="32"/>
          <w:szCs w:val="32"/>
          <w:lang w:val="zh-CN"/>
        </w:rPr>
        <w:t>1.90%</w:t>
      </w:r>
      <w:r>
        <w:rPr>
          <w:rFonts w:ascii="仿宋_GB2312" w:eastAsia="仿宋_GB2312"/>
          <w:kern w:val="2"/>
          <w:sz w:val="32"/>
          <w:szCs w:val="32"/>
          <w:lang w:val="zh-CN"/>
        </w:rPr>
        <w:t>；</w:t>
      </w:r>
    </w:p>
    <w:p w14:paraId="6C191621">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7</w:t>
      </w:r>
      <w:r>
        <w:rPr>
          <w:rFonts w:ascii="仿宋_GB2312" w:eastAsia="仿宋_GB2312"/>
          <w:kern w:val="2"/>
          <w:sz w:val="32"/>
          <w:szCs w:val="32"/>
          <w:lang w:val="zh-CN"/>
        </w:rPr>
        <w:t>.粮油物资储备支出（类）</w:t>
      </w:r>
      <w:r>
        <w:rPr>
          <w:rFonts w:hint="eastAsia" w:ascii="仿宋_GB2312" w:eastAsia="仿宋_GB2312"/>
          <w:kern w:val="2"/>
          <w:sz w:val="32"/>
          <w:szCs w:val="32"/>
          <w:lang w:val="zh-CN"/>
        </w:rPr>
        <w:t>197.09</w:t>
      </w:r>
      <w:r>
        <w:rPr>
          <w:rFonts w:ascii="仿宋_GB2312" w:eastAsia="仿宋_GB2312"/>
          <w:kern w:val="2"/>
          <w:sz w:val="32"/>
          <w:szCs w:val="32"/>
          <w:lang w:val="zh-CN"/>
        </w:rPr>
        <w:t>万元，占</w:t>
      </w:r>
      <w:r>
        <w:rPr>
          <w:rFonts w:hint="eastAsia" w:ascii="仿宋_GB2312" w:eastAsia="仿宋_GB2312"/>
          <w:kern w:val="2"/>
          <w:sz w:val="32"/>
          <w:szCs w:val="32"/>
          <w:lang w:val="zh-CN"/>
        </w:rPr>
        <w:t>8.51%</w:t>
      </w:r>
      <w:r>
        <w:rPr>
          <w:rFonts w:ascii="仿宋_GB2312" w:eastAsia="仿宋_GB2312"/>
          <w:kern w:val="2"/>
          <w:sz w:val="32"/>
          <w:szCs w:val="32"/>
          <w:lang w:val="zh-CN"/>
        </w:rPr>
        <w:t>；</w:t>
      </w:r>
    </w:p>
    <w:p w14:paraId="1972DFC9">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8</w:t>
      </w:r>
      <w:r>
        <w:rPr>
          <w:rFonts w:ascii="仿宋_GB2312" w:eastAsia="仿宋_GB2312"/>
          <w:kern w:val="2"/>
          <w:sz w:val="32"/>
          <w:szCs w:val="32"/>
          <w:lang w:val="zh-CN"/>
        </w:rPr>
        <w:t>.其他支出（类）</w:t>
      </w:r>
      <w:r>
        <w:rPr>
          <w:rFonts w:hint="eastAsia" w:ascii="仿宋_GB2312" w:eastAsia="仿宋_GB2312"/>
          <w:kern w:val="2"/>
          <w:sz w:val="32"/>
          <w:szCs w:val="32"/>
          <w:lang w:val="zh-CN"/>
        </w:rPr>
        <w:t>96.67</w:t>
      </w:r>
      <w:r>
        <w:rPr>
          <w:rFonts w:ascii="仿宋_GB2312" w:eastAsia="仿宋_GB2312"/>
          <w:kern w:val="2"/>
          <w:sz w:val="32"/>
          <w:szCs w:val="32"/>
          <w:lang w:val="zh-CN"/>
        </w:rPr>
        <w:t>万元，占</w:t>
      </w:r>
      <w:r>
        <w:rPr>
          <w:rFonts w:hint="eastAsia" w:ascii="仿宋_GB2312" w:eastAsia="仿宋_GB2312"/>
          <w:kern w:val="2"/>
          <w:sz w:val="32"/>
          <w:szCs w:val="32"/>
          <w:lang w:val="zh-CN"/>
        </w:rPr>
        <w:t>4.18%。</w:t>
      </w:r>
    </w:p>
    <w:p w14:paraId="66FFD5CB">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7FB9BA4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1.卫生健康支出（类）行政事业单位医疗（款）行政单位医疗（项）:支出决算数为28.26万元，比上年决算增加0.30万元，增长1.07%，主要原因是：</w:t>
      </w:r>
      <w:r>
        <w:rPr>
          <w:rFonts w:hint="eastAsia" w:ascii="仿宋_GB2312" w:hAnsi="仿宋_GB2312" w:eastAsia="仿宋_GB2312" w:cs="仿宋_GB2312"/>
          <w:sz w:val="32"/>
          <w:szCs w:val="32"/>
          <w:lang w:val="zh-CN"/>
        </w:rPr>
        <w:t>单位本年行政医疗基数上调，相应职工医疗缴费增加。</w:t>
      </w:r>
    </w:p>
    <w:p w14:paraId="132C982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2.卫生健康支出（类）行政事业单位医疗（款）公务员医疗补助（项）:支出决算数为3.60万元，比上年决算减少5.23万元，下降59.23%，主要原因是：</w:t>
      </w:r>
      <w:r>
        <w:rPr>
          <w:rFonts w:hint="eastAsia" w:ascii="仿宋_GB2312" w:hAnsi="仿宋_GB2312" w:eastAsia="仿宋_GB2312" w:cs="仿宋_GB2312"/>
          <w:sz w:val="32"/>
          <w:szCs w:val="32"/>
          <w:lang w:val="zh-CN"/>
        </w:rPr>
        <w:t>单位本年公务员医疗缴费基数下调，相应公务员医疗缴费减少。</w:t>
      </w:r>
    </w:p>
    <w:p w14:paraId="30D5DFF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3.住房保障支出（类）住房改革支出（款）住房公积金（项）:支出决算数为44.08万元，比上年决算增加19.92万元，增长82.45%，主要原因是：</w:t>
      </w:r>
      <w:r>
        <w:rPr>
          <w:rFonts w:hint="eastAsia" w:ascii="仿宋_GB2312" w:hAnsi="仿宋_GB2312" w:eastAsia="仿宋_GB2312" w:cs="仿宋_GB2312"/>
          <w:sz w:val="32"/>
          <w:szCs w:val="32"/>
          <w:lang w:val="zh-CN"/>
        </w:rPr>
        <w:t>单位本年公积金缴费基数上调，相应人员公积金缴费增加。</w:t>
      </w:r>
    </w:p>
    <w:p w14:paraId="17FDF1B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4.社会保障和就业支出（类）抚恤（款）死亡抚恤（项）:支出决算数为78.78万元，比上年决算增加51.36万元，增长187.31%，主要原因是：单位本年</w:t>
      </w:r>
      <w:r>
        <w:rPr>
          <w:rFonts w:hint="eastAsia" w:ascii="仿宋_GB2312" w:hAnsi="仿宋_GB2312" w:eastAsia="仿宋_GB2312" w:cs="仿宋_GB2312"/>
          <w:sz w:val="32"/>
          <w:szCs w:val="32"/>
          <w:lang w:val="zh-CN"/>
        </w:rPr>
        <w:t>人员丧葬费、抚恤金较上年增加。</w:t>
      </w:r>
    </w:p>
    <w:p w14:paraId="042F551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5.资源勘探工业信息等支出（类）支持中小企业发展和管理支出（款）其他支持中小企业发展和管理支出（项）:支出决算数为5.00万元，比上年决算减少20.00万元，下降80.00%，主要原因是：</w:t>
      </w:r>
      <w:r>
        <w:rPr>
          <w:rFonts w:hint="eastAsia" w:ascii="仿宋_GB2312" w:hAnsi="仿宋_GB2312" w:eastAsia="仿宋_GB2312" w:cs="仿宋_GB2312"/>
          <w:sz w:val="32"/>
          <w:szCs w:val="32"/>
          <w:lang w:val="zh-CN"/>
        </w:rPr>
        <w:t>奇台县本年第一批中小企业欠款项目化解资金减少。</w:t>
      </w:r>
    </w:p>
    <w:p w14:paraId="26E0627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6.社会保障和就业支出（类）行政事业单位养老支出（款）行政单位离退休（项）:支出决算数为15.09万元，比上年决算增加15.09万元，增长100%，主要原因是：</w:t>
      </w:r>
      <w:r>
        <w:rPr>
          <w:rFonts w:hint="eastAsia" w:ascii="仿宋_GB2312" w:hAnsi="仿宋_GB2312" w:eastAsia="仿宋_GB2312" w:cs="仿宋_GB2312"/>
          <w:sz w:val="32"/>
          <w:szCs w:val="32"/>
          <w:lang w:val="zh-CN"/>
        </w:rPr>
        <w:t>单位本年退休人员交通补助、取暖费增加。</w:t>
      </w:r>
    </w:p>
    <w:p w14:paraId="092E6CE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7.节能环保支出（类）能源节约利用（款）能源节约利用（项）:支出决算数为1,200.00万元，比上年决算增加1,200.00万元，增长100%，主要原因是：单位本年</w:t>
      </w:r>
      <w:r>
        <w:rPr>
          <w:rFonts w:hint="eastAsia" w:ascii="仿宋_GB2312" w:hAnsi="仿宋_GB2312" w:eastAsia="仿宋_GB2312" w:cs="仿宋_GB2312"/>
          <w:sz w:val="32"/>
          <w:szCs w:val="32"/>
          <w:lang w:val="zh-CN"/>
        </w:rPr>
        <w:t>新疆裕隆丰源气体有限公司化工尾气碳捕集与氢能综合利用项目经费增加。</w:t>
      </w:r>
    </w:p>
    <w:p w14:paraId="55140B6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8.社会保障和就业支出（类）行政事业单位养老支出（款）机关事业单位职业年金缴费支出（项）:支出决算数为10.71万元，比上年决算增加10.71万元，增长100%，主要原因是：</w:t>
      </w:r>
      <w:r>
        <w:rPr>
          <w:rFonts w:hint="eastAsia" w:ascii="仿宋_GB2312" w:hAnsi="仿宋_GB2312" w:eastAsia="仿宋_GB2312" w:cs="仿宋_GB2312"/>
          <w:sz w:val="32"/>
          <w:szCs w:val="32"/>
          <w:lang w:val="zh-CN"/>
        </w:rPr>
        <w:t>单位本年补缴以前年度职业年金费用。</w:t>
      </w:r>
    </w:p>
    <w:p w14:paraId="7D05EDB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9.社会保障和就业支出（类）行政事业单位养老支出（款）机关事业单位基本养老保险缴费支出（项）:支出决算数为54.84万元，比上年决算增加23.00万元，增长72.24%，主要原因是：</w:t>
      </w:r>
      <w:r>
        <w:rPr>
          <w:rFonts w:hint="eastAsia" w:ascii="仿宋_GB2312" w:hAnsi="仿宋_GB2312" w:eastAsia="仿宋_GB2312" w:cs="仿宋_GB2312"/>
          <w:sz w:val="32"/>
          <w:szCs w:val="32"/>
          <w:lang w:val="zh-CN"/>
        </w:rPr>
        <w:t>单位本年社保缴费基数上调，相应人员养老保险缴费增加。</w:t>
      </w:r>
    </w:p>
    <w:p w14:paraId="677E79D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10.一般公共服务支出（类）发展与改革事务（款）行政运行（项）:支出决算数为452.80万元，比上年决算增加25.55万元，增长5.98%，主要原因是：</w:t>
      </w:r>
      <w:r>
        <w:rPr>
          <w:rFonts w:hint="eastAsia" w:ascii="仿宋_GB2312" w:hAnsi="仿宋_GB2312" w:eastAsia="仿宋_GB2312" w:cs="仿宋_GB2312"/>
          <w:sz w:val="32"/>
          <w:szCs w:val="32"/>
          <w:lang w:val="zh-CN"/>
        </w:rPr>
        <w:t>单位本年人员增加，相应人员工资、津贴补贴、奖金等人员经费增加。</w:t>
      </w:r>
    </w:p>
    <w:p w14:paraId="7A1656E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11.粮油物资储备支出（类）粮油物资事务（款）其他粮油物资事务支出（项）:支出决算数为19.59万元，比上年决算减少12.98万元，下降39.85%，主要原因是：</w:t>
      </w:r>
      <w:r>
        <w:rPr>
          <w:rFonts w:hint="eastAsia" w:ascii="仿宋_GB2312" w:hAnsi="仿宋_GB2312" w:eastAsia="仿宋_GB2312" w:cs="仿宋_GB2312"/>
          <w:sz w:val="32"/>
          <w:szCs w:val="32"/>
          <w:lang w:val="zh-CN"/>
        </w:rPr>
        <w:t>奇台县“中国好粮油”示范县品牌建设推广宣传项目经费减少。</w:t>
      </w:r>
    </w:p>
    <w:p w14:paraId="46117FB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12.粮油物资储备支出（类）粮油储备（款）储备粮油补贴（项）:支出决算数为177.50万元，比上年决算增加177.50万元，增长100%，主要原因是：</w:t>
      </w:r>
      <w:r>
        <w:rPr>
          <w:rFonts w:hint="eastAsia" w:ascii="仿宋_GB2312" w:hAnsi="仿宋_GB2312" w:eastAsia="仿宋_GB2312" w:cs="仿宋_GB2312"/>
          <w:sz w:val="32"/>
          <w:szCs w:val="32"/>
          <w:lang w:val="zh-CN"/>
        </w:rPr>
        <w:t>单位本年州级地储粮、应急使用植物粮油储备项目经费增加。</w:t>
      </w:r>
    </w:p>
    <w:p w14:paraId="285C68C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13.一般公共服务支出（类）发展与改革事务（款）其他发展与改革事务支出（项）:支出决算数为128.27万元，比上年决算减少35.51万元，下降21.68%，主要原因是：单位本年</w:t>
      </w:r>
      <w:r>
        <w:rPr>
          <w:rFonts w:hint="eastAsia" w:ascii="仿宋_GB2312" w:hAnsi="仿宋_GB2312" w:eastAsia="仿宋_GB2312" w:cs="仿宋_GB2312"/>
          <w:sz w:val="32"/>
          <w:szCs w:val="32"/>
          <w:lang w:val="zh-CN"/>
        </w:rPr>
        <w:t>应急面粉储备保管项目经费减少、奇台县惠民蔬菜店建设工程项目资金减少。</w:t>
      </w:r>
    </w:p>
    <w:p w14:paraId="7C2BFB4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14.其他支出（类）其他支出（款）其他支出（项）:支出决算数为96.67万元，比上年决算增加96.67万元，增长100%，主要原因是：</w:t>
      </w:r>
      <w:r>
        <w:rPr>
          <w:rFonts w:hint="eastAsia" w:ascii="仿宋_GB2312" w:hAnsi="仿宋_GB2312" w:eastAsia="仿宋_GB2312" w:cs="仿宋_GB2312"/>
          <w:sz w:val="32"/>
          <w:szCs w:val="32"/>
          <w:lang w:val="zh-CN"/>
        </w:rPr>
        <w:t>单位本年自治区为民办实事、办好事社区工作专项项目经费增加。</w:t>
      </w:r>
    </w:p>
    <w:p w14:paraId="3E537EA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15.卫生健康支出（类）行政事业单位医疗（款）其他行政事业单位医疗支出（项）:支出决算数为0.00万元，比上年决算减少0.16万元，下降100%，主要原因是：本年此科目减少其他社会保险缴费</w:t>
      </w:r>
      <w:r>
        <w:rPr>
          <w:rFonts w:hint="eastAsia" w:ascii="仿宋_GB2312" w:hAnsi="仿宋_GB2312" w:eastAsia="仿宋_GB2312" w:cs="仿宋_GB2312"/>
          <w:sz w:val="32"/>
          <w:szCs w:val="32"/>
          <w:lang w:val="zh-CN"/>
        </w:rPr>
        <w:t>。</w:t>
      </w:r>
    </w:p>
    <w:p w14:paraId="242DA40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16.粮油物资储备支出（类）粮油物资事务（款）设施建设（项）:支出决算数为0.00万元，比上年决算减少15.00万元，下降100%，主要原因是：</w:t>
      </w:r>
      <w:r>
        <w:rPr>
          <w:rFonts w:hint="eastAsia" w:ascii="仿宋_GB2312" w:hAnsi="仿宋_GB2312" w:eastAsia="仿宋_GB2312" w:cs="仿宋_GB2312"/>
          <w:sz w:val="32"/>
          <w:szCs w:val="32"/>
          <w:lang w:val="zh-CN"/>
        </w:rPr>
        <w:t>本年减少优质粮食配送中心质保金。</w:t>
      </w:r>
    </w:p>
    <w:p w14:paraId="05F9991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17.卫生健康支出（类）行政事业单位医疗（款）事业单位医疗（项）:支出决算数为0.00万元，比上年决算减少10.82万元，下降100%，主要原因是：</w:t>
      </w:r>
      <w:r>
        <w:rPr>
          <w:rFonts w:hint="eastAsia" w:ascii="仿宋_GB2312" w:hAnsi="仿宋_GB2312" w:eastAsia="仿宋_GB2312" w:cs="仿宋_GB2312"/>
          <w:sz w:val="32"/>
          <w:szCs w:val="32"/>
          <w:lang w:val="zh-CN"/>
        </w:rPr>
        <w:t>本年</w:t>
      </w:r>
      <w:r>
        <w:rPr>
          <w:rFonts w:hint="eastAsia" w:ascii="仿宋_GB2312" w:hAnsi="仿宋_GB2312" w:eastAsia="仿宋_GB2312" w:cs="仿宋_GB2312"/>
          <w:sz w:val="32"/>
          <w:szCs w:val="32"/>
          <w:lang w:val="en-US" w:eastAsia="zh-CN"/>
        </w:rPr>
        <w:t>功能科目合并，</w:t>
      </w:r>
      <w:r>
        <w:rPr>
          <w:rFonts w:hint="eastAsia" w:ascii="仿宋_GB2312" w:hAnsi="仿宋_GB2312" w:eastAsia="仿宋_GB2312" w:cs="仿宋_GB2312"/>
          <w:sz w:val="32"/>
          <w:szCs w:val="32"/>
          <w:lang w:val="zh-CN"/>
        </w:rPr>
        <w:t>职工基本医疗保险缴费</w:t>
      </w:r>
      <w:r>
        <w:rPr>
          <w:rFonts w:hint="eastAsia" w:ascii="仿宋_GB2312" w:hAnsi="仿宋_GB2312" w:eastAsia="仿宋_GB2312" w:cs="仿宋_GB2312"/>
          <w:sz w:val="32"/>
          <w:szCs w:val="32"/>
          <w:lang w:val="en-US" w:eastAsia="zh-CN"/>
        </w:rPr>
        <w:t>并入主款</w:t>
      </w:r>
      <w:r>
        <w:rPr>
          <w:rFonts w:hint="eastAsia" w:ascii="仿宋_GB2312" w:hAnsi="仿宋_GB2312" w:eastAsia="仿宋_GB2312" w:cs="仿宋_GB2312"/>
          <w:sz w:val="32"/>
          <w:szCs w:val="32"/>
          <w:lang w:val="zh-CN"/>
        </w:rPr>
        <w:t>。</w:t>
      </w:r>
    </w:p>
    <w:p w14:paraId="53723828">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5FE13098">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688.16万元，其中：人员经费671.40万元，包括：基本工资、津贴补贴、奖金、绩效工资、机关事业单位基本养老保险缴费、职业年金缴费、职工基本医疗保险缴费、公务员医疗补助缴费、其他社会保障缴费、住房公积金、其他工资福利支出、退休费、抚恤金、生活补助、奖励金。</w:t>
      </w:r>
    </w:p>
    <w:p w14:paraId="5D121DCB">
      <w:pPr>
        <w:ind w:firstLine="640" w:firstLineChars="200"/>
        <w:jc w:val="left"/>
        <w:rPr>
          <w:rFonts w:ascii="仿宋_GB2312" w:eastAsia="仿宋_GB2312"/>
          <w:sz w:val="32"/>
          <w:szCs w:val="32"/>
        </w:rPr>
      </w:pPr>
      <w:r>
        <w:rPr>
          <w:rFonts w:hint="eastAsia" w:ascii="仿宋_GB2312" w:eastAsia="仿宋_GB2312"/>
          <w:sz w:val="32"/>
          <w:szCs w:val="32"/>
        </w:rPr>
        <w:t>公用经费16.76万元，包括：办公费、印刷费、邮电费、取暖费、差旅费、劳务费、委托业务费、公务用车运行维护费、其他交通费用。</w:t>
      </w:r>
    </w:p>
    <w:p w14:paraId="1B0DE823">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7F8F560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“三公”经费支出2.37万元，</w:t>
      </w:r>
      <w:r>
        <w:rPr>
          <w:rFonts w:hint="eastAsia" w:ascii="仿宋_GB2312" w:eastAsia="仿宋_GB2312"/>
          <w:sz w:val="32"/>
          <w:szCs w:val="32"/>
        </w:rPr>
        <w:t>比上年</w:t>
      </w:r>
      <w:r>
        <w:rPr>
          <w:rFonts w:hint="eastAsia" w:ascii="仿宋_GB2312" w:eastAsia="仿宋_GB2312"/>
          <w:sz w:val="32"/>
          <w:szCs w:val="32"/>
          <w:lang w:val="zh-CN"/>
        </w:rPr>
        <w:t>减少0.13万元，</w:t>
      </w:r>
      <w:r>
        <w:rPr>
          <w:rFonts w:hint="eastAsia" w:ascii="仿宋_GB2312" w:eastAsia="仿宋_GB2312"/>
          <w:sz w:val="32"/>
          <w:szCs w:val="32"/>
        </w:rPr>
        <w:t>下降5.20%,</w:t>
      </w:r>
      <w:r>
        <w:rPr>
          <w:rFonts w:hint="eastAsia" w:ascii="仿宋_GB2312" w:eastAsia="仿宋_GB2312"/>
          <w:sz w:val="32"/>
          <w:szCs w:val="32"/>
          <w:lang w:val="zh-CN"/>
        </w:rPr>
        <w:t>主要原因是：</w:t>
      </w:r>
      <w:r>
        <w:rPr>
          <w:rFonts w:hint="eastAsia" w:ascii="仿宋_GB2312" w:eastAsia="仿宋_GB2312"/>
          <w:sz w:val="32"/>
          <w:szCs w:val="32"/>
        </w:rPr>
        <w:t>绿色出行，车辆燃油费、维修费减少</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主要原因是：本年单位无此项经费；公务用车购置及运行维护费支出2.37万元，占100.00%，比上年减少0.13万元，</w:t>
      </w:r>
      <w:r>
        <w:rPr>
          <w:rFonts w:hint="eastAsia" w:ascii="仿宋_GB2312" w:eastAsia="仿宋_GB2312"/>
          <w:sz w:val="32"/>
          <w:szCs w:val="32"/>
        </w:rPr>
        <w:t>下降5.20%,</w:t>
      </w:r>
      <w:r>
        <w:rPr>
          <w:rFonts w:hint="eastAsia" w:ascii="仿宋_GB2312" w:eastAsia="仿宋_GB2312"/>
          <w:sz w:val="32"/>
          <w:szCs w:val="32"/>
          <w:lang w:val="zh-CN"/>
        </w:rPr>
        <w:t>主要原因是：</w:t>
      </w:r>
      <w:r>
        <w:rPr>
          <w:rFonts w:hint="eastAsia" w:ascii="仿宋_GB2312" w:eastAsia="仿宋_GB2312"/>
          <w:sz w:val="32"/>
          <w:szCs w:val="32"/>
        </w:rPr>
        <w:t>绿色出行，车辆燃油费、维修费减少</w:t>
      </w:r>
      <w:r>
        <w:rPr>
          <w:rFonts w:hint="eastAsia" w:ascii="仿宋_GB2312" w:eastAsia="仿宋_GB2312"/>
          <w:sz w:val="32"/>
          <w:szCs w:val="32"/>
          <w:lang w:val="zh-CN"/>
        </w:rPr>
        <w:t>；公务接待费支出0.00万元，占0.00%，比上年增加0.00万元，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w:t>
      </w:r>
    </w:p>
    <w:p w14:paraId="38E58B5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592049D2">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因公出国（境）费支出0.00万元，开支内容包括本年单位无此项经费。单位全年安排的因公出国（境）团组0个，因公出国（境）0人次。</w:t>
      </w:r>
    </w:p>
    <w:p w14:paraId="46BCF1BA">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2.37万元，其中：公务用车购置费0.00万元，公务用车运行维护费2.37万元。公务用车运行维护费开支内容包括公务用车燃油费、车辆维修维护费、保险费、过路费等。公务用车购置数0辆，公务用车保有量4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4辆，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rPr>
        <w:t>本单位固定资产车辆与公务用车保有量一致无差异</w:t>
      </w:r>
      <w:r>
        <w:rPr>
          <w:rFonts w:hint="eastAsia" w:ascii="仿宋_GB2312" w:eastAsia="仿宋_GB2312"/>
          <w:sz w:val="32"/>
          <w:szCs w:val="32"/>
          <w:lang w:val="zh-CN"/>
        </w:rPr>
        <w:t>。</w:t>
      </w:r>
    </w:p>
    <w:p w14:paraId="599250C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公务接待费0.00万元，开支内容包括本年单位无此项经费。单位全年安排的国内公务接待0批次，0人次。</w:t>
      </w:r>
    </w:p>
    <w:p w14:paraId="5D30A9F8">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预算数2.37万元，决算数2.37万元，预决算差异率0.00%，主要原因是：</w:t>
      </w:r>
      <w:r>
        <w:rPr>
          <w:rFonts w:hint="eastAsia" w:ascii="仿宋_GB2312" w:eastAsia="仿宋_GB2312"/>
          <w:sz w:val="32"/>
          <w:szCs w:val="32"/>
        </w:rPr>
        <w:t>严格按预算执行，预决算对比无差异</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0.00万元，决算数0.00万元，预决算差异率0.00%，主要原因是：本年单位无此项经费；公务用车购置费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预算数2.37万元，决算数2.37万元，预决算差异率0.00%，主要原因是：</w:t>
      </w:r>
      <w:r>
        <w:rPr>
          <w:rFonts w:hint="eastAsia" w:ascii="仿宋_GB2312" w:eastAsia="仿宋_GB2312"/>
          <w:sz w:val="32"/>
          <w:szCs w:val="32"/>
        </w:rPr>
        <w:t>严格按预算执行，预决算对比无差异</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w:t>
      </w:r>
    </w:p>
    <w:p w14:paraId="2EF56F3A">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18B8DFA3">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07682258">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40FA514D">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5E0DCDD0">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529D9268">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02068490">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奇台县发展和改革委员会（行政单位和参照公务员法管理事业单位）机关运行经费支出16.76万元，</w:t>
      </w:r>
      <w:r>
        <w:rPr>
          <w:rFonts w:hint="eastAsia" w:ascii="仿宋_GB2312" w:hAnsi="仿宋_GB2312" w:eastAsia="仿宋_GB2312" w:cs="仿宋_GB2312"/>
          <w:sz w:val="32"/>
          <w:szCs w:val="32"/>
          <w:lang w:val="zh-CN"/>
        </w:rPr>
        <w:t>比上年增加4.69万元，增长38.86%，主要原因是：单位</w:t>
      </w:r>
      <w:r>
        <w:rPr>
          <w:rFonts w:hint="eastAsia" w:ascii="仿宋_GB2312" w:hAnsi="仿宋_GB2312" w:eastAsia="仿宋_GB2312" w:cs="仿宋_GB2312"/>
          <w:sz w:val="32"/>
          <w:szCs w:val="32"/>
        </w:rPr>
        <w:t>本年办公费</w:t>
      </w:r>
      <w:r>
        <w:rPr>
          <w:rFonts w:hint="eastAsia" w:ascii="仿宋_GB2312" w:hAnsi="仿宋_GB2312" w:eastAsia="仿宋_GB2312" w:cs="仿宋_GB2312"/>
          <w:sz w:val="32"/>
          <w:szCs w:val="32"/>
          <w:lang w:val="zh-CN"/>
        </w:rPr>
        <w:t>、劳务费、委托业务费</w:t>
      </w:r>
      <w:r>
        <w:rPr>
          <w:rFonts w:hint="eastAsia" w:ascii="仿宋_GB2312" w:hAnsi="仿宋_GB2312" w:eastAsia="仿宋_GB2312" w:cs="仿宋_GB2312"/>
          <w:sz w:val="32"/>
          <w:szCs w:val="32"/>
        </w:rPr>
        <w:t>等增加</w:t>
      </w:r>
      <w:r>
        <w:rPr>
          <w:rFonts w:hint="eastAsia" w:ascii="仿宋_GB2312" w:hAnsi="仿宋_GB2312" w:eastAsia="仿宋_GB2312" w:cs="仿宋_GB2312"/>
          <w:sz w:val="32"/>
          <w:szCs w:val="32"/>
          <w:lang w:val="zh-CN"/>
        </w:rPr>
        <w:t>。</w:t>
      </w:r>
    </w:p>
    <w:p w14:paraId="4F18478D">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717DD1C0">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2023年度政府采购支出总额21.29万元，其中：政府采购货物支出11.90万元、政府采购工程支出0.00万元、政府采购服务支出9.39万元。</w:t>
      </w:r>
    </w:p>
    <w:p w14:paraId="02E4A851">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授予中小企业合同金额19.97万元，占政府采购支出总额的93.80%，其中：授予小微企业合同金额19.95万元，占政府采购支出总额的93.71%</w:t>
      </w:r>
      <w:r>
        <w:rPr>
          <w:rFonts w:hint="eastAsia" w:ascii="仿宋_GB2312" w:hAnsi="仿宋_GB2312" w:eastAsia="仿宋_GB2312" w:cs="仿宋_GB2312"/>
          <w:sz w:val="32"/>
          <w:szCs w:val="32"/>
        </w:rPr>
        <w:t>。</w:t>
      </w:r>
    </w:p>
    <w:p w14:paraId="1919DEC1">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108355DB">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1,889.74</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屋3,935.75平方米，价值1,179.14万元。车辆4辆，价值99.83万元，其中：副部（省）级及以上领导用车0辆、主要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用车0辆、其他用车4辆，其他用车主要是：</w:t>
      </w:r>
      <w:r>
        <w:rPr>
          <w:rFonts w:hint="eastAsia" w:ascii="仿宋_GB2312" w:hAnsi="仿宋_GB2312" w:eastAsia="仿宋_GB2312" w:cs="仿宋_GB2312"/>
          <w:sz w:val="32"/>
          <w:szCs w:val="32"/>
        </w:rPr>
        <w:t>单位业务用车</w:t>
      </w:r>
      <w:r>
        <w:rPr>
          <w:rFonts w:hint="eastAsia" w:ascii="仿宋_GB2312" w:hAnsi="仿宋_GB2312" w:eastAsia="仿宋_GB2312" w:cs="仿宋_GB2312"/>
          <w:sz w:val="32"/>
          <w:szCs w:val="32"/>
          <w:lang w:val="zh-CN"/>
        </w:rPr>
        <w:t>；单价100万元（含）以上设备（不含车辆）1</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19815E78">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1311E602">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2,315.31</w:t>
      </w:r>
      <w:r>
        <w:rPr>
          <w:rFonts w:hint="eastAsia" w:ascii="仿宋_GB2312" w:eastAsia="仿宋_GB2312"/>
          <w:sz w:val="32"/>
          <w:szCs w:val="32"/>
        </w:rPr>
        <w:t>万元，实际执行总额</w:t>
      </w:r>
      <w:r>
        <w:rPr>
          <w:rFonts w:ascii="仿宋_GB2312" w:eastAsia="仿宋_GB2312"/>
          <w:sz w:val="32"/>
          <w:szCs w:val="32"/>
        </w:rPr>
        <w:t>2,315.31</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预算绩效评价项目9个，全年预算数1,599.50万元，全年执行数1,599.50万元。预算绩效管理取得的成效：</w:t>
      </w:r>
      <w:r>
        <w:rPr>
          <w:rFonts w:hint="eastAsia" w:ascii="仿宋_GB2312" w:hAnsi="楷体" w:eastAsia="仿宋_GB2312"/>
          <w:spacing w:val="-4"/>
          <w:sz w:val="32"/>
          <w:szCs w:val="32"/>
        </w:rPr>
        <w:t>一是制度规范，建立并不断完善本单位各项管理制度，相关管理制度合法、合规、完整，并有考核制度，本单位范围内得到有效执行；二是资金使用合规性，本年度支出的所有资金均由县财政局国库支付，支出符合国家财经法规和财务管理制度规定以及有关专项资金管理办法的规定；资金拨付有完整的审批程序和手续；项目支出按规定经过评估论证；支出符合部门预算批复的用途；资金使用无截留、挤占、挪用、虚列支出等情况</w:t>
      </w:r>
      <w:r>
        <w:rPr>
          <w:rFonts w:hint="eastAsia" w:ascii="仿宋_GB2312" w:eastAsia="仿宋_GB2312"/>
          <w:sz w:val="32"/>
          <w:szCs w:val="32"/>
        </w:rPr>
        <w:t>。发现的问题及原因：</w:t>
      </w:r>
      <w:r>
        <w:rPr>
          <w:rFonts w:hint="eastAsia" w:ascii="仿宋_GB2312" w:hAnsi="仿宋_GB2312" w:eastAsia="仿宋_GB2312"/>
          <w:kern w:val="0"/>
          <w:sz w:val="32"/>
        </w:rPr>
        <w:t>一是</w:t>
      </w:r>
      <w:r>
        <w:rPr>
          <w:rFonts w:hint="eastAsia" w:ascii="仿宋_GB2312" w:hAnsi="楷体" w:eastAsia="仿宋_GB2312"/>
          <w:spacing w:val="-4"/>
          <w:sz w:val="32"/>
        </w:rPr>
        <w:t>单位主要领导及各业务科室对全面预算绩效管理认识不足，导致对该项工作的支持和重视不够；</w:t>
      </w:r>
      <w:r>
        <w:rPr>
          <w:rFonts w:hint="eastAsia" w:ascii="仿宋_GB2312" w:hAnsi="仿宋_GB2312" w:eastAsia="仿宋_GB2312"/>
          <w:kern w:val="0"/>
          <w:sz w:val="32"/>
        </w:rPr>
        <w:t>二是片面</w:t>
      </w:r>
      <w:r>
        <w:rPr>
          <w:rFonts w:hint="eastAsia" w:ascii="仿宋_GB2312" w:hAnsi="楷体" w:eastAsia="仿宋_GB2312"/>
          <w:spacing w:val="-4"/>
          <w:sz w:val="32"/>
        </w:rPr>
        <w:t>认为预算只是财务科室的工作，造成单位预算绩效管理工作开展困难或流于形式</w:t>
      </w:r>
      <w:r>
        <w:rPr>
          <w:rFonts w:hint="eastAsia" w:ascii="仿宋_GB2312" w:eastAsia="仿宋_GB2312"/>
          <w:sz w:val="32"/>
          <w:szCs w:val="32"/>
        </w:rPr>
        <w:t>。下一步改进措施：一是</w:t>
      </w:r>
      <w:r>
        <w:rPr>
          <w:rFonts w:hint="eastAsia" w:ascii="仿宋_GB2312" w:hAnsi="仿宋_GB2312" w:eastAsia="仿宋_GB2312"/>
          <w:kern w:val="0"/>
          <w:sz w:val="32"/>
        </w:rPr>
        <w:t>持续加强对单位内部预算绩效管理的学习宣传，</w:t>
      </w:r>
      <w:r>
        <w:rPr>
          <w:rFonts w:hint="eastAsia" w:ascii="仿宋_GB2312" w:hAnsi="楷体" w:eastAsia="仿宋_GB2312"/>
          <w:spacing w:val="-4"/>
          <w:sz w:val="32"/>
        </w:rPr>
        <w:t>领导要重视预算绩效管理工作，强调预算绩效不是哪一个部门或科室的事，需要全员加强配合；</w:t>
      </w:r>
      <w:r>
        <w:rPr>
          <w:rFonts w:hint="eastAsia" w:ascii="仿宋_GB2312" w:hAnsi="仿宋_GB2312" w:eastAsia="仿宋_GB2312"/>
          <w:kern w:val="0"/>
          <w:sz w:val="32"/>
        </w:rPr>
        <w:t>二是梳理对于预算绩效管理工作开展以来遇到的短板和瓶颈；持续落实预算绩效管理评价结果应用制度</w:t>
      </w:r>
      <w:r>
        <w:rPr>
          <w:rFonts w:hint="eastAsia" w:ascii="仿宋_GB2312" w:eastAsia="仿宋_GB2312"/>
          <w:sz w:val="32"/>
          <w:szCs w:val="32"/>
        </w:rPr>
        <w:t>。具体项目自评情况附绩效自评表及自评报告。</w:t>
      </w:r>
    </w:p>
    <w:p w14:paraId="30B187FC">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25BA9D4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385B30EA">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33142C8">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13DBA1CA">
            <w:pPr>
              <w:jc w:val="center"/>
            </w:pPr>
            <w:r>
              <w:rPr>
                <w:rFonts w:ascii="宋体" w:hAnsi="宋体"/>
                <w:sz w:val="18"/>
              </w:rPr>
              <w:t>奇台县发展和改革委员会</w:t>
            </w:r>
          </w:p>
        </w:tc>
        <w:tc>
          <w:tcPr>
            <w:tcW w:w="284" w:type="dxa"/>
            <w:tcBorders>
              <w:top w:val="nil"/>
              <w:left w:val="nil"/>
              <w:bottom w:val="nil"/>
              <w:right w:val="nil"/>
            </w:tcBorders>
            <w:shd w:val="clear" w:color="auto" w:fill="auto"/>
            <w:noWrap/>
            <w:vAlign w:val="center"/>
          </w:tcPr>
          <w:p w14:paraId="6BDA7F86">
            <w:pPr>
              <w:widowControl/>
              <w:jc w:val="left"/>
              <w:rPr>
                <w:rFonts w:hint="eastAsia" w:ascii="宋体" w:hAnsi="宋体" w:cs="宋体"/>
                <w:b/>
                <w:bCs/>
                <w:kern w:val="0"/>
                <w:sz w:val="18"/>
                <w:szCs w:val="18"/>
              </w:rPr>
            </w:pPr>
          </w:p>
        </w:tc>
      </w:tr>
      <w:tr w14:paraId="51709FF0">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7056F4">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79C48F3A">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04B793F1">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11B33F5F">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2492E98B">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33163EA8">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776E7F9B">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65224F93">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70539463">
            <w:pPr>
              <w:widowControl/>
              <w:jc w:val="center"/>
              <w:rPr>
                <w:rFonts w:hint="eastAsia" w:ascii="宋体" w:hAnsi="宋体" w:cs="宋体"/>
                <w:b/>
                <w:bCs/>
                <w:kern w:val="0"/>
                <w:sz w:val="18"/>
                <w:szCs w:val="18"/>
              </w:rPr>
            </w:pPr>
          </w:p>
        </w:tc>
      </w:tr>
      <w:tr w14:paraId="68E489E5">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8B48B5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71523137">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7936F60D">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4C8A404A">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6ED1428D">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6CF31C19">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4589D51B">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14:paraId="53C1478C">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38E29E6D">
            <w:pPr>
              <w:widowControl/>
              <w:jc w:val="center"/>
              <w:rPr>
                <w:rFonts w:hint="eastAsia" w:ascii="宋体" w:hAnsi="宋体" w:cs="宋体"/>
                <w:b/>
                <w:bCs/>
                <w:kern w:val="0"/>
                <w:sz w:val="18"/>
                <w:szCs w:val="18"/>
              </w:rPr>
            </w:pPr>
          </w:p>
        </w:tc>
      </w:tr>
      <w:tr w14:paraId="6E6A0E7A">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28B0F47">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BD5DEA6">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66CB678F">
            <w:pPr>
              <w:jc w:val="center"/>
            </w:pPr>
            <w:r>
              <w:rPr>
                <w:rFonts w:ascii="宋体" w:hAnsi="宋体"/>
                <w:sz w:val="18"/>
              </w:rPr>
              <w:t>4.50</w:t>
            </w:r>
          </w:p>
        </w:tc>
        <w:tc>
          <w:tcPr>
            <w:tcW w:w="1276" w:type="dxa"/>
            <w:tcBorders>
              <w:top w:val="nil"/>
              <w:left w:val="nil"/>
              <w:bottom w:val="single" w:color="auto" w:sz="4" w:space="0"/>
              <w:right w:val="single" w:color="auto" w:sz="4" w:space="0"/>
            </w:tcBorders>
            <w:shd w:val="clear" w:color="auto" w:fill="auto"/>
            <w:vAlign w:val="center"/>
          </w:tcPr>
          <w:p w14:paraId="2450D050">
            <w:pPr>
              <w:jc w:val="center"/>
            </w:pPr>
            <w:r>
              <w:rPr>
                <w:rFonts w:ascii="宋体" w:hAnsi="宋体"/>
                <w:sz w:val="18"/>
              </w:rPr>
              <w:t>4.50</w:t>
            </w:r>
          </w:p>
        </w:tc>
        <w:tc>
          <w:tcPr>
            <w:tcW w:w="1701" w:type="dxa"/>
            <w:tcBorders>
              <w:top w:val="nil"/>
              <w:left w:val="nil"/>
              <w:bottom w:val="single" w:color="auto" w:sz="4" w:space="0"/>
              <w:right w:val="single" w:color="auto" w:sz="4" w:space="0"/>
            </w:tcBorders>
            <w:shd w:val="clear" w:color="auto" w:fill="auto"/>
            <w:vAlign w:val="center"/>
          </w:tcPr>
          <w:p w14:paraId="4B544E1A">
            <w:pPr>
              <w:jc w:val="center"/>
            </w:pPr>
            <w:r>
              <w:rPr>
                <w:rFonts w:ascii="宋体" w:hAnsi="宋体"/>
                <w:sz w:val="18"/>
              </w:rPr>
              <w:t>4.50</w:t>
            </w:r>
          </w:p>
        </w:tc>
        <w:tc>
          <w:tcPr>
            <w:tcW w:w="1134" w:type="dxa"/>
            <w:tcBorders>
              <w:top w:val="nil"/>
              <w:left w:val="nil"/>
              <w:bottom w:val="single" w:color="auto" w:sz="4" w:space="0"/>
              <w:right w:val="single" w:color="auto" w:sz="4" w:space="0"/>
            </w:tcBorders>
            <w:shd w:val="clear" w:color="auto" w:fill="auto"/>
            <w:vAlign w:val="center"/>
          </w:tcPr>
          <w:p w14:paraId="7C450865">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7F5FF96F">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FF10326">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7C128AF7">
            <w:pPr>
              <w:widowControl/>
              <w:jc w:val="center"/>
              <w:rPr>
                <w:rFonts w:hint="eastAsia" w:ascii="宋体" w:hAnsi="宋体" w:cs="宋体"/>
                <w:kern w:val="0"/>
                <w:sz w:val="18"/>
                <w:szCs w:val="18"/>
              </w:rPr>
            </w:pPr>
          </w:p>
        </w:tc>
      </w:tr>
      <w:tr w14:paraId="7CA6A113">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5BA5C1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96D1092">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38215588">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71DB077D">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7ABB3261">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7A88A9B2">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67E3189C">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E33F7C2">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7AB49435">
            <w:pPr>
              <w:widowControl/>
              <w:jc w:val="center"/>
              <w:rPr>
                <w:rFonts w:hint="eastAsia" w:ascii="宋体" w:hAnsi="宋体" w:cs="宋体"/>
                <w:kern w:val="0"/>
                <w:sz w:val="18"/>
                <w:szCs w:val="18"/>
              </w:rPr>
            </w:pPr>
          </w:p>
        </w:tc>
      </w:tr>
      <w:tr w14:paraId="79CFEA12">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F7E3E6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92DC46C">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7BD5417E">
            <w:pPr>
              <w:jc w:val="center"/>
            </w:pPr>
            <w:r>
              <w:rPr>
                <w:rFonts w:ascii="宋体" w:hAnsi="宋体"/>
                <w:sz w:val="18"/>
              </w:rPr>
              <w:t>602.01</w:t>
            </w:r>
          </w:p>
        </w:tc>
        <w:tc>
          <w:tcPr>
            <w:tcW w:w="1276" w:type="dxa"/>
            <w:tcBorders>
              <w:top w:val="nil"/>
              <w:left w:val="nil"/>
              <w:bottom w:val="single" w:color="auto" w:sz="4" w:space="0"/>
              <w:right w:val="single" w:color="auto" w:sz="4" w:space="0"/>
            </w:tcBorders>
            <w:shd w:val="clear" w:color="auto" w:fill="auto"/>
            <w:vAlign w:val="center"/>
          </w:tcPr>
          <w:p w14:paraId="3F3E6BF2">
            <w:pPr>
              <w:jc w:val="center"/>
            </w:pPr>
            <w:r>
              <w:rPr>
                <w:rFonts w:ascii="宋体" w:hAnsi="宋体"/>
                <w:sz w:val="18"/>
              </w:rPr>
              <w:t>2,310.69</w:t>
            </w:r>
          </w:p>
        </w:tc>
        <w:tc>
          <w:tcPr>
            <w:tcW w:w="1701" w:type="dxa"/>
            <w:tcBorders>
              <w:top w:val="nil"/>
              <w:left w:val="nil"/>
              <w:bottom w:val="single" w:color="auto" w:sz="4" w:space="0"/>
              <w:right w:val="single" w:color="auto" w:sz="4" w:space="0"/>
            </w:tcBorders>
            <w:shd w:val="clear" w:color="auto" w:fill="auto"/>
            <w:vAlign w:val="center"/>
          </w:tcPr>
          <w:p w14:paraId="58BFEF6A">
            <w:pPr>
              <w:jc w:val="center"/>
            </w:pPr>
            <w:r>
              <w:rPr>
                <w:rFonts w:ascii="宋体" w:hAnsi="宋体"/>
                <w:sz w:val="18"/>
              </w:rPr>
              <w:t>2,310.69</w:t>
            </w:r>
          </w:p>
        </w:tc>
        <w:tc>
          <w:tcPr>
            <w:tcW w:w="1134" w:type="dxa"/>
            <w:tcBorders>
              <w:top w:val="nil"/>
              <w:left w:val="nil"/>
              <w:bottom w:val="single" w:color="auto" w:sz="4" w:space="0"/>
              <w:right w:val="single" w:color="auto" w:sz="4" w:space="0"/>
            </w:tcBorders>
            <w:shd w:val="clear" w:color="auto" w:fill="auto"/>
            <w:vAlign w:val="center"/>
          </w:tcPr>
          <w:p w14:paraId="5650A0C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6E35DCD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3672F4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488D8FBC">
            <w:pPr>
              <w:widowControl/>
              <w:jc w:val="center"/>
              <w:rPr>
                <w:rFonts w:hint="eastAsia" w:ascii="宋体" w:hAnsi="宋体" w:cs="宋体"/>
                <w:kern w:val="0"/>
                <w:sz w:val="18"/>
                <w:szCs w:val="18"/>
              </w:rPr>
            </w:pPr>
          </w:p>
        </w:tc>
      </w:tr>
      <w:tr w14:paraId="0C82657F">
        <w:tblPrEx>
          <w:tblCellMar>
            <w:top w:w="0" w:type="dxa"/>
            <w:left w:w="108" w:type="dxa"/>
            <w:bottom w:w="0" w:type="dxa"/>
            <w:right w:w="108" w:type="dxa"/>
          </w:tblCellMar>
        </w:tblPrEx>
        <w:trPr>
          <w:cantSplit/>
          <w:trHeight w:val="458"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853BF6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FE1DC67">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16D15867">
            <w:pPr>
              <w:jc w:val="center"/>
            </w:pPr>
            <w:r>
              <w:rPr>
                <w:rFonts w:ascii="宋体" w:hAnsi="宋体"/>
                <w:sz w:val="18"/>
              </w:rPr>
              <w:t>58.37</w:t>
            </w:r>
          </w:p>
        </w:tc>
        <w:tc>
          <w:tcPr>
            <w:tcW w:w="1276" w:type="dxa"/>
            <w:tcBorders>
              <w:top w:val="nil"/>
              <w:left w:val="nil"/>
              <w:bottom w:val="single" w:color="auto" w:sz="4" w:space="0"/>
              <w:right w:val="single" w:color="auto" w:sz="4" w:space="0"/>
            </w:tcBorders>
            <w:shd w:val="clear" w:color="auto" w:fill="auto"/>
            <w:vAlign w:val="center"/>
          </w:tcPr>
          <w:p w14:paraId="783919FE">
            <w:pPr>
              <w:jc w:val="center"/>
            </w:pPr>
            <w:r>
              <w:rPr>
                <w:rFonts w:ascii="宋体" w:hAnsi="宋体"/>
                <w:sz w:val="18"/>
              </w:rPr>
              <w:t>0.12</w:t>
            </w:r>
          </w:p>
        </w:tc>
        <w:tc>
          <w:tcPr>
            <w:tcW w:w="1701" w:type="dxa"/>
            <w:tcBorders>
              <w:top w:val="nil"/>
              <w:left w:val="nil"/>
              <w:bottom w:val="single" w:color="auto" w:sz="4" w:space="0"/>
              <w:right w:val="single" w:color="auto" w:sz="4" w:space="0"/>
            </w:tcBorders>
            <w:shd w:val="clear" w:color="auto" w:fill="auto"/>
            <w:vAlign w:val="center"/>
          </w:tcPr>
          <w:p w14:paraId="41A7166A">
            <w:pPr>
              <w:jc w:val="center"/>
            </w:pPr>
            <w:r>
              <w:rPr>
                <w:rFonts w:ascii="宋体" w:hAnsi="宋体"/>
                <w:sz w:val="18"/>
              </w:rPr>
              <w:t>0.12</w:t>
            </w:r>
          </w:p>
        </w:tc>
        <w:tc>
          <w:tcPr>
            <w:tcW w:w="1134" w:type="dxa"/>
            <w:tcBorders>
              <w:top w:val="nil"/>
              <w:left w:val="nil"/>
              <w:bottom w:val="single" w:color="auto" w:sz="4" w:space="0"/>
              <w:right w:val="single" w:color="auto" w:sz="4" w:space="0"/>
            </w:tcBorders>
            <w:shd w:val="clear" w:color="auto" w:fill="auto"/>
            <w:vAlign w:val="center"/>
          </w:tcPr>
          <w:p w14:paraId="4213C52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B7EA76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4E8220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286D848A">
            <w:pPr>
              <w:widowControl/>
              <w:jc w:val="center"/>
              <w:rPr>
                <w:rFonts w:hint="eastAsia" w:ascii="宋体" w:hAnsi="宋体" w:cs="宋体"/>
                <w:kern w:val="0"/>
                <w:sz w:val="18"/>
                <w:szCs w:val="18"/>
              </w:rPr>
            </w:pPr>
          </w:p>
        </w:tc>
      </w:tr>
      <w:tr w14:paraId="445093A2">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17C77E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F11A12E">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026132A4">
            <w:pPr>
              <w:jc w:val="center"/>
            </w:pPr>
            <w:r>
              <w:rPr>
                <w:rFonts w:ascii="宋体" w:hAnsi="宋体"/>
                <w:sz w:val="18"/>
              </w:rPr>
              <w:t>664.88</w:t>
            </w:r>
          </w:p>
        </w:tc>
        <w:tc>
          <w:tcPr>
            <w:tcW w:w="1276" w:type="dxa"/>
            <w:tcBorders>
              <w:top w:val="nil"/>
              <w:left w:val="nil"/>
              <w:bottom w:val="single" w:color="auto" w:sz="4" w:space="0"/>
              <w:right w:val="single" w:color="auto" w:sz="4" w:space="0"/>
            </w:tcBorders>
            <w:shd w:val="clear" w:color="auto" w:fill="auto"/>
            <w:vAlign w:val="center"/>
          </w:tcPr>
          <w:p w14:paraId="65E05CC9">
            <w:pPr>
              <w:jc w:val="center"/>
            </w:pPr>
            <w:r>
              <w:rPr>
                <w:rFonts w:ascii="宋体" w:hAnsi="宋体"/>
                <w:sz w:val="18"/>
              </w:rPr>
              <w:t>2,315.31</w:t>
            </w:r>
          </w:p>
        </w:tc>
        <w:tc>
          <w:tcPr>
            <w:tcW w:w="1701" w:type="dxa"/>
            <w:tcBorders>
              <w:top w:val="nil"/>
              <w:left w:val="nil"/>
              <w:bottom w:val="single" w:color="auto" w:sz="4" w:space="0"/>
              <w:right w:val="single" w:color="auto" w:sz="4" w:space="0"/>
            </w:tcBorders>
            <w:shd w:val="clear" w:color="auto" w:fill="auto"/>
            <w:vAlign w:val="center"/>
          </w:tcPr>
          <w:p w14:paraId="6B546ABE">
            <w:pPr>
              <w:jc w:val="center"/>
            </w:pPr>
            <w:r>
              <w:rPr>
                <w:rFonts w:ascii="宋体" w:hAnsi="宋体"/>
                <w:sz w:val="18"/>
              </w:rPr>
              <w:t>2,315.31</w:t>
            </w:r>
          </w:p>
        </w:tc>
        <w:tc>
          <w:tcPr>
            <w:tcW w:w="1134" w:type="dxa"/>
            <w:tcBorders>
              <w:top w:val="nil"/>
              <w:left w:val="nil"/>
              <w:bottom w:val="single" w:color="auto" w:sz="4" w:space="0"/>
              <w:right w:val="single" w:color="auto" w:sz="4" w:space="0"/>
            </w:tcBorders>
            <w:shd w:val="clear" w:color="auto" w:fill="auto"/>
            <w:vAlign w:val="center"/>
          </w:tcPr>
          <w:p w14:paraId="208FDA6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49BAAA7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92A532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07C5A4D1">
            <w:pPr>
              <w:widowControl/>
              <w:jc w:val="center"/>
              <w:rPr>
                <w:rFonts w:hint="eastAsia" w:ascii="宋体" w:hAnsi="宋体" w:cs="宋体"/>
                <w:kern w:val="0"/>
                <w:sz w:val="18"/>
                <w:szCs w:val="18"/>
              </w:rPr>
            </w:pPr>
          </w:p>
        </w:tc>
      </w:tr>
      <w:tr w14:paraId="70E17D90">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3C800C">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4609302A">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698992FF">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5DD93560">
            <w:pPr>
              <w:widowControl/>
              <w:jc w:val="left"/>
              <w:rPr>
                <w:rFonts w:hint="eastAsia" w:ascii="宋体" w:hAnsi="宋体" w:cs="宋体"/>
                <w:b/>
                <w:bCs/>
                <w:kern w:val="0"/>
                <w:sz w:val="18"/>
                <w:szCs w:val="18"/>
              </w:rPr>
            </w:pPr>
          </w:p>
        </w:tc>
      </w:tr>
      <w:tr w14:paraId="4F0AF55A">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59AE76A">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72AC88C6">
            <w:pPr>
              <w:jc w:val="left"/>
            </w:pPr>
            <w:r>
              <w:rPr>
                <w:rFonts w:ascii="宋体" w:hAnsi="宋体"/>
                <w:sz w:val="18"/>
              </w:rPr>
              <w:t>贯彻执行国家和自治区国民经济和社会发展方针、政策，负责监测宏观经济和社会发展态势，承担预测预警和信息引导的责任.贯彻执行国家和自治区国民经济和社会发展方针、政策。研究提出奇台县国民经济和社会发展战略、中长期规划和年度发展计划，统筹协调经济社会发展，提出国民经济发展、价格总水平调控和优化重大经济结构的目标、政策，提出综合运用各种经济手段和政策的建议；组织研究、协调实施重点专项规划，衔接、平衡各部门（园区）及主要行业的规划；受县人民政府委托向县人大提交国民经济和社会发展计划的报告。</w:t>
            </w:r>
          </w:p>
        </w:tc>
        <w:tc>
          <w:tcPr>
            <w:tcW w:w="4547" w:type="dxa"/>
            <w:gridSpan w:val="4"/>
            <w:tcBorders>
              <w:top w:val="single" w:color="auto" w:sz="4" w:space="0"/>
              <w:left w:val="nil"/>
              <w:bottom w:val="single" w:color="auto" w:sz="4" w:space="0"/>
              <w:right w:val="single" w:color="auto" w:sz="4" w:space="0"/>
            </w:tcBorders>
            <w:shd w:val="clear" w:color="auto" w:fill="auto"/>
          </w:tcPr>
          <w:p w14:paraId="600807C4">
            <w:pPr>
              <w:jc w:val="left"/>
            </w:pPr>
            <w:r>
              <w:rPr>
                <w:rFonts w:ascii="宋体" w:hAnsi="宋体"/>
                <w:sz w:val="18"/>
              </w:rPr>
              <w:t>应急面粉储备和管理吨数750吨，中央预算内投资项目开工率100%，援疆项目开复工率100%，开展2023年第三产业服务业指导帮促活动次数2次，每季度开展一次辖区粮食企业巡查共4次，江布拉克机场项目竣工验收次数1次，“十四五”规划中期评估报告和规划《纲要》（修订稿）编制次数1项。</w:t>
            </w:r>
          </w:p>
        </w:tc>
        <w:tc>
          <w:tcPr>
            <w:tcW w:w="284" w:type="dxa"/>
            <w:tcBorders>
              <w:top w:val="nil"/>
              <w:left w:val="nil"/>
              <w:bottom w:val="nil"/>
              <w:right w:val="nil"/>
            </w:tcBorders>
            <w:shd w:val="clear" w:color="auto" w:fill="auto"/>
            <w:noWrap/>
            <w:vAlign w:val="center"/>
          </w:tcPr>
          <w:p w14:paraId="2F1EE383">
            <w:pPr>
              <w:widowControl/>
              <w:jc w:val="left"/>
              <w:rPr>
                <w:rFonts w:hint="eastAsia" w:ascii="宋体" w:hAnsi="宋体" w:cs="宋体"/>
                <w:kern w:val="0"/>
                <w:sz w:val="18"/>
                <w:szCs w:val="18"/>
              </w:rPr>
            </w:pPr>
          </w:p>
        </w:tc>
      </w:tr>
      <w:tr w14:paraId="386772EF">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72735296">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4D343CFA">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68141FA8">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670F4BE4">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50DF5E31">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242D5B03">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7B095A6D">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30DF0DB8">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781E2B13">
            <w:pPr>
              <w:widowControl/>
              <w:jc w:val="left"/>
              <w:rPr>
                <w:rFonts w:hint="eastAsia" w:ascii="宋体" w:hAnsi="宋体" w:cs="宋体"/>
                <w:b/>
                <w:bCs/>
                <w:kern w:val="0"/>
                <w:sz w:val="18"/>
                <w:szCs w:val="18"/>
              </w:rPr>
            </w:pPr>
          </w:p>
        </w:tc>
      </w:tr>
      <w:tr w14:paraId="5D07F854">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3B11E8D">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6CEDFE5B">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0143E212">
            <w:pPr>
              <w:jc w:val="center"/>
            </w:pPr>
            <w:r>
              <w:rPr>
                <w:rFonts w:ascii="宋体" w:hAnsi="宋体"/>
                <w:sz w:val="18"/>
              </w:rPr>
              <w:t>应急面粉储备和管理吨数</w:t>
            </w:r>
          </w:p>
        </w:tc>
        <w:tc>
          <w:tcPr>
            <w:tcW w:w="1276" w:type="dxa"/>
            <w:tcBorders>
              <w:top w:val="nil"/>
              <w:left w:val="nil"/>
              <w:bottom w:val="single" w:color="auto" w:sz="4" w:space="0"/>
              <w:right w:val="single" w:color="auto" w:sz="4" w:space="0"/>
            </w:tcBorders>
            <w:shd w:val="clear" w:color="auto" w:fill="auto"/>
            <w:noWrap/>
            <w:vAlign w:val="center"/>
          </w:tcPr>
          <w:p w14:paraId="24448D81">
            <w:pPr>
              <w:jc w:val="center"/>
            </w:pPr>
            <w:r>
              <w:rPr>
                <w:rFonts w:ascii="宋体" w:hAnsi="宋体"/>
                <w:sz w:val="18"/>
              </w:rPr>
              <w:t>&gt;=750吨</w:t>
            </w:r>
          </w:p>
        </w:tc>
        <w:tc>
          <w:tcPr>
            <w:tcW w:w="1701" w:type="dxa"/>
            <w:tcBorders>
              <w:top w:val="nil"/>
              <w:left w:val="nil"/>
              <w:bottom w:val="single" w:color="auto" w:sz="4" w:space="0"/>
              <w:right w:val="single" w:color="auto" w:sz="4" w:space="0"/>
            </w:tcBorders>
            <w:shd w:val="clear" w:color="auto" w:fill="auto"/>
            <w:noWrap/>
            <w:vAlign w:val="center"/>
          </w:tcPr>
          <w:p w14:paraId="74F553D8">
            <w:pPr>
              <w:jc w:val="center"/>
            </w:pPr>
            <w:r>
              <w:rPr>
                <w:rFonts w:ascii="宋体" w:hAnsi="宋体"/>
                <w:sz w:val="18"/>
              </w:rPr>
              <w:t>奇发改粮食【2022】11号</w:t>
            </w:r>
          </w:p>
        </w:tc>
        <w:tc>
          <w:tcPr>
            <w:tcW w:w="1134" w:type="dxa"/>
            <w:tcBorders>
              <w:top w:val="nil"/>
              <w:left w:val="nil"/>
              <w:bottom w:val="single" w:color="auto" w:sz="4" w:space="0"/>
              <w:right w:val="single" w:color="auto" w:sz="4" w:space="0"/>
            </w:tcBorders>
            <w:shd w:val="clear" w:color="auto" w:fill="auto"/>
            <w:noWrap/>
            <w:vAlign w:val="center"/>
          </w:tcPr>
          <w:p w14:paraId="029E83D7">
            <w:pPr>
              <w:jc w:val="center"/>
            </w:pPr>
            <w:r>
              <w:rPr>
                <w:rFonts w:ascii="宋体" w:hAnsi="宋体"/>
                <w:sz w:val="18"/>
              </w:rPr>
              <w:t>20</w:t>
            </w:r>
          </w:p>
        </w:tc>
        <w:tc>
          <w:tcPr>
            <w:tcW w:w="992" w:type="dxa"/>
            <w:tcBorders>
              <w:top w:val="nil"/>
              <w:left w:val="nil"/>
              <w:bottom w:val="single" w:color="auto" w:sz="4" w:space="0"/>
              <w:right w:val="single" w:color="auto" w:sz="4" w:space="0"/>
            </w:tcBorders>
            <w:shd w:val="clear" w:color="auto" w:fill="auto"/>
            <w:noWrap/>
            <w:vAlign w:val="center"/>
          </w:tcPr>
          <w:p w14:paraId="16347C71">
            <w:pPr>
              <w:jc w:val="center"/>
            </w:pPr>
            <w:r>
              <w:rPr>
                <w:rFonts w:ascii="宋体" w:hAnsi="宋体"/>
                <w:sz w:val="18"/>
              </w:rPr>
              <w:tab/>
            </w:r>
            <w:r>
              <w:rPr>
                <w:rFonts w:ascii="宋体" w:hAnsi="宋体"/>
                <w:sz w:val="18"/>
              </w:rPr>
              <w:t>750吨</w:t>
            </w:r>
          </w:p>
        </w:tc>
        <w:tc>
          <w:tcPr>
            <w:tcW w:w="720" w:type="dxa"/>
            <w:tcBorders>
              <w:top w:val="nil"/>
              <w:left w:val="nil"/>
              <w:bottom w:val="single" w:color="auto" w:sz="4" w:space="0"/>
              <w:right w:val="single" w:color="auto" w:sz="4" w:space="0"/>
            </w:tcBorders>
            <w:shd w:val="clear" w:color="auto" w:fill="auto"/>
            <w:noWrap/>
            <w:vAlign w:val="center"/>
          </w:tcPr>
          <w:p w14:paraId="7696AA68">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0D1440D6">
            <w:pPr>
              <w:widowControl/>
              <w:jc w:val="center"/>
              <w:rPr>
                <w:rFonts w:hint="eastAsia" w:ascii="宋体" w:hAnsi="宋体" w:cs="宋体"/>
                <w:kern w:val="0"/>
                <w:sz w:val="18"/>
                <w:szCs w:val="18"/>
              </w:rPr>
            </w:pPr>
          </w:p>
        </w:tc>
      </w:tr>
      <w:tr w14:paraId="54B71318">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5CE9D43">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3273D8A6">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14B32D2">
            <w:pPr>
              <w:jc w:val="center"/>
            </w:pPr>
            <w:r>
              <w:rPr>
                <w:rFonts w:ascii="宋体" w:hAnsi="宋体"/>
                <w:sz w:val="18"/>
              </w:rPr>
              <w:t>中央预算内投资项目开工率</w:t>
            </w:r>
          </w:p>
        </w:tc>
        <w:tc>
          <w:tcPr>
            <w:tcW w:w="1276" w:type="dxa"/>
            <w:tcBorders>
              <w:top w:val="nil"/>
              <w:left w:val="nil"/>
              <w:bottom w:val="single" w:color="auto" w:sz="4" w:space="0"/>
              <w:right w:val="single" w:color="auto" w:sz="4" w:space="0"/>
            </w:tcBorders>
            <w:shd w:val="clear" w:color="auto" w:fill="auto"/>
            <w:noWrap/>
            <w:vAlign w:val="center"/>
          </w:tcPr>
          <w:p w14:paraId="5CE965F3">
            <w:pPr>
              <w:jc w:val="center"/>
            </w:pPr>
            <w:r>
              <w:rPr>
                <w:rFonts w:ascii="宋体" w:hAnsi="宋体"/>
                <w:sz w:val="18"/>
              </w:rPr>
              <w:t>&gt;=100%</w:t>
            </w:r>
          </w:p>
        </w:tc>
        <w:tc>
          <w:tcPr>
            <w:tcW w:w="1701" w:type="dxa"/>
            <w:tcBorders>
              <w:top w:val="nil"/>
              <w:left w:val="nil"/>
              <w:bottom w:val="single" w:color="auto" w:sz="4" w:space="0"/>
              <w:right w:val="single" w:color="auto" w:sz="4" w:space="0"/>
            </w:tcBorders>
            <w:shd w:val="clear" w:color="auto" w:fill="auto"/>
            <w:noWrap/>
            <w:vAlign w:val="center"/>
          </w:tcPr>
          <w:p w14:paraId="00F8F5F2">
            <w:pPr>
              <w:jc w:val="center"/>
            </w:pPr>
            <w:r>
              <w:rPr>
                <w:rFonts w:ascii="宋体" w:hAnsi="宋体"/>
                <w:sz w:val="18"/>
              </w:rPr>
              <w:t>奇绩效函【2023】1号关于印发《乡镇、部门（单位）2023年度绩效考核指标》的通知</w:t>
            </w:r>
          </w:p>
        </w:tc>
        <w:tc>
          <w:tcPr>
            <w:tcW w:w="1134" w:type="dxa"/>
            <w:tcBorders>
              <w:top w:val="nil"/>
              <w:left w:val="nil"/>
              <w:bottom w:val="single" w:color="auto" w:sz="4" w:space="0"/>
              <w:right w:val="single" w:color="auto" w:sz="4" w:space="0"/>
            </w:tcBorders>
            <w:shd w:val="clear" w:color="auto" w:fill="auto"/>
            <w:noWrap/>
            <w:vAlign w:val="center"/>
          </w:tcPr>
          <w:p w14:paraId="69FFF025">
            <w:pPr>
              <w:jc w:val="center"/>
            </w:pPr>
            <w:r>
              <w:rPr>
                <w:rFonts w:ascii="宋体" w:hAnsi="宋体"/>
                <w:sz w:val="18"/>
              </w:rPr>
              <w:t>20</w:t>
            </w:r>
          </w:p>
        </w:tc>
        <w:tc>
          <w:tcPr>
            <w:tcW w:w="992" w:type="dxa"/>
            <w:tcBorders>
              <w:top w:val="nil"/>
              <w:left w:val="nil"/>
              <w:bottom w:val="single" w:color="auto" w:sz="4" w:space="0"/>
              <w:right w:val="single" w:color="auto" w:sz="4" w:space="0"/>
            </w:tcBorders>
            <w:shd w:val="clear" w:color="auto" w:fill="auto"/>
            <w:noWrap/>
            <w:vAlign w:val="center"/>
          </w:tcPr>
          <w:p w14:paraId="1AACB43B">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6E8AF2E1">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63948B76">
            <w:pPr>
              <w:widowControl/>
              <w:jc w:val="center"/>
              <w:rPr>
                <w:rFonts w:hint="eastAsia" w:ascii="宋体" w:hAnsi="宋体" w:cs="宋体"/>
                <w:kern w:val="0"/>
                <w:sz w:val="18"/>
                <w:szCs w:val="18"/>
              </w:rPr>
            </w:pPr>
          </w:p>
        </w:tc>
      </w:tr>
      <w:tr w14:paraId="14FB1C03">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E6468C6">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3D141A5E">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474468F5">
            <w:pPr>
              <w:jc w:val="center"/>
            </w:pPr>
            <w:r>
              <w:rPr>
                <w:rFonts w:ascii="宋体" w:hAnsi="宋体"/>
                <w:sz w:val="18"/>
              </w:rPr>
              <w:t>援疆项目开复工率</w:t>
            </w:r>
          </w:p>
        </w:tc>
        <w:tc>
          <w:tcPr>
            <w:tcW w:w="1276" w:type="dxa"/>
            <w:tcBorders>
              <w:top w:val="nil"/>
              <w:left w:val="nil"/>
              <w:bottom w:val="single" w:color="auto" w:sz="4" w:space="0"/>
              <w:right w:val="single" w:color="auto" w:sz="4" w:space="0"/>
            </w:tcBorders>
            <w:shd w:val="clear" w:color="auto" w:fill="auto"/>
            <w:noWrap/>
            <w:vAlign w:val="center"/>
          </w:tcPr>
          <w:p w14:paraId="267B4C8E">
            <w:pPr>
              <w:jc w:val="center"/>
            </w:pPr>
            <w:r>
              <w:rPr>
                <w:rFonts w:ascii="宋体" w:hAnsi="宋体"/>
                <w:sz w:val="18"/>
              </w:rPr>
              <w:t>&gt;=100%</w:t>
            </w:r>
          </w:p>
        </w:tc>
        <w:tc>
          <w:tcPr>
            <w:tcW w:w="1701" w:type="dxa"/>
            <w:tcBorders>
              <w:top w:val="nil"/>
              <w:left w:val="nil"/>
              <w:bottom w:val="single" w:color="auto" w:sz="4" w:space="0"/>
              <w:right w:val="single" w:color="auto" w:sz="4" w:space="0"/>
            </w:tcBorders>
            <w:shd w:val="clear" w:color="auto" w:fill="auto"/>
            <w:noWrap/>
            <w:vAlign w:val="center"/>
          </w:tcPr>
          <w:p w14:paraId="6334BD59">
            <w:pPr>
              <w:jc w:val="center"/>
            </w:pPr>
            <w:r>
              <w:rPr>
                <w:rFonts w:ascii="宋体" w:hAnsi="宋体"/>
                <w:sz w:val="18"/>
              </w:rPr>
              <w:t>奇绩效函【2023】1号关于印发《乡镇、部门（单位）2023年度绩效考核指标》的通知</w:t>
            </w:r>
          </w:p>
        </w:tc>
        <w:tc>
          <w:tcPr>
            <w:tcW w:w="1134" w:type="dxa"/>
            <w:tcBorders>
              <w:top w:val="nil"/>
              <w:left w:val="nil"/>
              <w:bottom w:val="single" w:color="auto" w:sz="4" w:space="0"/>
              <w:right w:val="single" w:color="auto" w:sz="4" w:space="0"/>
            </w:tcBorders>
            <w:shd w:val="clear" w:color="auto" w:fill="auto"/>
            <w:noWrap/>
            <w:vAlign w:val="center"/>
          </w:tcPr>
          <w:p w14:paraId="7950F065">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31235691">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33BCC687">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6C18F851">
            <w:pPr>
              <w:widowControl/>
              <w:jc w:val="center"/>
              <w:rPr>
                <w:rFonts w:hint="eastAsia" w:ascii="宋体" w:hAnsi="宋体" w:cs="宋体"/>
                <w:kern w:val="0"/>
                <w:sz w:val="18"/>
                <w:szCs w:val="18"/>
              </w:rPr>
            </w:pPr>
          </w:p>
        </w:tc>
      </w:tr>
      <w:tr w14:paraId="1DD89CE2">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06E57D1">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42B8D4C">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35D86212">
            <w:pPr>
              <w:jc w:val="center"/>
            </w:pPr>
            <w:r>
              <w:rPr>
                <w:rFonts w:ascii="宋体" w:hAnsi="宋体"/>
                <w:sz w:val="18"/>
              </w:rPr>
              <w:t>开展2023年第三产业服务业指导帮促活动次数</w:t>
            </w:r>
          </w:p>
        </w:tc>
        <w:tc>
          <w:tcPr>
            <w:tcW w:w="1276" w:type="dxa"/>
            <w:tcBorders>
              <w:top w:val="nil"/>
              <w:left w:val="nil"/>
              <w:bottom w:val="single" w:color="auto" w:sz="4" w:space="0"/>
              <w:right w:val="single" w:color="auto" w:sz="4" w:space="0"/>
            </w:tcBorders>
            <w:shd w:val="clear" w:color="auto" w:fill="auto"/>
            <w:noWrap/>
            <w:vAlign w:val="center"/>
          </w:tcPr>
          <w:p w14:paraId="49371A21">
            <w:pPr>
              <w:jc w:val="center"/>
            </w:pPr>
            <w:r>
              <w:rPr>
                <w:rFonts w:ascii="宋体" w:hAnsi="宋体"/>
                <w:sz w:val="18"/>
              </w:rPr>
              <w:t>&gt;=2次</w:t>
            </w:r>
          </w:p>
        </w:tc>
        <w:tc>
          <w:tcPr>
            <w:tcW w:w="1701" w:type="dxa"/>
            <w:tcBorders>
              <w:top w:val="nil"/>
              <w:left w:val="nil"/>
              <w:bottom w:val="single" w:color="auto" w:sz="4" w:space="0"/>
              <w:right w:val="single" w:color="auto" w:sz="4" w:space="0"/>
            </w:tcBorders>
            <w:shd w:val="clear" w:color="auto" w:fill="auto"/>
            <w:noWrap/>
            <w:vAlign w:val="center"/>
          </w:tcPr>
          <w:p w14:paraId="61F22E04">
            <w:pPr>
              <w:jc w:val="center"/>
            </w:pPr>
            <w:r>
              <w:rPr>
                <w:rFonts w:ascii="宋体" w:hAnsi="宋体"/>
                <w:sz w:val="18"/>
              </w:rPr>
              <w:t>昌吉州第三产业发展2023年工作要点</w:t>
            </w:r>
          </w:p>
        </w:tc>
        <w:tc>
          <w:tcPr>
            <w:tcW w:w="1134" w:type="dxa"/>
            <w:tcBorders>
              <w:top w:val="nil"/>
              <w:left w:val="nil"/>
              <w:bottom w:val="single" w:color="auto" w:sz="4" w:space="0"/>
              <w:right w:val="single" w:color="auto" w:sz="4" w:space="0"/>
            </w:tcBorders>
            <w:shd w:val="clear" w:color="auto" w:fill="auto"/>
            <w:noWrap/>
            <w:vAlign w:val="center"/>
          </w:tcPr>
          <w:p w14:paraId="22DC3AFA">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75CF5565">
            <w:pPr>
              <w:jc w:val="center"/>
            </w:pPr>
            <w:r>
              <w:rPr>
                <w:rFonts w:ascii="宋体" w:hAnsi="宋体"/>
                <w:sz w:val="18"/>
              </w:rPr>
              <w:t>2次</w:t>
            </w:r>
          </w:p>
        </w:tc>
        <w:tc>
          <w:tcPr>
            <w:tcW w:w="720" w:type="dxa"/>
            <w:tcBorders>
              <w:top w:val="nil"/>
              <w:left w:val="nil"/>
              <w:bottom w:val="single" w:color="auto" w:sz="4" w:space="0"/>
              <w:right w:val="single" w:color="auto" w:sz="4" w:space="0"/>
            </w:tcBorders>
            <w:shd w:val="clear" w:color="auto" w:fill="auto"/>
            <w:noWrap/>
            <w:vAlign w:val="center"/>
          </w:tcPr>
          <w:p w14:paraId="2E0BF5F5">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1BE791FF">
            <w:pPr>
              <w:widowControl/>
              <w:jc w:val="center"/>
              <w:rPr>
                <w:rFonts w:hint="eastAsia" w:ascii="宋体" w:hAnsi="宋体" w:cs="宋体"/>
                <w:kern w:val="0"/>
                <w:sz w:val="18"/>
                <w:szCs w:val="18"/>
              </w:rPr>
            </w:pPr>
          </w:p>
        </w:tc>
      </w:tr>
      <w:tr w14:paraId="70939234">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A075B40">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744753A">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0851F6C9">
            <w:pPr>
              <w:jc w:val="center"/>
            </w:pPr>
            <w:r>
              <w:rPr>
                <w:rFonts w:ascii="宋体" w:hAnsi="宋体"/>
                <w:sz w:val="18"/>
              </w:rPr>
              <w:t>每季度开展一次辖区粮食企业巡查</w:t>
            </w:r>
          </w:p>
        </w:tc>
        <w:tc>
          <w:tcPr>
            <w:tcW w:w="1276" w:type="dxa"/>
            <w:tcBorders>
              <w:top w:val="nil"/>
              <w:left w:val="nil"/>
              <w:bottom w:val="single" w:color="auto" w:sz="4" w:space="0"/>
              <w:right w:val="single" w:color="auto" w:sz="4" w:space="0"/>
            </w:tcBorders>
            <w:shd w:val="clear" w:color="auto" w:fill="auto"/>
            <w:noWrap/>
            <w:vAlign w:val="center"/>
          </w:tcPr>
          <w:p w14:paraId="4B751FC9">
            <w:pPr>
              <w:jc w:val="center"/>
            </w:pPr>
            <w:r>
              <w:rPr>
                <w:rFonts w:ascii="宋体" w:hAnsi="宋体"/>
                <w:sz w:val="18"/>
              </w:rPr>
              <w:t>&gt;=4次</w:t>
            </w:r>
          </w:p>
        </w:tc>
        <w:tc>
          <w:tcPr>
            <w:tcW w:w="1701" w:type="dxa"/>
            <w:tcBorders>
              <w:top w:val="nil"/>
              <w:left w:val="nil"/>
              <w:bottom w:val="single" w:color="auto" w:sz="4" w:space="0"/>
              <w:right w:val="single" w:color="auto" w:sz="4" w:space="0"/>
            </w:tcBorders>
            <w:shd w:val="clear" w:color="auto" w:fill="auto"/>
            <w:noWrap/>
            <w:vAlign w:val="center"/>
          </w:tcPr>
          <w:p w14:paraId="675146A5">
            <w:pPr>
              <w:jc w:val="center"/>
            </w:pPr>
            <w:r>
              <w:rPr>
                <w:rFonts w:ascii="宋体" w:hAnsi="宋体"/>
                <w:sz w:val="18"/>
              </w:rPr>
              <w:t>奇绩效函【2023】1号关于印发《乡镇、部门（单位）2023年度绩效考核指标》的通知</w:t>
            </w:r>
          </w:p>
        </w:tc>
        <w:tc>
          <w:tcPr>
            <w:tcW w:w="1134" w:type="dxa"/>
            <w:tcBorders>
              <w:top w:val="nil"/>
              <w:left w:val="nil"/>
              <w:bottom w:val="single" w:color="auto" w:sz="4" w:space="0"/>
              <w:right w:val="single" w:color="auto" w:sz="4" w:space="0"/>
            </w:tcBorders>
            <w:shd w:val="clear" w:color="auto" w:fill="auto"/>
            <w:noWrap/>
            <w:vAlign w:val="center"/>
          </w:tcPr>
          <w:p w14:paraId="341025F9">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6A8D88DD">
            <w:pPr>
              <w:jc w:val="center"/>
            </w:pPr>
            <w:r>
              <w:rPr>
                <w:rFonts w:ascii="宋体" w:hAnsi="宋体"/>
                <w:sz w:val="18"/>
              </w:rPr>
              <w:t>4次</w:t>
            </w:r>
          </w:p>
        </w:tc>
        <w:tc>
          <w:tcPr>
            <w:tcW w:w="720" w:type="dxa"/>
            <w:tcBorders>
              <w:top w:val="nil"/>
              <w:left w:val="nil"/>
              <w:bottom w:val="single" w:color="auto" w:sz="4" w:space="0"/>
              <w:right w:val="single" w:color="auto" w:sz="4" w:space="0"/>
            </w:tcBorders>
            <w:shd w:val="clear" w:color="auto" w:fill="auto"/>
            <w:noWrap/>
            <w:vAlign w:val="center"/>
          </w:tcPr>
          <w:p w14:paraId="52C86418">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6CB4D671">
            <w:pPr>
              <w:widowControl/>
              <w:jc w:val="center"/>
              <w:rPr>
                <w:rFonts w:hint="eastAsia" w:ascii="宋体" w:hAnsi="宋体" w:cs="宋体"/>
                <w:kern w:val="0"/>
                <w:sz w:val="18"/>
                <w:szCs w:val="18"/>
              </w:rPr>
            </w:pPr>
          </w:p>
        </w:tc>
      </w:tr>
      <w:tr w14:paraId="73F5234D">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85CB71F">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7E9FF32">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6F00052">
            <w:pPr>
              <w:jc w:val="center"/>
            </w:pPr>
            <w:r>
              <w:rPr>
                <w:rFonts w:ascii="宋体" w:hAnsi="宋体"/>
                <w:sz w:val="18"/>
              </w:rPr>
              <w:t>江布拉克机场项目竣工验收次数</w:t>
            </w:r>
          </w:p>
        </w:tc>
        <w:tc>
          <w:tcPr>
            <w:tcW w:w="1276" w:type="dxa"/>
            <w:tcBorders>
              <w:top w:val="nil"/>
              <w:left w:val="nil"/>
              <w:bottom w:val="single" w:color="auto" w:sz="4" w:space="0"/>
              <w:right w:val="single" w:color="auto" w:sz="4" w:space="0"/>
            </w:tcBorders>
            <w:shd w:val="clear" w:color="auto" w:fill="auto"/>
            <w:noWrap/>
            <w:vAlign w:val="center"/>
          </w:tcPr>
          <w:p w14:paraId="70493DDA">
            <w:pPr>
              <w:jc w:val="center"/>
            </w:pPr>
            <w:r>
              <w:rPr>
                <w:rFonts w:ascii="宋体" w:hAnsi="宋体"/>
                <w:sz w:val="18"/>
              </w:rPr>
              <w:t>&gt;=1次</w:t>
            </w:r>
          </w:p>
        </w:tc>
        <w:tc>
          <w:tcPr>
            <w:tcW w:w="1701" w:type="dxa"/>
            <w:tcBorders>
              <w:top w:val="nil"/>
              <w:left w:val="nil"/>
              <w:bottom w:val="single" w:color="auto" w:sz="4" w:space="0"/>
              <w:right w:val="single" w:color="auto" w:sz="4" w:space="0"/>
            </w:tcBorders>
            <w:shd w:val="clear" w:color="auto" w:fill="auto"/>
            <w:noWrap/>
            <w:vAlign w:val="center"/>
          </w:tcPr>
          <w:p w14:paraId="44D6BBF9">
            <w:pPr>
              <w:jc w:val="center"/>
            </w:pPr>
            <w:r>
              <w:rPr>
                <w:rFonts w:ascii="宋体" w:hAnsi="宋体"/>
                <w:sz w:val="18"/>
              </w:rPr>
              <w:t>奇绩效函【2023】1号关于印发《乡镇、部门（单位）2023年度绩效考核指标》的通知</w:t>
            </w:r>
          </w:p>
        </w:tc>
        <w:tc>
          <w:tcPr>
            <w:tcW w:w="1134" w:type="dxa"/>
            <w:tcBorders>
              <w:top w:val="nil"/>
              <w:left w:val="nil"/>
              <w:bottom w:val="single" w:color="auto" w:sz="4" w:space="0"/>
              <w:right w:val="single" w:color="auto" w:sz="4" w:space="0"/>
            </w:tcBorders>
            <w:shd w:val="clear" w:color="auto" w:fill="auto"/>
            <w:noWrap/>
            <w:vAlign w:val="center"/>
          </w:tcPr>
          <w:p w14:paraId="7CF608F5">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05C2A67A">
            <w:pPr>
              <w:jc w:val="center"/>
            </w:pPr>
            <w:r>
              <w:rPr>
                <w:rFonts w:ascii="宋体" w:hAnsi="宋体"/>
                <w:sz w:val="18"/>
              </w:rPr>
              <w:t>1次</w:t>
            </w:r>
          </w:p>
        </w:tc>
        <w:tc>
          <w:tcPr>
            <w:tcW w:w="720" w:type="dxa"/>
            <w:tcBorders>
              <w:top w:val="nil"/>
              <w:left w:val="nil"/>
              <w:bottom w:val="single" w:color="auto" w:sz="4" w:space="0"/>
              <w:right w:val="single" w:color="auto" w:sz="4" w:space="0"/>
            </w:tcBorders>
            <w:shd w:val="clear" w:color="auto" w:fill="auto"/>
            <w:noWrap/>
            <w:vAlign w:val="center"/>
          </w:tcPr>
          <w:p w14:paraId="17795962">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2566CDE2">
            <w:pPr>
              <w:widowControl/>
              <w:jc w:val="center"/>
              <w:rPr>
                <w:rFonts w:hint="eastAsia" w:ascii="宋体" w:hAnsi="宋体" w:cs="宋体"/>
                <w:kern w:val="0"/>
                <w:sz w:val="18"/>
                <w:szCs w:val="18"/>
              </w:rPr>
            </w:pPr>
          </w:p>
        </w:tc>
      </w:tr>
      <w:tr w14:paraId="69A61C78">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E5836C3">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39399EFF">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2957367">
            <w:pPr>
              <w:jc w:val="center"/>
            </w:pPr>
            <w:r>
              <w:rPr>
                <w:rFonts w:ascii="宋体" w:hAnsi="宋体"/>
                <w:sz w:val="18"/>
              </w:rPr>
              <w:t>“十四五”规划中期评估报告和规划《纲要》（修订稿）编制次数</w:t>
            </w:r>
          </w:p>
        </w:tc>
        <w:tc>
          <w:tcPr>
            <w:tcW w:w="1276" w:type="dxa"/>
            <w:tcBorders>
              <w:top w:val="nil"/>
              <w:left w:val="nil"/>
              <w:bottom w:val="single" w:color="auto" w:sz="4" w:space="0"/>
              <w:right w:val="single" w:color="auto" w:sz="4" w:space="0"/>
            </w:tcBorders>
            <w:shd w:val="clear" w:color="auto" w:fill="auto"/>
            <w:noWrap/>
            <w:vAlign w:val="center"/>
          </w:tcPr>
          <w:p w14:paraId="6A791D4B">
            <w:pPr>
              <w:jc w:val="center"/>
            </w:pPr>
            <w:r>
              <w:rPr>
                <w:rFonts w:ascii="宋体" w:hAnsi="宋体"/>
                <w:sz w:val="18"/>
              </w:rPr>
              <w:t>&gt;=1项</w:t>
            </w:r>
          </w:p>
        </w:tc>
        <w:tc>
          <w:tcPr>
            <w:tcW w:w="1701" w:type="dxa"/>
            <w:tcBorders>
              <w:top w:val="nil"/>
              <w:left w:val="nil"/>
              <w:bottom w:val="single" w:color="auto" w:sz="4" w:space="0"/>
              <w:right w:val="single" w:color="auto" w:sz="4" w:space="0"/>
            </w:tcBorders>
            <w:shd w:val="clear" w:color="auto" w:fill="auto"/>
            <w:noWrap/>
            <w:vAlign w:val="center"/>
          </w:tcPr>
          <w:p w14:paraId="4365AF39">
            <w:pPr>
              <w:jc w:val="center"/>
            </w:pPr>
            <w:r>
              <w:rPr>
                <w:rFonts w:ascii="宋体" w:hAnsi="宋体"/>
                <w:sz w:val="18"/>
              </w:rPr>
              <w:t>自治州“十四五”规划（纲要）实施情况中期评估和调整修订工作方案的通知</w:t>
            </w:r>
          </w:p>
        </w:tc>
        <w:tc>
          <w:tcPr>
            <w:tcW w:w="1134" w:type="dxa"/>
            <w:tcBorders>
              <w:top w:val="nil"/>
              <w:left w:val="nil"/>
              <w:bottom w:val="single" w:color="auto" w:sz="4" w:space="0"/>
              <w:right w:val="single" w:color="auto" w:sz="4" w:space="0"/>
            </w:tcBorders>
            <w:shd w:val="clear" w:color="auto" w:fill="auto"/>
            <w:noWrap/>
            <w:vAlign w:val="center"/>
          </w:tcPr>
          <w:p w14:paraId="2EFFE38B">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29C90A10">
            <w:pPr>
              <w:jc w:val="center"/>
            </w:pPr>
            <w:r>
              <w:rPr>
                <w:rFonts w:ascii="宋体" w:hAnsi="宋体"/>
                <w:sz w:val="18"/>
              </w:rPr>
              <w:t>1项</w:t>
            </w:r>
          </w:p>
        </w:tc>
        <w:tc>
          <w:tcPr>
            <w:tcW w:w="720" w:type="dxa"/>
            <w:tcBorders>
              <w:top w:val="nil"/>
              <w:left w:val="nil"/>
              <w:bottom w:val="single" w:color="auto" w:sz="4" w:space="0"/>
              <w:right w:val="single" w:color="auto" w:sz="4" w:space="0"/>
            </w:tcBorders>
            <w:shd w:val="clear" w:color="auto" w:fill="auto"/>
            <w:noWrap/>
            <w:vAlign w:val="center"/>
          </w:tcPr>
          <w:p w14:paraId="2093D4FE">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625ECB32">
            <w:pPr>
              <w:widowControl/>
              <w:jc w:val="center"/>
              <w:rPr>
                <w:rFonts w:hint="eastAsia" w:ascii="宋体" w:hAnsi="宋体" w:cs="宋体"/>
                <w:kern w:val="0"/>
                <w:sz w:val="18"/>
                <w:szCs w:val="18"/>
              </w:rPr>
            </w:pPr>
          </w:p>
        </w:tc>
      </w:tr>
    </w:tbl>
    <w:p w14:paraId="249F2999">
      <w:pPr>
        <w:rPr>
          <w:rFonts w:hint="eastAsia" w:ascii="宋体" w:hAnsi="宋体" w:cs="宋体"/>
          <w:b/>
          <w:bCs/>
          <w:kern w:val="0"/>
          <w:sz w:val="18"/>
          <w:szCs w:val="18"/>
        </w:rPr>
      </w:pPr>
    </w:p>
    <w:p w14:paraId="090B8BAE">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1AFA556D">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82BE29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ABE7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DDB111A">
            <w:pPr>
              <w:jc w:val="center"/>
            </w:pPr>
            <w:r>
              <w:rPr>
                <w:rFonts w:ascii="宋体" w:hAnsi="宋体"/>
                <w:sz w:val="18"/>
              </w:rPr>
              <w:t>2023年度农产品成本调查经费</w:t>
            </w:r>
          </w:p>
        </w:tc>
      </w:tr>
      <w:tr w14:paraId="16A199A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A1AE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13BE9B4C">
            <w:pPr>
              <w:jc w:val="center"/>
            </w:pPr>
            <w:r>
              <w:rPr>
                <w:rFonts w:ascii="宋体" w:hAnsi="宋体"/>
                <w:sz w:val="18"/>
              </w:rPr>
              <w:t>奇台县发展和改革委员会</w:t>
            </w:r>
          </w:p>
        </w:tc>
        <w:tc>
          <w:tcPr>
            <w:tcW w:w="1275" w:type="dxa"/>
            <w:gridSpan w:val="2"/>
            <w:tcBorders>
              <w:top w:val="nil"/>
              <w:left w:val="nil"/>
              <w:bottom w:val="single" w:color="auto" w:sz="4" w:space="0"/>
              <w:right w:val="single" w:color="000000" w:sz="4" w:space="0"/>
            </w:tcBorders>
            <w:shd w:val="clear" w:color="auto" w:fill="auto"/>
            <w:vAlign w:val="center"/>
          </w:tcPr>
          <w:p w14:paraId="125876DF">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66D50EB1">
            <w:pPr>
              <w:jc w:val="center"/>
            </w:pPr>
            <w:r>
              <w:rPr>
                <w:rFonts w:ascii="宋体" w:hAnsi="宋体"/>
                <w:sz w:val="18"/>
              </w:rPr>
              <w:t>奇台县发展和改革委员会</w:t>
            </w:r>
          </w:p>
        </w:tc>
      </w:tr>
      <w:tr w14:paraId="309EFD9A">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90977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60EF350">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6992A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0CFD02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6168A5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6B49A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9AA27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FC9ED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3F7849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E73B88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87A62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A3279DD">
            <w:pPr>
              <w:jc w:val="center"/>
            </w:pPr>
            <w:r>
              <w:rPr>
                <w:rFonts w:ascii="宋体" w:hAnsi="宋体"/>
                <w:sz w:val="18"/>
              </w:rPr>
              <w:t>5.00</w:t>
            </w:r>
          </w:p>
        </w:tc>
        <w:tc>
          <w:tcPr>
            <w:tcW w:w="1125" w:type="dxa"/>
            <w:tcBorders>
              <w:top w:val="nil"/>
              <w:left w:val="nil"/>
              <w:bottom w:val="single" w:color="auto" w:sz="4" w:space="0"/>
              <w:right w:val="single" w:color="auto" w:sz="4" w:space="0"/>
            </w:tcBorders>
            <w:shd w:val="clear" w:color="auto" w:fill="auto"/>
            <w:noWrap/>
            <w:vAlign w:val="center"/>
          </w:tcPr>
          <w:p w14:paraId="6D79E39B">
            <w:pPr>
              <w:jc w:val="center"/>
            </w:pPr>
            <w:r>
              <w:rPr>
                <w:rFonts w:ascii="宋体" w:hAnsi="宋体"/>
                <w:sz w:val="18"/>
              </w:rPr>
              <w:t>5.00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81DA6B8">
            <w:pPr>
              <w:jc w:val="center"/>
            </w:pPr>
            <w:r>
              <w:rPr>
                <w:rFonts w:ascii="宋体" w:hAnsi="宋体"/>
                <w:sz w:val="18"/>
              </w:rPr>
              <w:t>5.00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491D2F6">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956F36C">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67C537B8">
            <w:pPr>
              <w:jc w:val="center"/>
            </w:pPr>
            <w:r>
              <w:rPr>
                <w:rFonts w:ascii="宋体" w:hAnsi="宋体"/>
                <w:sz w:val="18"/>
              </w:rPr>
              <w:t>10.00</w:t>
            </w:r>
          </w:p>
        </w:tc>
      </w:tr>
      <w:tr w14:paraId="13AB2CA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9A7045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75DD2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550E84A">
            <w:pPr>
              <w:jc w:val="center"/>
            </w:pPr>
            <w:r>
              <w:rPr>
                <w:rFonts w:ascii="宋体" w:hAnsi="宋体"/>
                <w:sz w:val="18"/>
              </w:rPr>
              <w:t>5.00</w:t>
            </w:r>
          </w:p>
        </w:tc>
        <w:tc>
          <w:tcPr>
            <w:tcW w:w="1125" w:type="dxa"/>
            <w:tcBorders>
              <w:top w:val="nil"/>
              <w:left w:val="nil"/>
              <w:bottom w:val="single" w:color="auto" w:sz="4" w:space="0"/>
              <w:right w:val="single" w:color="auto" w:sz="4" w:space="0"/>
            </w:tcBorders>
            <w:shd w:val="clear" w:color="auto" w:fill="auto"/>
            <w:noWrap/>
            <w:vAlign w:val="center"/>
          </w:tcPr>
          <w:p w14:paraId="2BEC1A01">
            <w:pPr>
              <w:jc w:val="center"/>
            </w:pPr>
            <w:r>
              <w:rPr>
                <w:rFonts w:ascii="宋体" w:hAnsi="宋体"/>
                <w:sz w:val="18"/>
              </w:rPr>
              <w:t>5.00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BAE57E8">
            <w:pPr>
              <w:jc w:val="center"/>
            </w:pPr>
            <w:r>
              <w:rPr>
                <w:rFonts w:ascii="宋体" w:hAnsi="宋体"/>
                <w:sz w:val="18"/>
              </w:rPr>
              <w:t>5.00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A6F13F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25D6C1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5081F7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FB28EC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8DC22F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036F9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7FF7FA9">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1FD16418">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EF99D33">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910750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765B28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37DE47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C5D1C3D">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01B87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7B1B26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5BAD24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574EF8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B110150">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166C39E6">
            <w:pPr>
              <w:jc w:val="left"/>
            </w:pPr>
            <w:r>
              <w:rPr>
                <w:rFonts w:ascii="宋体" w:hAnsi="宋体"/>
                <w:sz w:val="18"/>
              </w:rPr>
              <w:t>我县为农本调查直报县，负责填报小麦、玉米、油葵、甜菜、生猪5种农产品调查类型。每年开展2次实地调查及2次农本调查户人员培训，更有效的提高农本调查数据的真实性。通过农产品调查，为制定农产品价格、财政补贴、保险及农业支持政策参考数据，为建立农资综合补贴动态机制提供成本数据，为农业补贴的调查提供科学依据。</w:t>
            </w:r>
          </w:p>
        </w:tc>
        <w:tc>
          <w:tcPr>
            <w:tcW w:w="4677" w:type="dxa"/>
            <w:gridSpan w:val="7"/>
            <w:tcBorders>
              <w:top w:val="single" w:color="auto" w:sz="4" w:space="0"/>
              <w:left w:val="nil"/>
              <w:bottom w:val="single" w:color="auto" w:sz="4" w:space="0"/>
              <w:right w:val="single" w:color="000000" w:sz="4" w:space="0"/>
            </w:tcBorders>
            <w:shd w:val="clear" w:color="auto" w:fill="auto"/>
          </w:tcPr>
          <w:p w14:paraId="50F5EC3E">
            <w:pPr>
              <w:jc w:val="left"/>
            </w:pPr>
            <w:r>
              <w:rPr>
                <w:rFonts w:ascii="宋体" w:hAnsi="宋体"/>
                <w:sz w:val="18"/>
              </w:rPr>
              <w:t>我县为农本调查直报县，负责填报小麦、玉米、油葵、甜菜、生猪5种农产品调查类型。每年开展2次实地调查及2次农本调查户人员培训，更有效的提高农本调查数据的真实性。通过农产品调查，为制定农产品价格、财政补贴、保险及农业支持政策参考数据，为建立农资综合补贴动态机制提供成本数据，为农业补贴的调查提供科学依据。</w:t>
            </w:r>
          </w:p>
        </w:tc>
      </w:tr>
      <w:tr w14:paraId="649DEA09">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214C755">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22FEC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39C8E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11B6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6A812C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788570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4291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E2ED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AD12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E4450C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92837E2">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6F4A00F">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1AD39D0">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D8FBCA6">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1E450F36">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5A655B77">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D72BDB1">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5E42ADC">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D4D01A2">
            <w:pPr>
              <w:widowControl/>
              <w:jc w:val="left"/>
              <w:rPr>
                <w:rFonts w:hint="eastAsia" w:ascii="宋体" w:hAnsi="宋体" w:cs="宋体"/>
                <w:color w:val="000000"/>
                <w:kern w:val="0"/>
                <w:sz w:val="18"/>
                <w:szCs w:val="18"/>
              </w:rPr>
            </w:pPr>
          </w:p>
        </w:tc>
      </w:tr>
      <w:tr w14:paraId="0F1BF29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DDCEE6F">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FB42557">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D094EC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91EF4EA">
            <w:pPr>
              <w:jc w:val="center"/>
            </w:pPr>
            <w:r>
              <w:rPr>
                <w:rFonts w:ascii="宋体" w:hAnsi="宋体"/>
                <w:sz w:val="18"/>
              </w:rPr>
              <w:t>农产品成本调查品种数</w:t>
            </w:r>
          </w:p>
        </w:tc>
        <w:tc>
          <w:tcPr>
            <w:tcW w:w="1125" w:type="dxa"/>
            <w:tcBorders>
              <w:top w:val="nil"/>
              <w:left w:val="nil"/>
              <w:bottom w:val="single" w:color="auto" w:sz="4" w:space="0"/>
              <w:right w:val="single" w:color="auto" w:sz="4" w:space="0"/>
            </w:tcBorders>
            <w:shd w:val="clear" w:color="auto" w:fill="auto"/>
            <w:vAlign w:val="center"/>
          </w:tcPr>
          <w:p w14:paraId="43A694B1">
            <w:pPr>
              <w:jc w:val="center"/>
            </w:pPr>
            <w:r>
              <w:rPr>
                <w:rFonts w:ascii="宋体" w:hAnsi="宋体"/>
                <w:sz w:val="18"/>
              </w:rPr>
              <w:t>=5种</w:t>
            </w:r>
          </w:p>
        </w:tc>
        <w:tc>
          <w:tcPr>
            <w:tcW w:w="1229" w:type="dxa"/>
            <w:tcBorders>
              <w:top w:val="nil"/>
              <w:left w:val="nil"/>
              <w:bottom w:val="single" w:color="auto" w:sz="4" w:space="0"/>
              <w:right w:val="single" w:color="auto" w:sz="4" w:space="0"/>
            </w:tcBorders>
            <w:shd w:val="clear" w:color="auto" w:fill="auto"/>
            <w:vAlign w:val="center"/>
          </w:tcPr>
          <w:p w14:paraId="68A3226A">
            <w:pPr>
              <w:jc w:val="center"/>
            </w:pPr>
            <w:r>
              <w:rPr>
                <w:rFonts w:ascii="宋体" w:hAnsi="宋体"/>
                <w:sz w:val="18"/>
              </w:rPr>
              <w:t>=5种</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56C2DB9">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222FDA8">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369DBA5">
            <w:pPr>
              <w:jc w:val="center"/>
            </w:pPr>
          </w:p>
        </w:tc>
      </w:tr>
      <w:tr w14:paraId="6CF8D7E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36D77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8F58C3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F10B72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F4E39B8">
            <w:pPr>
              <w:jc w:val="center"/>
            </w:pPr>
            <w:r>
              <w:rPr>
                <w:rFonts w:ascii="宋体" w:hAnsi="宋体"/>
                <w:sz w:val="18"/>
              </w:rPr>
              <w:t>开展对农本调查人员的业务培训次数</w:t>
            </w:r>
          </w:p>
        </w:tc>
        <w:tc>
          <w:tcPr>
            <w:tcW w:w="1125" w:type="dxa"/>
            <w:tcBorders>
              <w:top w:val="nil"/>
              <w:left w:val="nil"/>
              <w:bottom w:val="single" w:color="auto" w:sz="4" w:space="0"/>
              <w:right w:val="single" w:color="auto" w:sz="4" w:space="0"/>
            </w:tcBorders>
            <w:shd w:val="clear" w:color="auto" w:fill="auto"/>
            <w:vAlign w:val="center"/>
          </w:tcPr>
          <w:p w14:paraId="1708FB53">
            <w:pPr>
              <w:jc w:val="center"/>
            </w:pPr>
            <w:r>
              <w:rPr>
                <w:rFonts w:ascii="宋体" w:hAnsi="宋体"/>
                <w:sz w:val="18"/>
              </w:rPr>
              <w:t>=2次</w:t>
            </w:r>
          </w:p>
        </w:tc>
        <w:tc>
          <w:tcPr>
            <w:tcW w:w="1229" w:type="dxa"/>
            <w:tcBorders>
              <w:top w:val="nil"/>
              <w:left w:val="nil"/>
              <w:bottom w:val="single" w:color="auto" w:sz="4" w:space="0"/>
              <w:right w:val="single" w:color="auto" w:sz="4" w:space="0"/>
            </w:tcBorders>
            <w:shd w:val="clear" w:color="auto" w:fill="auto"/>
            <w:vAlign w:val="center"/>
          </w:tcPr>
          <w:p w14:paraId="4E9E4A76">
            <w:pPr>
              <w:jc w:val="center"/>
            </w:pPr>
            <w:r>
              <w:rPr>
                <w:rFonts w:ascii="宋体" w:hAnsi="宋体"/>
                <w:sz w:val="18"/>
              </w:rPr>
              <w:t>=2次</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99B6A42">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A483434">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F077AA4">
            <w:pPr>
              <w:jc w:val="center"/>
            </w:pPr>
          </w:p>
        </w:tc>
      </w:tr>
      <w:tr w14:paraId="7BD7F5A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80334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E3B193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C42E2DD">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06259B">
            <w:pPr>
              <w:jc w:val="center"/>
            </w:pPr>
            <w:r>
              <w:rPr>
                <w:rFonts w:ascii="宋体" w:hAnsi="宋体"/>
                <w:sz w:val="18"/>
              </w:rPr>
              <w:t>开展实地调查次数</w:t>
            </w:r>
          </w:p>
        </w:tc>
        <w:tc>
          <w:tcPr>
            <w:tcW w:w="1125" w:type="dxa"/>
            <w:tcBorders>
              <w:top w:val="nil"/>
              <w:left w:val="nil"/>
              <w:bottom w:val="single" w:color="auto" w:sz="4" w:space="0"/>
              <w:right w:val="single" w:color="auto" w:sz="4" w:space="0"/>
            </w:tcBorders>
            <w:shd w:val="clear" w:color="auto" w:fill="auto"/>
            <w:vAlign w:val="center"/>
          </w:tcPr>
          <w:p w14:paraId="2FDD85AC">
            <w:pPr>
              <w:jc w:val="center"/>
            </w:pPr>
            <w:r>
              <w:rPr>
                <w:rFonts w:ascii="宋体" w:hAnsi="宋体"/>
                <w:sz w:val="18"/>
              </w:rPr>
              <w:t>=2次</w:t>
            </w:r>
          </w:p>
        </w:tc>
        <w:tc>
          <w:tcPr>
            <w:tcW w:w="1229" w:type="dxa"/>
            <w:tcBorders>
              <w:top w:val="nil"/>
              <w:left w:val="nil"/>
              <w:bottom w:val="single" w:color="auto" w:sz="4" w:space="0"/>
              <w:right w:val="single" w:color="auto" w:sz="4" w:space="0"/>
            </w:tcBorders>
            <w:shd w:val="clear" w:color="auto" w:fill="auto"/>
            <w:vAlign w:val="center"/>
          </w:tcPr>
          <w:p w14:paraId="605DF392">
            <w:pPr>
              <w:jc w:val="center"/>
            </w:pPr>
            <w:r>
              <w:rPr>
                <w:rFonts w:ascii="宋体" w:hAnsi="宋体"/>
                <w:sz w:val="18"/>
              </w:rPr>
              <w:t>=2次</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F560AF3">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2EEB6C2">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AE6304E">
            <w:pPr>
              <w:jc w:val="center"/>
            </w:pPr>
          </w:p>
        </w:tc>
      </w:tr>
      <w:tr w14:paraId="611D6D6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F8E9C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62D61E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6123A0F">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4A0215">
            <w:pPr>
              <w:jc w:val="center"/>
            </w:pPr>
            <w:r>
              <w:rPr>
                <w:rFonts w:ascii="宋体" w:hAnsi="宋体"/>
                <w:sz w:val="18"/>
              </w:rPr>
              <w:t>制定开展项目符合农产品调查目录规定的权限和范围比率（%)</w:t>
            </w:r>
          </w:p>
        </w:tc>
        <w:tc>
          <w:tcPr>
            <w:tcW w:w="1125" w:type="dxa"/>
            <w:tcBorders>
              <w:top w:val="nil"/>
              <w:left w:val="nil"/>
              <w:bottom w:val="single" w:color="auto" w:sz="4" w:space="0"/>
              <w:right w:val="single" w:color="auto" w:sz="4" w:space="0"/>
            </w:tcBorders>
            <w:shd w:val="clear" w:color="auto" w:fill="auto"/>
            <w:vAlign w:val="center"/>
          </w:tcPr>
          <w:p w14:paraId="263E8EB0">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8F4AC1C">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D7B9485">
            <w:pPr>
              <w:jc w:val="center"/>
            </w:pPr>
            <w:r>
              <w:rPr>
                <w:rFonts w:ascii="宋体" w:hAnsi="宋体"/>
                <w:sz w:val="18"/>
              </w:rPr>
              <w:t>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8FDB72A">
            <w:pPr>
              <w:jc w:val="center"/>
            </w:pPr>
            <w:r>
              <w:rPr>
                <w:rFonts w:ascii="宋体" w:hAnsi="宋体"/>
                <w:sz w:val="18"/>
              </w:rPr>
              <w:t>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868A20B">
            <w:pPr>
              <w:jc w:val="center"/>
            </w:pPr>
          </w:p>
        </w:tc>
      </w:tr>
      <w:tr w14:paraId="565D043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FA76A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3A7095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A1EF1B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02B53B8">
            <w:pPr>
              <w:jc w:val="center"/>
            </w:pPr>
            <w:r>
              <w:rPr>
                <w:rFonts w:ascii="宋体" w:hAnsi="宋体"/>
                <w:sz w:val="18"/>
              </w:rPr>
              <w:t>农本调查人员培训参与率(%)</w:t>
            </w:r>
          </w:p>
        </w:tc>
        <w:tc>
          <w:tcPr>
            <w:tcW w:w="1125" w:type="dxa"/>
            <w:tcBorders>
              <w:top w:val="nil"/>
              <w:left w:val="nil"/>
              <w:bottom w:val="single" w:color="auto" w:sz="4" w:space="0"/>
              <w:right w:val="single" w:color="auto" w:sz="4" w:space="0"/>
            </w:tcBorders>
            <w:shd w:val="clear" w:color="auto" w:fill="auto"/>
            <w:vAlign w:val="center"/>
          </w:tcPr>
          <w:p w14:paraId="09377EB5">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1049675">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80CE2E5">
            <w:pPr>
              <w:jc w:val="center"/>
            </w:pPr>
            <w:r>
              <w:rPr>
                <w:rFonts w:ascii="宋体" w:hAnsi="宋体"/>
                <w:sz w:val="18"/>
              </w:rPr>
              <w:t>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1691D3E">
            <w:pPr>
              <w:jc w:val="center"/>
            </w:pPr>
            <w:r>
              <w:rPr>
                <w:rFonts w:ascii="宋体" w:hAnsi="宋体"/>
                <w:sz w:val="18"/>
              </w:rPr>
              <w:t>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893BA3F">
            <w:pPr>
              <w:jc w:val="center"/>
            </w:pPr>
          </w:p>
        </w:tc>
      </w:tr>
      <w:tr w14:paraId="6D1A345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77793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772E90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E62C9DF">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EE7546B">
            <w:pPr>
              <w:jc w:val="center"/>
            </w:pPr>
            <w:r>
              <w:rPr>
                <w:rFonts w:ascii="宋体" w:hAnsi="宋体"/>
                <w:sz w:val="18"/>
              </w:rPr>
              <w:t>开展实地调查覆盖率（%）</w:t>
            </w:r>
          </w:p>
        </w:tc>
        <w:tc>
          <w:tcPr>
            <w:tcW w:w="1125" w:type="dxa"/>
            <w:tcBorders>
              <w:top w:val="nil"/>
              <w:left w:val="nil"/>
              <w:bottom w:val="single" w:color="auto" w:sz="4" w:space="0"/>
              <w:right w:val="single" w:color="auto" w:sz="4" w:space="0"/>
            </w:tcBorders>
            <w:shd w:val="clear" w:color="auto" w:fill="auto"/>
            <w:vAlign w:val="center"/>
          </w:tcPr>
          <w:p w14:paraId="5B9E4FA1">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361CD9F">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A1A2973">
            <w:pPr>
              <w:jc w:val="center"/>
            </w:pPr>
            <w:r>
              <w:rPr>
                <w:rFonts w:ascii="宋体" w:hAnsi="宋体"/>
                <w:sz w:val="18"/>
              </w:rPr>
              <w:t>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8B4EEB5">
            <w:pPr>
              <w:jc w:val="center"/>
            </w:pPr>
            <w:r>
              <w:rPr>
                <w:rFonts w:ascii="宋体" w:hAnsi="宋体"/>
                <w:sz w:val="18"/>
              </w:rPr>
              <w:t>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03645A1">
            <w:pPr>
              <w:jc w:val="center"/>
            </w:pPr>
          </w:p>
        </w:tc>
      </w:tr>
      <w:tr w14:paraId="7C4E1C9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55C09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1CA77D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F6426CD">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319390">
            <w:pPr>
              <w:jc w:val="center"/>
            </w:pPr>
            <w:r>
              <w:rPr>
                <w:rFonts w:ascii="宋体" w:hAnsi="宋体"/>
                <w:sz w:val="18"/>
              </w:rPr>
              <w:t>农产品调查完成期限</w:t>
            </w:r>
          </w:p>
        </w:tc>
        <w:tc>
          <w:tcPr>
            <w:tcW w:w="1125" w:type="dxa"/>
            <w:tcBorders>
              <w:top w:val="nil"/>
              <w:left w:val="nil"/>
              <w:bottom w:val="single" w:color="auto" w:sz="4" w:space="0"/>
              <w:right w:val="single" w:color="auto" w:sz="4" w:space="0"/>
            </w:tcBorders>
            <w:shd w:val="clear" w:color="auto" w:fill="auto"/>
            <w:vAlign w:val="center"/>
          </w:tcPr>
          <w:p w14:paraId="48F6D65A">
            <w:pPr>
              <w:jc w:val="center"/>
            </w:pPr>
            <w:r>
              <w:rPr>
                <w:rFonts w:ascii="宋体" w:hAnsi="宋体"/>
                <w:sz w:val="18"/>
              </w:rPr>
              <w:t>=2023年12月31日</w:t>
            </w:r>
          </w:p>
        </w:tc>
        <w:tc>
          <w:tcPr>
            <w:tcW w:w="1229" w:type="dxa"/>
            <w:tcBorders>
              <w:top w:val="nil"/>
              <w:left w:val="nil"/>
              <w:bottom w:val="single" w:color="auto" w:sz="4" w:space="0"/>
              <w:right w:val="single" w:color="auto" w:sz="4" w:space="0"/>
            </w:tcBorders>
            <w:shd w:val="clear" w:color="auto" w:fill="auto"/>
            <w:vAlign w:val="center"/>
          </w:tcPr>
          <w:p w14:paraId="408A08C5">
            <w:pPr>
              <w:jc w:val="center"/>
            </w:pPr>
            <w:r>
              <w:rPr>
                <w:rFonts w:ascii="宋体" w:hAnsi="宋体"/>
                <w:sz w:val="18"/>
              </w:rPr>
              <w:t>=2023年12月31日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A7F51C0">
            <w:pPr>
              <w:jc w:val="center"/>
            </w:pPr>
            <w:r>
              <w:rPr>
                <w:rFonts w:ascii="宋体" w:hAnsi="宋体"/>
                <w:sz w:val="18"/>
              </w:rPr>
              <w:t>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16FE09B">
            <w:pPr>
              <w:jc w:val="center"/>
            </w:pPr>
            <w:r>
              <w:rPr>
                <w:rFonts w:ascii="宋体" w:hAnsi="宋体"/>
                <w:sz w:val="18"/>
              </w:rPr>
              <w:t>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C087A71">
            <w:pPr>
              <w:jc w:val="center"/>
            </w:pPr>
          </w:p>
        </w:tc>
      </w:tr>
      <w:tr w14:paraId="5FFDFEE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AC8B8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571817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E7FF696">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E23C237">
            <w:pPr>
              <w:jc w:val="center"/>
            </w:pPr>
            <w:r>
              <w:rPr>
                <w:rFonts w:ascii="宋体" w:hAnsi="宋体"/>
                <w:sz w:val="18"/>
              </w:rPr>
              <w:t>开展对农产品调查人员培训及时率（%）</w:t>
            </w:r>
          </w:p>
        </w:tc>
        <w:tc>
          <w:tcPr>
            <w:tcW w:w="1125" w:type="dxa"/>
            <w:tcBorders>
              <w:top w:val="nil"/>
              <w:left w:val="nil"/>
              <w:bottom w:val="single" w:color="auto" w:sz="4" w:space="0"/>
              <w:right w:val="single" w:color="auto" w:sz="4" w:space="0"/>
            </w:tcBorders>
            <w:shd w:val="clear" w:color="auto" w:fill="auto"/>
            <w:vAlign w:val="center"/>
          </w:tcPr>
          <w:p w14:paraId="7CDE9D35">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341E34F">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1B9F44A">
            <w:pPr>
              <w:jc w:val="center"/>
            </w:pPr>
            <w:r>
              <w:rPr>
                <w:rFonts w:ascii="宋体" w:hAnsi="宋体"/>
                <w:sz w:val="18"/>
              </w:rPr>
              <w:t>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5DD8345">
            <w:pPr>
              <w:jc w:val="center"/>
            </w:pPr>
            <w:r>
              <w:rPr>
                <w:rFonts w:ascii="宋体" w:hAnsi="宋体"/>
                <w:sz w:val="18"/>
              </w:rPr>
              <w:t>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E01A404">
            <w:pPr>
              <w:jc w:val="center"/>
            </w:pPr>
          </w:p>
        </w:tc>
      </w:tr>
      <w:tr w14:paraId="27D468C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E28A86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8D1520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143E15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293699">
            <w:pPr>
              <w:jc w:val="center"/>
            </w:pPr>
            <w:r>
              <w:rPr>
                <w:rFonts w:ascii="宋体" w:hAnsi="宋体"/>
                <w:sz w:val="18"/>
              </w:rPr>
              <w:t>开展实地调查及时率（%）</w:t>
            </w:r>
          </w:p>
        </w:tc>
        <w:tc>
          <w:tcPr>
            <w:tcW w:w="1125" w:type="dxa"/>
            <w:tcBorders>
              <w:top w:val="nil"/>
              <w:left w:val="nil"/>
              <w:bottom w:val="single" w:color="auto" w:sz="4" w:space="0"/>
              <w:right w:val="single" w:color="auto" w:sz="4" w:space="0"/>
            </w:tcBorders>
            <w:shd w:val="clear" w:color="auto" w:fill="auto"/>
            <w:vAlign w:val="center"/>
          </w:tcPr>
          <w:p w14:paraId="1C2083EB">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6719D46">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FAB442B">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863193D">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CCBF721">
            <w:pPr>
              <w:jc w:val="center"/>
            </w:pPr>
          </w:p>
        </w:tc>
      </w:tr>
      <w:tr w14:paraId="04E15F4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C4988D">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031D0F2D">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CDBDC6F">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A452CF">
            <w:pPr>
              <w:jc w:val="center"/>
            </w:pPr>
            <w:r>
              <w:rPr>
                <w:rFonts w:ascii="宋体" w:hAnsi="宋体"/>
                <w:sz w:val="18"/>
              </w:rPr>
              <w:t>农本调查实地培训</w:t>
            </w:r>
          </w:p>
        </w:tc>
        <w:tc>
          <w:tcPr>
            <w:tcW w:w="1125" w:type="dxa"/>
            <w:tcBorders>
              <w:top w:val="nil"/>
              <w:left w:val="nil"/>
              <w:bottom w:val="single" w:color="auto" w:sz="4" w:space="0"/>
              <w:right w:val="single" w:color="auto" w:sz="4" w:space="0"/>
            </w:tcBorders>
            <w:shd w:val="clear" w:color="auto" w:fill="auto"/>
            <w:vAlign w:val="center"/>
          </w:tcPr>
          <w:p w14:paraId="6009C0C8">
            <w:pPr>
              <w:jc w:val="center"/>
            </w:pPr>
            <w:r>
              <w:rPr>
                <w:rFonts w:ascii="宋体" w:hAnsi="宋体"/>
                <w:sz w:val="18"/>
              </w:rPr>
              <w:t>=2.50万元</w:t>
            </w:r>
          </w:p>
        </w:tc>
        <w:tc>
          <w:tcPr>
            <w:tcW w:w="1229" w:type="dxa"/>
            <w:tcBorders>
              <w:top w:val="nil"/>
              <w:left w:val="nil"/>
              <w:bottom w:val="single" w:color="auto" w:sz="4" w:space="0"/>
              <w:right w:val="single" w:color="auto" w:sz="4" w:space="0"/>
            </w:tcBorders>
            <w:shd w:val="clear" w:color="auto" w:fill="auto"/>
            <w:vAlign w:val="center"/>
          </w:tcPr>
          <w:p w14:paraId="7135914B">
            <w:pPr>
              <w:jc w:val="center"/>
            </w:pPr>
            <w:r>
              <w:rPr>
                <w:rFonts w:ascii="宋体" w:hAnsi="宋体"/>
                <w:sz w:val="18"/>
              </w:rPr>
              <w:t>=2.5万元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F13E5E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966B77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49A0C93">
            <w:pPr>
              <w:jc w:val="center"/>
            </w:pPr>
          </w:p>
        </w:tc>
      </w:tr>
      <w:tr w14:paraId="54337C3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104A7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D0632E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1DC19DF">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3D931FE">
            <w:pPr>
              <w:jc w:val="center"/>
            </w:pPr>
            <w:r>
              <w:rPr>
                <w:rFonts w:ascii="宋体" w:hAnsi="宋体"/>
                <w:sz w:val="18"/>
              </w:rPr>
              <w:t>实地调查成本</w:t>
            </w:r>
          </w:p>
        </w:tc>
        <w:tc>
          <w:tcPr>
            <w:tcW w:w="1125" w:type="dxa"/>
            <w:tcBorders>
              <w:top w:val="nil"/>
              <w:left w:val="nil"/>
              <w:bottom w:val="single" w:color="auto" w:sz="4" w:space="0"/>
              <w:right w:val="single" w:color="auto" w:sz="4" w:space="0"/>
            </w:tcBorders>
            <w:shd w:val="clear" w:color="auto" w:fill="auto"/>
            <w:vAlign w:val="center"/>
          </w:tcPr>
          <w:p w14:paraId="0E5F96AC">
            <w:pPr>
              <w:jc w:val="center"/>
            </w:pPr>
            <w:r>
              <w:rPr>
                <w:rFonts w:ascii="宋体" w:hAnsi="宋体"/>
                <w:sz w:val="18"/>
              </w:rPr>
              <w:t>=2.50万元</w:t>
            </w:r>
          </w:p>
        </w:tc>
        <w:tc>
          <w:tcPr>
            <w:tcW w:w="1229" w:type="dxa"/>
            <w:tcBorders>
              <w:top w:val="nil"/>
              <w:left w:val="nil"/>
              <w:bottom w:val="single" w:color="auto" w:sz="4" w:space="0"/>
              <w:right w:val="single" w:color="auto" w:sz="4" w:space="0"/>
            </w:tcBorders>
            <w:shd w:val="clear" w:color="auto" w:fill="auto"/>
            <w:vAlign w:val="center"/>
          </w:tcPr>
          <w:p w14:paraId="0423FD36">
            <w:pPr>
              <w:jc w:val="center"/>
            </w:pPr>
            <w:r>
              <w:rPr>
                <w:rFonts w:ascii="宋体" w:hAnsi="宋体"/>
                <w:sz w:val="18"/>
              </w:rPr>
              <w:t>=2.5万元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3B5A0FC">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9EDCF5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33931AC">
            <w:pPr>
              <w:jc w:val="center"/>
            </w:pPr>
          </w:p>
        </w:tc>
      </w:tr>
      <w:tr w14:paraId="6DB8DAD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31E11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294FA48">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8528E93">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2345EE4">
            <w:pPr>
              <w:jc w:val="center"/>
            </w:pPr>
            <w:r>
              <w:rPr>
                <w:rFonts w:ascii="宋体" w:hAnsi="宋体"/>
                <w:sz w:val="18"/>
              </w:rPr>
              <w:t>为各级政府研究和农业政策政策提供数据</w:t>
            </w:r>
          </w:p>
        </w:tc>
        <w:tc>
          <w:tcPr>
            <w:tcW w:w="1125" w:type="dxa"/>
            <w:tcBorders>
              <w:top w:val="nil"/>
              <w:left w:val="nil"/>
              <w:bottom w:val="single" w:color="auto" w:sz="4" w:space="0"/>
              <w:right w:val="single" w:color="auto" w:sz="4" w:space="0"/>
            </w:tcBorders>
            <w:shd w:val="clear" w:color="auto" w:fill="auto"/>
            <w:vAlign w:val="center"/>
          </w:tcPr>
          <w:p w14:paraId="3E29213A">
            <w:pPr>
              <w:jc w:val="center"/>
            </w:pPr>
            <w:r>
              <w:rPr>
                <w:rFonts w:ascii="宋体" w:hAnsi="宋体"/>
                <w:sz w:val="18"/>
              </w:rPr>
              <w:t>有效提供</w:t>
            </w:r>
          </w:p>
        </w:tc>
        <w:tc>
          <w:tcPr>
            <w:tcW w:w="1229" w:type="dxa"/>
            <w:tcBorders>
              <w:top w:val="nil"/>
              <w:left w:val="nil"/>
              <w:bottom w:val="single" w:color="auto" w:sz="4" w:space="0"/>
              <w:right w:val="single" w:color="auto" w:sz="4" w:space="0"/>
            </w:tcBorders>
            <w:shd w:val="clear" w:color="auto" w:fill="auto"/>
            <w:vAlign w:val="center"/>
          </w:tcPr>
          <w:p w14:paraId="4AEC8416">
            <w:pPr>
              <w:jc w:val="center"/>
            </w:pPr>
            <w:r>
              <w:rPr>
                <w:rFonts w:ascii="宋体" w:hAnsi="宋体"/>
                <w:sz w:val="18"/>
              </w:rPr>
              <w:t>有效提供</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E942DE9">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5B22F64">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FD0F0F5">
            <w:pPr>
              <w:jc w:val="center"/>
            </w:pPr>
          </w:p>
        </w:tc>
      </w:tr>
      <w:tr w14:paraId="5FADF65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7B0634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4DCF69A">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BED560C">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B0AFDF9">
            <w:pPr>
              <w:jc w:val="center"/>
            </w:pPr>
            <w:r>
              <w:rPr>
                <w:rFonts w:ascii="宋体" w:hAnsi="宋体"/>
                <w:sz w:val="18"/>
              </w:rPr>
              <w:t>农本调查人员满意度</w:t>
            </w:r>
          </w:p>
        </w:tc>
        <w:tc>
          <w:tcPr>
            <w:tcW w:w="1125" w:type="dxa"/>
            <w:tcBorders>
              <w:top w:val="nil"/>
              <w:left w:val="nil"/>
              <w:bottom w:val="single" w:color="auto" w:sz="4" w:space="0"/>
              <w:right w:val="single" w:color="auto" w:sz="4" w:space="0"/>
            </w:tcBorders>
            <w:shd w:val="clear" w:color="auto" w:fill="auto"/>
            <w:vAlign w:val="center"/>
          </w:tcPr>
          <w:p w14:paraId="2FBE1DB6">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2B86AA4E">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8404E5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60A8846">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D1A9409">
            <w:pPr>
              <w:jc w:val="center"/>
            </w:pPr>
          </w:p>
        </w:tc>
      </w:tr>
      <w:tr w14:paraId="6FF16CA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FD10023">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7FFF1AF3">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78B9CD1E">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AFEE705">
            <w:pPr>
              <w:jc w:val="center"/>
            </w:pPr>
          </w:p>
        </w:tc>
      </w:tr>
    </w:tbl>
    <w:p w14:paraId="1BE31C17">
      <w:pPr>
        <w:rPr>
          <w:rFonts w:hint="eastAsia" w:ascii="宋体" w:hAnsi="宋体" w:cs="宋体"/>
          <w:b/>
          <w:bCs/>
          <w:kern w:val="0"/>
          <w:sz w:val="18"/>
          <w:szCs w:val="18"/>
        </w:rPr>
      </w:pPr>
    </w:p>
    <w:p w14:paraId="72B95FEA">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4CA191BD">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3157CDE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60D1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659E29F">
            <w:pPr>
              <w:jc w:val="center"/>
            </w:pPr>
            <w:r>
              <w:rPr>
                <w:rFonts w:ascii="宋体" w:hAnsi="宋体"/>
                <w:sz w:val="18"/>
              </w:rPr>
              <w:t>关于拨付2023年度州级地储粮、应急使用植物油储备费用的通知</w:t>
            </w:r>
          </w:p>
        </w:tc>
      </w:tr>
      <w:tr w14:paraId="086ECAB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82A5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7F1DB59A">
            <w:pPr>
              <w:jc w:val="center"/>
            </w:pPr>
            <w:r>
              <w:rPr>
                <w:rFonts w:ascii="宋体" w:hAnsi="宋体"/>
                <w:sz w:val="18"/>
              </w:rPr>
              <w:t>奇台县发展和改革委员会</w:t>
            </w:r>
          </w:p>
        </w:tc>
        <w:tc>
          <w:tcPr>
            <w:tcW w:w="1276" w:type="dxa"/>
            <w:gridSpan w:val="2"/>
            <w:tcBorders>
              <w:top w:val="nil"/>
              <w:left w:val="nil"/>
              <w:bottom w:val="single" w:color="auto" w:sz="4" w:space="0"/>
              <w:right w:val="single" w:color="000000" w:sz="4" w:space="0"/>
            </w:tcBorders>
            <w:shd w:val="clear" w:color="auto" w:fill="auto"/>
            <w:vAlign w:val="center"/>
          </w:tcPr>
          <w:p w14:paraId="31CCC2A4">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1753E46C">
            <w:pPr>
              <w:jc w:val="center"/>
            </w:pPr>
            <w:r>
              <w:rPr>
                <w:rFonts w:ascii="宋体" w:hAnsi="宋体"/>
                <w:sz w:val="18"/>
              </w:rPr>
              <w:t>奇台县发展和改革委员会</w:t>
            </w:r>
          </w:p>
        </w:tc>
      </w:tr>
      <w:tr w14:paraId="5739DEA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63B3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4E0D095">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FAEA3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39BB52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62648B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64929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FC0AE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1DFEE8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5BF3A4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21E91D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9CEC1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BD49DEE">
            <w:pPr>
              <w:jc w:val="center"/>
            </w:pPr>
            <w:r>
              <w:rPr>
                <w:rFonts w:ascii="宋体" w:hAnsi="宋体"/>
                <w:sz w:val="18"/>
              </w:rPr>
              <w:t>177.50</w:t>
            </w:r>
          </w:p>
        </w:tc>
        <w:tc>
          <w:tcPr>
            <w:tcW w:w="1266" w:type="dxa"/>
            <w:tcBorders>
              <w:top w:val="nil"/>
              <w:left w:val="nil"/>
              <w:bottom w:val="single" w:color="auto" w:sz="4" w:space="0"/>
              <w:right w:val="single" w:color="auto" w:sz="4" w:space="0"/>
            </w:tcBorders>
            <w:shd w:val="clear" w:color="auto" w:fill="auto"/>
            <w:noWrap/>
            <w:vAlign w:val="center"/>
          </w:tcPr>
          <w:p w14:paraId="46BB861B">
            <w:pPr>
              <w:jc w:val="center"/>
            </w:pPr>
            <w:r>
              <w:rPr>
                <w:rFonts w:ascii="宋体" w:hAnsi="宋体"/>
                <w:sz w:val="18"/>
              </w:rPr>
              <w:t>177.50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314A110">
            <w:pPr>
              <w:jc w:val="center"/>
            </w:pPr>
            <w:r>
              <w:rPr>
                <w:rFonts w:ascii="宋体" w:hAnsi="宋体"/>
                <w:sz w:val="18"/>
              </w:rPr>
              <w:t>177.50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973A1D3">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41412A4">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611BE223">
            <w:pPr>
              <w:jc w:val="center"/>
            </w:pPr>
            <w:r>
              <w:rPr>
                <w:rFonts w:ascii="宋体" w:hAnsi="宋体"/>
                <w:sz w:val="18"/>
              </w:rPr>
              <w:t>10.00</w:t>
            </w:r>
          </w:p>
        </w:tc>
      </w:tr>
      <w:tr w14:paraId="31C947B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42B55F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D8CAF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9266D41">
            <w:pPr>
              <w:jc w:val="center"/>
            </w:pPr>
            <w:r>
              <w:rPr>
                <w:rFonts w:ascii="宋体" w:hAnsi="宋体"/>
                <w:sz w:val="18"/>
              </w:rPr>
              <w:t>177.50</w:t>
            </w:r>
          </w:p>
        </w:tc>
        <w:tc>
          <w:tcPr>
            <w:tcW w:w="1266" w:type="dxa"/>
            <w:tcBorders>
              <w:top w:val="nil"/>
              <w:left w:val="nil"/>
              <w:bottom w:val="single" w:color="auto" w:sz="4" w:space="0"/>
              <w:right w:val="single" w:color="auto" w:sz="4" w:space="0"/>
            </w:tcBorders>
            <w:shd w:val="clear" w:color="auto" w:fill="auto"/>
            <w:noWrap/>
            <w:vAlign w:val="center"/>
          </w:tcPr>
          <w:p w14:paraId="523A5DA2">
            <w:pPr>
              <w:jc w:val="center"/>
            </w:pPr>
            <w:r>
              <w:rPr>
                <w:rFonts w:ascii="宋体" w:hAnsi="宋体"/>
                <w:sz w:val="18"/>
              </w:rPr>
              <w:t>177.50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426F5FB">
            <w:pPr>
              <w:jc w:val="center"/>
            </w:pPr>
            <w:r>
              <w:rPr>
                <w:rFonts w:ascii="宋体" w:hAnsi="宋体"/>
                <w:sz w:val="18"/>
              </w:rPr>
              <w:t>177.50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5B767C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8148BE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748754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3B4C79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1D1269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FC2A3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9102935">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4C099BC9">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7AA5D71">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DCF6F5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9EF851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4D2BD4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4C21B9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95950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027AF9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42B780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F3E144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5A82B04">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4F873223">
            <w:pPr>
              <w:jc w:val="left"/>
            </w:pPr>
            <w:r>
              <w:rPr>
                <w:rFonts w:ascii="宋体" w:hAnsi="宋体"/>
                <w:sz w:val="18"/>
              </w:rPr>
              <w:t>州级地储粮储备量为10000吨，承储地储粮质量达标率为100%，地储粮储备到位率为100%，承储时间为365天，提高应急救助为有效提高，企业满意度为95%</w:t>
            </w:r>
          </w:p>
        </w:tc>
        <w:tc>
          <w:tcPr>
            <w:tcW w:w="4536" w:type="dxa"/>
            <w:gridSpan w:val="7"/>
            <w:tcBorders>
              <w:top w:val="single" w:color="auto" w:sz="4" w:space="0"/>
              <w:left w:val="nil"/>
              <w:bottom w:val="single" w:color="auto" w:sz="4" w:space="0"/>
              <w:right w:val="single" w:color="000000" w:sz="4" w:space="0"/>
            </w:tcBorders>
            <w:shd w:val="clear" w:color="auto" w:fill="auto"/>
          </w:tcPr>
          <w:p w14:paraId="109B41F5">
            <w:pPr>
              <w:jc w:val="left"/>
            </w:pPr>
            <w:r>
              <w:rPr>
                <w:rFonts w:ascii="宋体" w:hAnsi="宋体"/>
                <w:sz w:val="18"/>
              </w:rPr>
              <w:t>州级地储粮储备量为10000吨，承储地储粮质量达标率为100%，地储粮储备到位率为100%，承储时间为365天，提高应急救助为有效提高，企业满意度为95%</w:t>
            </w:r>
          </w:p>
        </w:tc>
      </w:tr>
      <w:tr w14:paraId="2B885114">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B9D553D">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DDBF6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A960B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4AC3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542FE6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4CB90D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24E41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2DC03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3399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7F5ED7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79B3E2A">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9AC9931">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D7DAEAA">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9A27CA3">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09943AA2">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1699FBEC">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C624083">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051A8C5">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7C47CD5">
            <w:pPr>
              <w:widowControl/>
              <w:jc w:val="left"/>
              <w:rPr>
                <w:rFonts w:hint="eastAsia" w:ascii="宋体" w:hAnsi="宋体" w:cs="宋体"/>
                <w:color w:val="000000"/>
                <w:kern w:val="0"/>
                <w:sz w:val="18"/>
                <w:szCs w:val="18"/>
              </w:rPr>
            </w:pPr>
          </w:p>
        </w:tc>
      </w:tr>
      <w:tr w14:paraId="7D9B4BDC">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0A3D243">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7C61AB3">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5FB0E0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55396C">
            <w:pPr>
              <w:jc w:val="center"/>
            </w:pPr>
            <w:r>
              <w:rPr>
                <w:rFonts w:ascii="宋体" w:hAnsi="宋体"/>
                <w:sz w:val="18"/>
              </w:rPr>
              <w:t>地储粮储备量</w:t>
            </w:r>
          </w:p>
        </w:tc>
        <w:tc>
          <w:tcPr>
            <w:tcW w:w="1266" w:type="dxa"/>
            <w:tcBorders>
              <w:top w:val="nil"/>
              <w:left w:val="nil"/>
              <w:bottom w:val="single" w:color="auto" w:sz="4" w:space="0"/>
              <w:right w:val="single" w:color="auto" w:sz="4" w:space="0"/>
            </w:tcBorders>
            <w:shd w:val="clear" w:color="auto" w:fill="auto"/>
            <w:vAlign w:val="center"/>
          </w:tcPr>
          <w:p w14:paraId="7F889DC7">
            <w:pPr>
              <w:jc w:val="center"/>
            </w:pPr>
            <w:r>
              <w:rPr>
                <w:rFonts w:ascii="宋体" w:hAnsi="宋体"/>
                <w:sz w:val="18"/>
              </w:rPr>
              <w:t>&gt;=10000吨</w:t>
            </w:r>
          </w:p>
        </w:tc>
        <w:tc>
          <w:tcPr>
            <w:tcW w:w="1088" w:type="dxa"/>
            <w:tcBorders>
              <w:top w:val="nil"/>
              <w:left w:val="nil"/>
              <w:bottom w:val="single" w:color="auto" w:sz="4" w:space="0"/>
              <w:right w:val="single" w:color="auto" w:sz="4" w:space="0"/>
            </w:tcBorders>
            <w:shd w:val="clear" w:color="auto" w:fill="auto"/>
            <w:vAlign w:val="center"/>
          </w:tcPr>
          <w:p w14:paraId="3719C851">
            <w:pPr>
              <w:jc w:val="center"/>
            </w:pPr>
            <w:r>
              <w:rPr>
                <w:rFonts w:ascii="宋体" w:hAnsi="宋体"/>
                <w:sz w:val="18"/>
              </w:rPr>
              <w:t>=10000吨</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32689F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888A27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CCCF337">
            <w:pPr>
              <w:jc w:val="center"/>
            </w:pPr>
          </w:p>
        </w:tc>
      </w:tr>
      <w:tr w14:paraId="24F8C46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BA30A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6EA637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8F7C24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3E4C7AF">
            <w:pPr>
              <w:jc w:val="center"/>
            </w:pPr>
            <w:r>
              <w:rPr>
                <w:rFonts w:ascii="宋体" w:hAnsi="宋体"/>
                <w:sz w:val="18"/>
              </w:rPr>
              <w:t>地储粮质量达标率</w:t>
            </w:r>
          </w:p>
        </w:tc>
        <w:tc>
          <w:tcPr>
            <w:tcW w:w="1266" w:type="dxa"/>
            <w:tcBorders>
              <w:top w:val="nil"/>
              <w:left w:val="nil"/>
              <w:bottom w:val="single" w:color="auto" w:sz="4" w:space="0"/>
              <w:right w:val="single" w:color="auto" w:sz="4" w:space="0"/>
            </w:tcBorders>
            <w:shd w:val="clear" w:color="auto" w:fill="auto"/>
            <w:vAlign w:val="center"/>
          </w:tcPr>
          <w:p w14:paraId="7ACD264A">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B42DB0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EDA201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10D1BA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EEB53BF">
            <w:pPr>
              <w:jc w:val="center"/>
            </w:pPr>
          </w:p>
        </w:tc>
      </w:tr>
      <w:tr w14:paraId="797CC8C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94046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77AB55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98BD29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1B2B6B">
            <w:pPr>
              <w:jc w:val="center"/>
            </w:pPr>
            <w:r>
              <w:rPr>
                <w:rFonts w:ascii="宋体" w:hAnsi="宋体"/>
                <w:sz w:val="18"/>
              </w:rPr>
              <w:t>地储粮储备到位率</w:t>
            </w:r>
          </w:p>
        </w:tc>
        <w:tc>
          <w:tcPr>
            <w:tcW w:w="1266" w:type="dxa"/>
            <w:tcBorders>
              <w:top w:val="nil"/>
              <w:left w:val="nil"/>
              <w:bottom w:val="single" w:color="auto" w:sz="4" w:space="0"/>
              <w:right w:val="single" w:color="auto" w:sz="4" w:space="0"/>
            </w:tcBorders>
            <w:shd w:val="clear" w:color="auto" w:fill="auto"/>
            <w:vAlign w:val="center"/>
          </w:tcPr>
          <w:p w14:paraId="515DA108">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FF77EC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4C888F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C3A52C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48766BB">
            <w:pPr>
              <w:jc w:val="center"/>
            </w:pPr>
          </w:p>
        </w:tc>
      </w:tr>
      <w:tr w14:paraId="5C79310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2E967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D50155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44FCC4D">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5D7F36">
            <w:pPr>
              <w:jc w:val="center"/>
            </w:pPr>
            <w:r>
              <w:rPr>
                <w:rFonts w:ascii="宋体" w:hAnsi="宋体"/>
                <w:sz w:val="18"/>
              </w:rPr>
              <w:t>承储时间</w:t>
            </w:r>
          </w:p>
        </w:tc>
        <w:tc>
          <w:tcPr>
            <w:tcW w:w="1266" w:type="dxa"/>
            <w:tcBorders>
              <w:top w:val="nil"/>
              <w:left w:val="nil"/>
              <w:bottom w:val="single" w:color="auto" w:sz="4" w:space="0"/>
              <w:right w:val="single" w:color="auto" w:sz="4" w:space="0"/>
            </w:tcBorders>
            <w:shd w:val="clear" w:color="auto" w:fill="auto"/>
            <w:vAlign w:val="center"/>
          </w:tcPr>
          <w:p w14:paraId="41E62145">
            <w:pPr>
              <w:jc w:val="center"/>
            </w:pPr>
            <w:r>
              <w:rPr>
                <w:rFonts w:ascii="宋体" w:hAnsi="宋体"/>
                <w:sz w:val="18"/>
              </w:rPr>
              <w:t>=365天</w:t>
            </w:r>
          </w:p>
        </w:tc>
        <w:tc>
          <w:tcPr>
            <w:tcW w:w="1088" w:type="dxa"/>
            <w:tcBorders>
              <w:top w:val="nil"/>
              <w:left w:val="nil"/>
              <w:bottom w:val="single" w:color="auto" w:sz="4" w:space="0"/>
              <w:right w:val="single" w:color="auto" w:sz="4" w:space="0"/>
            </w:tcBorders>
            <w:shd w:val="clear" w:color="auto" w:fill="auto"/>
            <w:vAlign w:val="center"/>
          </w:tcPr>
          <w:p w14:paraId="34972836">
            <w:pPr>
              <w:jc w:val="center"/>
            </w:pPr>
            <w:r>
              <w:rPr>
                <w:rFonts w:ascii="宋体" w:hAnsi="宋体"/>
                <w:sz w:val="18"/>
              </w:rPr>
              <w:t>=365天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5EE78C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89C705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48E91B9">
            <w:pPr>
              <w:jc w:val="center"/>
            </w:pPr>
          </w:p>
        </w:tc>
      </w:tr>
      <w:tr w14:paraId="5D2C6A8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5BF7E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341F82A">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4DA3349">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1EE2AB2">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08E8CAD4">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65B9EA8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86709C5">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3EEA469">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525FB74">
            <w:pPr>
              <w:jc w:val="center"/>
            </w:pPr>
          </w:p>
        </w:tc>
      </w:tr>
      <w:tr w14:paraId="2BF7912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BFFB1A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B4E5F9A">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8B68949">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DBD968D">
            <w:pPr>
              <w:jc w:val="center"/>
            </w:pPr>
            <w:r>
              <w:rPr>
                <w:rFonts w:ascii="宋体" w:hAnsi="宋体"/>
                <w:sz w:val="18"/>
              </w:rPr>
              <w:t>提高应急救助能力</w:t>
            </w:r>
          </w:p>
        </w:tc>
        <w:tc>
          <w:tcPr>
            <w:tcW w:w="1266" w:type="dxa"/>
            <w:tcBorders>
              <w:top w:val="nil"/>
              <w:left w:val="nil"/>
              <w:bottom w:val="single" w:color="auto" w:sz="4" w:space="0"/>
              <w:right w:val="single" w:color="auto" w:sz="4" w:space="0"/>
            </w:tcBorders>
            <w:shd w:val="clear" w:color="auto" w:fill="auto"/>
            <w:vAlign w:val="center"/>
          </w:tcPr>
          <w:p w14:paraId="7D4581AD">
            <w:pPr>
              <w:jc w:val="center"/>
            </w:pPr>
            <w:r>
              <w:rPr>
                <w:rFonts w:ascii="宋体" w:hAnsi="宋体"/>
                <w:sz w:val="18"/>
              </w:rPr>
              <w:t>有效提高</w:t>
            </w:r>
          </w:p>
        </w:tc>
        <w:tc>
          <w:tcPr>
            <w:tcW w:w="1088" w:type="dxa"/>
            <w:tcBorders>
              <w:top w:val="nil"/>
              <w:left w:val="nil"/>
              <w:bottom w:val="single" w:color="auto" w:sz="4" w:space="0"/>
              <w:right w:val="single" w:color="auto" w:sz="4" w:space="0"/>
            </w:tcBorders>
            <w:shd w:val="clear" w:color="auto" w:fill="auto"/>
            <w:vAlign w:val="center"/>
          </w:tcPr>
          <w:p w14:paraId="6E8CBD9C">
            <w:pPr>
              <w:jc w:val="center"/>
            </w:pPr>
            <w:r>
              <w:rPr>
                <w:rFonts w:ascii="宋体" w:hAnsi="宋体"/>
                <w:sz w:val="18"/>
              </w:rPr>
              <w:t>有效提高</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852FBF0">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298002E">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C4B9DF4">
            <w:pPr>
              <w:jc w:val="center"/>
            </w:pPr>
          </w:p>
        </w:tc>
      </w:tr>
      <w:tr w14:paraId="0D10E43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88543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013B406">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EEE0F2F">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DC98972">
            <w:pPr>
              <w:jc w:val="center"/>
            </w:pPr>
            <w:r>
              <w:rPr>
                <w:rFonts w:ascii="宋体" w:hAnsi="宋体"/>
                <w:sz w:val="18"/>
              </w:rPr>
              <w:t>企业满意度（%）</w:t>
            </w:r>
          </w:p>
        </w:tc>
        <w:tc>
          <w:tcPr>
            <w:tcW w:w="1266" w:type="dxa"/>
            <w:tcBorders>
              <w:top w:val="nil"/>
              <w:left w:val="nil"/>
              <w:bottom w:val="single" w:color="auto" w:sz="4" w:space="0"/>
              <w:right w:val="single" w:color="auto" w:sz="4" w:space="0"/>
            </w:tcBorders>
            <w:shd w:val="clear" w:color="auto" w:fill="auto"/>
            <w:vAlign w:val="center"/>
          </w:tcPr>
          <w:p w14:paraId="07AA8833">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3437BF54">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9B3D93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3A051A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868F1CC">
            <w:pPr>
              <w:jc w:val="center"/>
            </w:pPr>
          </w:p>
        </w:tc>
      </w:tr>
      <w:tr w14:paraId="7E687CE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C0F17C5">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A0FD6F4">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CB6282E">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33048DF">
            <w:pPr>
              <w:jc w:val="center"/>
            </w:pPr>
          </w:p>
        </w:tc>
      </w:tr>
    </w:tbl>
    <w:p w14:paraId="098BDD32">
      <w:pPr>
        <w:rPr>
          <w:rFonts w:hint="eastAsia" w:ascii="宋体" w:hAnsi="宋体" w:cs="宋体"/>
          <w:b/>
          <w:bCs/>
          <w:kern w:val="0"/>
          <w:sz w:val="18"/>
          <w:szCs w:val="18"/>
        </w:rPr>
      </w:pPr>
    </w:p>
    <w:p w14:paraId="55B17AA4">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14BAB74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5116A9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14EB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FA0C0CD">
            <w:pPr>
              <w:jc w:val="center"/>
            </w:pPr>
            <w:r>
              <w:rPr>
                <w:rFonts w:ascii="宋体" w:hAnsi="宋体"/>
                <w:sz w:val="18"/>
              </w:rPr>
              <w:t>关于拨付奇台县惠民蔬菜店建设工程资金的通知（信访）</w:t>
            </w:r>
          </w:p>
        </w:tc>
      </w:tr>
      <w:tr w14:paraId="31456E2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32EE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25042222">
            <w:pPr>
              <w:jc w:val="center"/>
            </w:pPr>
            <w:r>
              <w:rPr>
                <w:rFonts w:ascii="宋体" w:hAnsi="宋体"/>
                <w:sz w:val="18"/>
              </w:rPr>
              <w:t>奇台县发展和改革委员会</w:t>
            </w:r>
          </w:p>
        </w:tc>
        <w:tc>
          <w:tcPr>
            <w:tcW w:w="1275" w:type="dxa"/>
            <w:gridSpan w:val="2"/>
            <w:tcBorders>
              <w:top w:val="nil"/>
              <w:left w:val="nil"/>
              <w:bottom w:val="single" w:color="auto" w:sz="4" w:space="0"/>
              <w:right w:val="single" w:color="000000" w:sz="4" w:space="0"/>
            </w:tcBorders>
            <w:shd w:val="clear" w:color="auto" w:fill="auto"/>
            <w:vAlign w:val="center"/>
          </w:tcPr>
          <w:p w14:paraId="2A9E42C0">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147395C5">
            <w:pPr>
              <w:jc w:val="center"/>
            </w:pPr>
            <w:r>
              <w:rPr>
                <w:rFonts w:ascii="宋体" w:hAnsi="宋体"/>
                <w:sz w:val="18"/>
              </w:rPr>
              <w:t>奇台县发展和改革委员会</w:t>
            </w:r>
          </w:p>
        </w:tc>
      </w:tr>
      <w:tr w14:paraId="6D7BF1B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F9E87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FAE3936">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9D58C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006EB5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323870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A31EC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85308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46E7B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BDC822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6F5BA2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BF414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DB06B64">
            <w:pPr>
              <w:jc w:val="center"/>
            </w:pPr>
            <w:r>
              <w:rPr>
                <w:rFonts w:ascii="宋体" w:hAnsi="宋体"/>
                <w:sz w:val="18"/>
              </w:rPr>
              <w:t>20.00</w:t>
            </w:r>
          </w:p>
        </w:tc>
        <w:tc>
          <w:tcPr>
            <w:tcW w:w="1125" w:type="dxa"/>
            <w:tcBorders>
              <w:top w:val="nil"/>
              <w:left w:val="nil"/>
              <w:bottom w:val="single" w:color="auto" w:sz="4" w:space="0"/>
              <w:right w:val="single" w:color="auto" w:sz="4" w:space="0"/>
            </w:tcBorders>
            <w:shd w:val="clear" w:color="auto" w:fill="auto"/>
            <w:noWrap/>
            <w:vAlign w:val="center"/>
          </w:tcPr>
          <w:p w14:paraId="3414ACED">
            <w:pPr>
              <w:jc w:val="center"/>
            </w:pPr>
            <w:r>
              <w:rPr>
                <w:rFonts w:ascii="宋体" w:hAnsi="宋体"/>
                <w:sz w:val="18"/>
              </w:rPr>
              <w:t>20.00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83AD286">
            <w:pPr>
              <w:jc w:val="center"/>
            </w:pPr>
            <w:r>
              <w:rPr>
                <w:rFonts w:ascii="宋体" w:hAnsi="宋体"/>
                <w:sz w:val="18"/>
              </w:rPr>
              <w:t>20.00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3AB0AAA">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3C4E722">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63E3F936">
            <w:pPr>
              <w:jc w:val="center"/>
            </w:pPr>
            <w:r>
              <w:rPr>
                <w:rFonts w:ascii="宋体" w:hAnsi="宋体"/>
                <w:sz w:val="18"/>
              </w:rPr>
              <w:t>10.00</w:t>
            </w:r>
          </w:p>
        </w:tc>
      </w:tr>
      <w:tr w14:paraId="650C1B7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57AF85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9956B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4418EE8">
            <w:pPr>
              <w:jc w:val="center"/>
            </w:pPr>
            <w:r>
              <w:rPr>
                <w:rFonts w:ascii="宋体" w:hAnsi="宋体"/>
                <w:sz w:val="18"/>
              </w:rPr>
              <w:t>20.00</w:t>
            </w:r>
          </w:p>
        </w:tc>
        <w:tc>
          <w:tcPr>
            <w:tcW w:w="1125" w:type="dxa"/>
            <w:tcBorders>
              <w:top w:val="nil"/>
              <w:left w:val="nil"/>
              <w:bottom w:val="single" w:color="auto" w:sz="4" w:space="0"/>
              <w:right w:val="single" w:color="auto" w:sz="4" w:space="0"/>
            </w:tcBorders>
            <w:shd w:val="clear" w:color="auto" w:fill="auto"/>
            <w:noWrap/>
            <w:vAlign w:val="center"/>
          </w:tcPr>
          <w:p w14:paraId="42144DBF">
            <w:pPr>
              <w:jc w:val="center"/>
            </w:pPr>
            <w:r>
              <w:rPr>
                <w:rFonts w:ascii="宋体" w:hAnsi="宋体"/>
                <w:sz w:val="18"/>
              </w:rPr>
              <w:t>20.00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FF76EB5">
            <w:pPr>
              <w:jc w:val="center"/>
            </w:pPr>
            <w:r>
              <w:rPr>
                <w:rFonts w:ascii="宋体" w:hAnsi="宋体"/>
                <w:sz w:val="18"/>
              </w:rPr>
              <w:t>20.00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25ED2D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ACA9D8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A0B0D5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AE6706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C85D7E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5B7A9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1DD6185">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24F2E038">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49080F7">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6B04C3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46799B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580D7E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813323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57343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21E92A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091EA7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90FC7B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37A8C27">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5F5F66BE">
            <w:pPr>
              <w:jc w:val="left"/>
            </w:pPr>
            <w:r>
              <w:rPr>
                <w:rFonts w:ascii="宋体" w:hAnsi="宋体"/>
                <w:sz w:val="18"/>
              </w:rPr>
              <w:t>债务支付笔数2笔，债务资金支付完成率100%，债务还款准确率100%，债务资金支付率100%，保障单位良好信用，支付对象满意度达90%。</w:t>
            </w:r>
          </w:p>
        </w:tc>
        <w:tc>
          <w:tcPr>
            <w:tcW w:w="4677" w:type="dxa"/>
            <w:gridSpan w:val="7"/>
            <w:tcBorders>
              <w:top w:val="single" w:color="auto" w:sz="4" w:space="0"/>
              <w:left w:val="nil"/>
              <w:bottom w:val="single" w:color="auto" w:sz="4" w:space="0"/>
              <w:right w:val="single" w:color="000000" w:sz="4" w:space="0"/>
            </w:tcBorders>
            <w:shd w:val="clear" w:color="auto" w:fill="auto"/>
          </w:tcPr>
          <w:p w14:paraId="69F5782A">
            <w:pPr>
              <w:jc w:val="left"/>
            </w:pPr>
            <w:r>
              <w:rPr>
                <w:rFonts w:ascii="宋体" w:hAnsi="宋体"/>
                <w:sz w:val="18"/>
              </w:rPr>
              <w:t>支付对象满意度：90；保障单位良好信用：有效保障；债务支付笔数：2；债务资金支付完成率：100；债务还款准确率：100；债务资金按期支付率：100；债务资金支付率：100</w:t>
            </w:r>
          </w:p>
        </w:tc>
      </w:tr>
      <w:tr w14:paraId="68E9F3F6">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D6E676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F8136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B26F1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1A35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58837D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478065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3C752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0B640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AD2ED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90A21CA">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2410E03">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4C38DA3">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D1D8C7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1A3954B">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4BA317B7">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4AD1AD88">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8FB2361">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5892C70">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A7A8340">
            <w:pPr>
              <w:widowControl/>
              <w:jc w:val="left"/>
              <w:rPr>
                <w:rFonts w:hint="eastAsia" w:ascii="宋体" w:hAnsi="宋体" w:cs="宋体"/>
                <w:color w:val="000000"/>
                <w:kern w:val="0"/>
                <w:sz w:val="18"/>
                <w:szCs w:val="18"/>
              </w:rPr>
            </w:pPr>
          </w:p>
        </w:tc>
      </w:tr>
      <w:tr w14:paraId="51E0B53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4BF1FD2">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334822C">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072A56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3F5A72">
            <w:pPr>
              <w:jc w:val="center"/>
            </w:pPr>
            <w:r>
              <w:rPr>
                <w:rFonts w:ascii="宋体" w:hAnsi="宋体"/>
                <w:sz w:val="18"/>
              </w:rPr>
              <w:t>债务支付笔数</w:t>
            </w:r>
          </w:p>
        </w:tc>
        <w:tc>
          <w:tcPr>
            <w:tcW w:w="1125" w:type="dxa"/>
            <w:tcBorders>
              <w:top w:val="nil"/>
              <w:left w:val="nil"/>
              <w:bottom w:val="single" w:color="auto" w:sz="4" w:space="0"/>
              <w:right w:val="single" w:color="auto" w:sz="4" w:space="0"/>
            </w:tcBorders>
            <w:shd w:val="clear" w:color="auto" w:fill="auto"/>
            <w:vAlign w:val="center"/>
          </w:tcPr>
          <w:p w14:paraId="3E7DA9F2">
            <w:pPr>
              <w:jc w:val="center"/>
            </w:pPr>
            <w:r>
              <w:rPr>
                <w:rFonts w:ascii="宋体" w:hAnsi="宋体"/>
                <w:sz w:val="18"/>
              </w:rPr>
              <w:t>=2笔</w:t>
            </w:r>
          </w:p>
        </w:tc>
        <w:tc>
          <w:tcPr>
            <w:tcW w:w="1229" w:type="dxa"/>
            <w:tcBorders>
              <w:top w:val="nil"/>
              <w:left w:val="nil"/>
              <w:bottom w:val="single" w:color="auto" w:sz="4" w:space="0"/>
              <w:right w:val="single" w:color="auto" w:sz="4" w:space="0"/>
            </w:tcBorders>
            <w:shd w:val="clear" w:color="auto" w:fill="auto"/>
            <w:vAlign w:val="center"/>
          </w:tcPr>
          <w:p w14:paraId="75ED7D48">
            <w:pPr>
              <w:jc w:val="center"/>
            </w:pPr>
            <w:r>
              <w:rPr>
                <w:rFonts w:ascii="宋体" w:hAnsi="宋体"/>
                <w:sz w:val="18"/>
              </w:rPr>
              <w:t>=2笔</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2EC213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7C3817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24A9271">
            <w:pPr>
              <w:jc w:val="center"/>
            </w:pPr>
          </w:p>
        </w:tc>
      </w:tr>
      <w:tr w14:paraId="70D1C74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94F9B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23CA93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C3369C1">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6D10B7">
            <w:pPr>
              <w:jc w:val="center"/>
            </w:pPr>
            <w:r>
              <w:rPr>
                <w:rFonts w:ascii="宋体" w:hAnsi="宋体"/>
                <w:sz w:val="18"/>
              </w:rPr>
              <w:t>债务资金支付完成率</w:t>
            </w:r>
          </w:p>
        </w:tc>
        <w:tc>
          <w:tcPr>
            <w:tcW w:w="1125" w:type="dxa"/>
            <w:tcBorders>
              <w:top w:val="nil"/>
              <w:left w:val="nil"/>
              <w:bottom w:val="single" w:color="auto" w:sz="4" w:space="0"/>
              <w:right w:val="single" w:color="auto" w:sz="4" w:space="0"/>
            </w:tcBorders>
            <w:shd w:val="clear" w:color="auto" w:fill="auto"/>
            <w:vAlign w:val="center"/>
          </w:tcPr>
          <w:p w14:paraId="02272336">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27E8338">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A7CC274">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F3CB514">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6FBB169">
            <w:pPr>
              <w:jc w:val="center"/>
            </w:pPr>
          </w:p>
        </w:tc>
      </w:tr>
      <w:tr w14:paraId="1E97F3E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D61F1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372C53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5039F80">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70ABBE8">
            <w:pPr>
              <w:jc w:val="center"/>
            </w:pPr>
            <w:r>
              <w:rPr>
                <w:rFonts w:ascii="宋体" w:hAnsi="宋体"/>
                <w:sz w:val="18"/>
              </w:rPr>
              <w:t>债务还款准确率</w:t>
            </w:r>
          </w:p>
        </w:tc>
        <w:tc>
          <w:tcPr>
            <w:tcW w:w="1125" w:type="dxa"/>
            <w:tcBorders>
              <w:top w:val="nil"/>
              <w:left w:val="nil"/>
              <w:bottom w:val="single" w:color="auto" w:sz="4" w:space="0"/>
              <w:right w:val="single" w:color="auto" w:sz="4" w:space="0"/>
            </w:tcBorders>
            <w:shd w:val="clear" w:color="auto" w:fill="auto"/>
            <w:vAlign w:val="center"/>
          </w:tcPr>
          <w:p w14:paraId="11D774EC">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1AD39B5">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D8BA288">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0E703B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98641D3">
            <w:pPr>
              <w:jc w:val="center"/>
            </w:pPr>
          </w:p>
        </w:tc>
      </w:tr>
      <w:tr w14:paraId="0DA0A18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758E6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6E423C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93DBC3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06AA741">
            <w:pPr>
              <w:jc w:val="center"/>
            </w:pPr>
            <w:r>
              <w:rPr>
                <w:rFonts w:ascii="宋体" w:hAnsi="宋体"/>
                <w:sz w:val="18"/>
              </w:rPr>
              <w:t>债务资金按期支付率</w:t>
            </w:r>
          </w:p>
        </w:tc>
        <w:tc>
          <w:tcPr>
            <w:tcW w:w="1125" w:type="dxa"/>
            <w:tcBorders>
              <w:top w:val="nil"/>
              <w:left w:val="nil"/>
              <w:bottom w:val="single" w:color="auto" w:sz="4" w:space="0"/>
              <w:right w:val="single" w:color="auto" w:sz="4" w:space="0"/>
            </w:tcBorders>
            <w:shd w:val="clear" w:color="auto" w:fill="auto"/>
            <w:vAlign w:val="center"/>
          </w:tcPr>
          <w:p w14:paraId="469F4C91">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8493C80">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CA2F4EE">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29B4705">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A006E9F">
            <w:pPr>
              <w:jc w:val="center"/>
            </w:pPr>
          </w:p>
        </w:tc>
      </w:tr>
      <w:tr w14:paraId="5EA3D6D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60A03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3F01DDA">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DB5F7EE">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8F54717">
            <w:pPr>
              <w:jc w:val="center"/>
            </w:pPr>
            <w:r>
              <w:rPr>
                <w:rFonts w:ascii="宋体" w:hAnsi="宋体"/>
                <w:sz w:val="18"/>
              </w:rPr>
              <w:t>债务资金支付率</w:t>
            </w:r>
          </w:p>
        </w:tc>
        <w:tc>
          <w:tcPr>
            <w:tcW w:w="1125" w:type="dxa"/>
            <w:tcBorders>
              <w:top w:val="nil"/>
              <w:left w:val="nil"/>
              <w:bottom w:val="single" w:color="auto" w:sz="4" w:space="0"/>
              <w:right w:val="single" w:color="auto" w:sz="4" w:space="0"/>
            </w:tcBorders>
            <w:shd w:val="clear" w:color="auto" w:fill="auto"/>
            <w:vAlign w:val="center"/>
          </w:tcPr>
          <w:p w14:paraId="54B53132">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62D1DF6">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BE33531">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67C75EF">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FC5498F">
            <w:pPr>
              <w:jc w:val="center"/>
            </w:pPr>
          </w:p>
        </w:tc>
      </w:tr>
      <w:tr w14:paraId="2C069E8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7561B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832E6D4">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3CE06B8">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E4810F">
            <w:pPr>
              <w:jc w:val="center"/>
            </w:pPr>
            <w:r>
              <w:rPr>
                <w:rFonts w:ascii="宋体" w:hAnsi="宋体"/>
                <w:sz w:val="18"/>
              </w:rPr>
              <w:t>保障单位良好信用</w:t>
            </w:r>
          </w:p>
        </w:tc>
        <w:tc>
          <w:tcPr>
            <w:tcW w:w="1125" w:type="dxa"/>
            <w:tcBorders>
              <w:top w:val="nil"/>
              <w:left w:val="nil"/>
              <w:bottom w:val="single" w:color="auto" w:sz="4" w:space="0"/>
              <w:right w:val="single" w:color="auto" w:sz="4" w:space="0"/>
            </w:tcBorders>
            <w:shd w:val="clear" w:color="auto" w:fill="auto"/>
            <w:vAlign w:val="center"/>
          </w:tcPr>
          <w:p w14:paraId="2637E97A">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4A04BCAB">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2C6D3AC">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0B34860">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8EC4B03">
            <w:pPr>
              <w:jc w:val="center"/>
            </w:pPr>
          </w:p>
        </w:tc>
      </w:tr>
      <w:tr w14:paraId="1B9A15E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FBDB1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D0FB5A1">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EB7998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89F183">
            <w:pPr>
              <w:jc w:val="center"/>
            </w:pPr>
            <w:r>
              <w:rPr>
                <w:rFonts w:ascii="宋体" w:hAnsi="宋体"/>
                <w:sz w:val="18"/>
              </w:rPr>
              <w:t>支付对象满意度</w:t>
            </w:r>
          </w:p>
        </w:tc>
        <w:tc>
          <w:tcPr>
            <w:tcW w:w="1125" w:type="dxa"/>
            <w:tcBorders>
              <w:top w:val="nil"/>
              <w:left w:val="nil"/>
              <w:bottom w:val="single" w:color="auto" w:sz="4" w:space="0"/>
              <w:right w:val="single" w:color="auto" w:sz="4" w:space="0"/>
            </w:tcBorders>
            <w:shd w:val="clear" w:color="auto" w:fill="auto"/>
            <w:vAlign w:val="center"/>
          </w:tcPr>
          <w:p w14:paraId="1B031937">
            <w:pPr>
              <w:jc w:val="center"/>
            </w:pPr>
            <w:r>
              <w:rPr>
                <w:rFonts w:ascii="宋体" w:hAnsi="宋体"/>
                <w:sz w:val="18"/>
              </w:rPr>
              <w:t>=90%</w:t>
            </w:r>
          </w:p>
        </w:tc>
        <w:tc>
          <w:tcPr>
            <w:tcW w:w="1229" w:type="dxa"/>
            <w:tcBorders>
              <w:top w:val="nil"/>
              <w:left w:val="nil"/>
              <w:bottom w:val="single" w:color="auto" w:sz="4" w:space="0"/>
              <w:right w:val="single" w:color="auto" w:sz="4" w:space="0"/>
            </w:tcBorders>
            <w:shd w:val="clear" w:color="auto" w:fill="auto"/>
            <w:vAlign w:val="center"/>
          </w:tcPr>
          <w:p w14:paraId="60EB18A9">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61E08C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942832B">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7AEE528">
            <w:pPr>
              <w:jc w:val="center"/>
            </w:pPr>
          </w:p>
        </w:tc>
      </w:tr>
      <w:tr w14:paraId="43D9197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1465D97">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03811F35">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0B96F453">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927B860">
            <w:pPr>
              <w:jc w:val="center"/>
            </w:pPr>
          </w:p>
        </w:tc>
      </w:tr>
    </w:tbl>
    <w:p w14:paraId="7AB3C1EC">
      <w:pPr>
        <w:jc w:val="center"/>
        <w:rPr>
          <w:rFonts w:hint="eastAsia" w:ascii="宋体" w:hAnsi="宋体" w:cs="宋体"/>
          <w:b/>
          <w:bCs/>
          <w:kern w:val="0"/>
          <w:sz w:val="18"/>
          <w:szCs w:val="18"/>
        </w:rPr>
      </w:pPr>
    </w:p>
    <w:p w14:paraId="5D23820E">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36412EB9">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430AC92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AA4E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998B956">
            <w:pPr>
              <w:jc w:val="center"/>
            </w:pPr>
            <w:r>
              <w:rPr>
                <w:rFonts w:ascii="宋体" w:hAnsi="宋体"/>
                <w:sz w:val="18"/>
              </w:rPr>
              <w:t>奇台县“中国好粮油”示范县品牌建设推广宣传</w:t>
            </w:r>
          </w:p>
        </w:tc>
      </w:tr>
      <w:tr w14:paraId="6D70CB8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D467E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62A3480F">
            <w:pPr>
              <w:jc w:val="center"/>
            </w:pPr>
            <w:r>
              <w:rPr>
                <w:rFonts w:ascii="宋体" w:hAnsi="宋体"/>
                <w:sz w:val="18"/>
              </w:rPr>
              <w:t>奇台县发展和改革委员会</w:t>
            </w:r>
          </w:p>
        </w:tc>
        <w:tc>
          <w:tcPr>
            <w:tcW w:w="1276" w:type="dxa"/>
            <w:gridSpan w:val="2"/>
            <w:tcBorders>
              <w:top w:val="nil"/>
              <w:left w:val="nil"/>
              <w:bottom w:val="single" w:color="auto" w:sz="4" w:space="0"/>
              <w:right w:val="single" w:color="000000" w:sz="4" w:space="0"/>
            </w:tcBorders>
            <w:shd w:val="clear" w:color="auto" w:fill="auto"/>
            <w:vAlign w:val="center"/>
          </w:tcPr>
          <w:p w14:paraId="2D104F4D">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65BF0D5E">
            <w:pPr>
              <w:jc w:val="center"/>
            </w:pPr>
            <w:r>
              <w:rPr>
                <w:rFonts w:ascii="宋体" w:hAnsi="宋体"/>
                <w:sz w:val="18"/>
              </w:rPr>
              <w:t>奇台县发展和改革委员会</w:t>
            </w:r>
          </w:p>
        </w:tc>
      </w:tr>
      <w:tr w14:paraId="1E0D1D7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B3CE7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A9BB431">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25C7D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01564F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672AFF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790F7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F74D1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0F85E0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5FCF31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82F482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8EFBA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FCB671B">
            <w:pPr>
              <w:jc w:val="center"/>
            </w:pPr>
            <w:r>
              <w:rPr>
                <w:rFonts w:ascii="宋体" w:hAnsi="宋体"/>
                <w:sz w:val="18"/>
              </w:rPr>
              <w:t>30.33</w:t>
            </w:r>
          </w:p>
        </w:tc>
        <w:tc>
          <w:tcPr>
            <w:tcW w:w="1266" w:type="dxa"/>
            <w:tcBorders>
              <w:top w:val="nil"/>
              <w:left w:val="nil"/>
              <w:bottom w:val="single" w:color="auto" w:sz="4" w:space="0"/>
              <w:right w:val="single" w:color="auto" w:sz="4" w:space="0"/>
            </w:tcBorders>
            <w:shd w:val="clear" w:color="auto" w:fill="auto"/>
            <w:noWrap/>
            <w:vAlign w:val="center"/>
          </w:tcPr>
          <w:p w14:paraId="293F3AB2">
            <w:pPr>
              <w:jc w:val="center"/>
            </w:pPr>
            <w:r>
              <w:rPr>
                <w:rFonts w:ascii="宋体" w:hAnsi="宋体"/>
                <w:sz w:val="18"/>
              </w:rPr>
              <w:t>35.33</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9BB87DE">
            <w:pPr>
              <w:jc w:val="center"/>
            </w:pPr>
            <w:r>
              <w:rPr>
                <w:rFonts w:ascii="宋体" w:hAnsi="宋体"/>
                <w:sz w:val="18"/>
              </w:rPr>
              <w:t>35.33</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A583B3F">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5E5B36F">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2821711B">
            <w:pPr>
              <w:jc w:val="center"/>
            </w:pPr>
            <w:r>
              <w:rPr>
                <w:rFonts w:ascii="宋体" w:hAnsi="宋体"/>
                <w:sz w:val="18"/>
              </w:rPr>
              <w:t>10.00</w:t>
            </w:r>
          </w:p>
        </w:tc>
      </w:tr>
      <w:tr w14:paraId="1C90EAB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406DB3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6141A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C4B8A23">
            <w:pPr>
              <w:jc w:val="center"/>
            </w:pPr>
            <w:r>
              <w:rPr>
                <w:rFonts w:ascii="宋体" w:hAnsi="宋体"/>
                <w:sz w:val="18"/>
              </w:rPr>
              <w:t>30.33</w:t>
            </w:r>
          </w:p>
        </w:tc>
        <w:tc>
          <w:tcPr>
            <w:tcW w:w="1266" w:type="dxa"/>
            <w:tcBorders>
              <w:top w:val="nil"/>
              <w:left w:val="nil"/>
              <w:bottom w:val="single" w:color="auto" w:sz="4" w:space="0"/>
              <w:right w:val="single" w:color="auto" w:sz="4" w:space="0"/>
            </w:tcBorders>
            <w:shd w:val="clear" w:color="auto" w:fill="auto"/>
            <w:noWrap/>
            <w:vAlign w:val="center"/>
          </w:tcPr>
          <w:p w14:paraId="48FF1E4E">
            <w:pPr>
              <w:jc w:val="center"/>
            </w:pPr>
            <w:r>
              <w:rPr>
                <w:rFonts w:ascii="宋体" w:hAnsi="宋体"/>
                <w:sz w:val="18"/>
              </w:rPr>
              <w:t>35.33</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E3A7C03">
            <w:pPr>
              <w:jc w:val="center"/>
            </w:pPr>
            <w:r>
              <w:rPr>
                <w:rFonts w:ascii="宋体" w:hAnsi="宋体"/>
                <w:sz w:val="18"/>
              </w:rPr>
              <w:t>35.33</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4B46B9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89033E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0F25148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E07885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E8A25E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4DC25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C85FE05">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1B6EFCA8">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BDF6FA8">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5CB437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1E8185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FFB12A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F8B65B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205DB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05BFC7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295290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831CAB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1C90C20">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18E2CC6B">
            <w:pPr>
              <w:jc w:val="left"/>
            </w:pPr>
            <w:r>
              <w:rPr>
                <w:rFonts w:ascii="宋体" w:hAnsi="宋体"/>
                <w:sz w:val="18"/>
              </w:rPr>
              <w:t>债务支付笔数13笔，债务资金支付完成率100%，债务还款准确率100%，债务资金按期支付率100%，债务资金支付率100%，保障单位信用良好，支付对象满意度100%。</w:t>
            </w:r>
          </w:p>
        </w:tc>
        <w:tc>
          <w:tcPr>
            <w:tcW w:w="4536" w:type="dxa"/>
            <w:gridSpan w:val="7"/>
            <w:tcBorders>
              <w:top w:val="single" w:color="auto" w:sz="4" w:space="0"/>
              <w:left w:val="nil"/>
              <w:bottom w:val="single" w:color="auto" w:sz="4" w:space="0"/>
              <w:right w:val="single" w:color="000000" w:sz="4" w:space="0"/>
            </w:tcBorders>
            <w:shd w:val="clear" w:color="auto" w:fill="auto"/>
          </w:tcPr>
          <w:p w14:paraId="4FC8DF77">
            <w:pPr>
              <w:jc w:val="left"/>
            </w:pPr>
            <w:r>
              <w:rPr>
                <w:rFonts w:ascii="宋体" w:hAnsi="宋体"/>
                <w:sz w:val="18"/>
              </w:rPr>
              <w:t>2023年该项目共支付债务笔数13笔，债务资金支付完成率为100%，债务还款准确率为100%，债务资金按期支付率100%，债务资金支付率100%，有效保障了单位信用良好，项目支付对象满意度达到了100%。</w:t>
            </w:r>
          </w:p>
        </w:tc>
      </w:tr>
      <w:tr w14:paraId="45526DA5">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93AE3A9">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33CBD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C2CD8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80B5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77CB03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4260FE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E1C92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3604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86993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98AFD5C">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6453613">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838364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F87A85A">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25234A6">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06BAA7BD">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41C1B28F">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EEBFAEE">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E065446">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3DBFD23">
            <w:pPr>
              <w:widowControl/>
              <w:jc w:val="left"/>
              <w:rPr>
                <w:rFonts w:hint="eastAsia" w:ascii="宋体" w:hAnsi="宋体" w:cs="宋体"/>
                <w:color w:val="000000"/>
                <w:kern w:val="0"/>
                <w:sz w:val="18"/>
                <w:szCs w:val="18"/>
              </w:rPr>
            </w:pPr>
          </w:p>
        </w:tc>
      </w:tr>
      <w:tr w14:paraId="47818FF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4267D81">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3A9717C">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673A80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E0198F6">
            <w:pPr>
              <w:jc w:val="center"/>
            </w:pPr>
            <w:r>
              <w:rPr>
                <w:rFonts w:ascii="宋体" w:hAnsi="宋体"/>
                <w:sz w:val="18"/>
              </w:rPr>
              <w:t>债务支付笔数</w:t>
            </w:r>
          </w:p>
        </w:tc>
        <w:tc>
          <w:tcPr>
            <w:tcW w:w="1266" w:type="dxa"/>
            <w:tcBorders>
              <w:top w:val="nil"/>
              <w:left w:val="nil"/>
              <w:bottom w:val="single" w:color="auto" w:sz="4" w:space="0"/>
              <w:right w:val="single" w:color="auto" w:sz="4" w:space="0"/>
            </w:tcBorders>
            <w:shd w:val="clear" w:color="auto" w:fill="auto"/>
            <w:vAlign w:val="center"/>
          </w:tcPr>
          <w:p w14:paraId="7E560AB4">
            <w:pPr>
              <w:jc w:val="center"/>
            </w:pPr>
            <w:r>
              <w:rPr>
                <w:rFonts w:ascii="宋体" w:hAnsi="宋体"/>
                <w:sz w:val="18"/>
              </w:rPr>
              <w:t>=13笔</w:t>
            </w:r>
          </w:p>
        </w:tc>
        <w:tc>
          <w:tcPr>
            <w:tcW w:w="1088" w:type="dxa"/>
            <w:tcBorders>
              <w:top w:val="nil"/>
              <w:left w:val="nil"/>
              <w:bottom w:val="single" w:color="auto" w:sz="4" w:space="0"/>
              <w:right w:val="single" w:color="auto" w:sz="4" w:space="0"/>
            </w:tcBorders>
            <w:shd w:val="clear" w:color="auto" w:fill="auto"/>
            <w:vAlign w:val="center"/>
          </w:tcPr>
          <w:p w14:paraId="45E58677">
            <w:pPr>
              <w:jc w:val="center"/>
            </w:pPr>
            <w:r>
              <w:rPr>
                <w:rFonts w:ascii="宋体" w:hAnsi="宋体"/>
                <w:sz w:val="18"/>
              </w:rPr>
              <w:t>=13笔</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1644C7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FD529E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FB61648">
            <w:pPr>
              <w:jc w:val="center"/>
            </w:pPr>
          </w:p>
        </w:tc>
      </w:tr>
      <w:tr w14:paraId="3CEB68D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07BC47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72D517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09A1CB6">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34C68F5">
            <w:pPr>
              <w:jc w:val="center"/>
            </w:pPr>
            <w:r>
              <w:rPr>
                <w:rFonts w:ascii="宋体" w:hAnsi="宋体"/>
                <w:sz w:val="18"/>
              </w:rPr>
              <w:t>债务资金支付完成率</w:t>
            </w:r>
          </w:p>
        </w:tc>
        <w:tc>
          <w:tcPr>
            <w:tcW w:w="1266" w:type="dxa"/>
            <w:tcBorders>
              <w:top w:val="nil"/>
              <w:left w:val="nil"/>
              <w:bottom w:val="single" w:color="auto" w:sz="4" w:space="0"/>
              <w:right w:val="single" w:color="auto" w:sz="4" w:space="0"/>
            </w:tcBorders>
            <w:shd w:val="clear" w:color="auto" w:fill="auto"/>
            <w:vAlign w:val="center"/>
          </w:tcPr>
          <w:p w14:paraId="756335A0">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A0D24E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54E5DD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A73789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E6377D">
            <w:pPr>
              <w:jc w:val="center"/>
            </w:pPr>
          </w:p>
        </w:tc>
      </w:tr>
      <w:tr w14:paraId="4DAD53D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E21BCF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F5A7CA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D6C423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D344EDC">
            <w:pPr>
              <w:jc w:val="center"/>
            </w:pPr>
            <w:r>
              <w:rPr>
                <w:rFonts w:ascii="宋体" w:hAnsi="宋体"/>
                <w:sz w:val="18"/>
              </w:rPr>
              <w:t>债务还款准确率</w:t>
            </w:r>
          </w:p>
        </w:tc>
        <w:tc>
          <w:tcPr>
            <w:tcW w:w="1266" w:type="dxa"/>
            <w:tcBorders>
              <w:top w:val="nil"/>
              <w:left w:val="nil"/>
              <w:bottom w:val="single" w:color="auto" w:sz="4" w:space="0"/>
              <w:right w:val="single" w:color="auto" w:sz="4" w:space="0"/>
            </w:tcBorders>
            <w:shd w:val="clear" w:color="auto" w:fill="auto"/>
            <w:vAlign w:val="center"/>
          </w:tcPr>
          <w:p w14:paraId="4AC20777">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0A54D4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091751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746530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FEBA1DC">
            <w:pPr>
              <w:jc w:val="center"/>
            </w:pPr>
          </w:p>
        </w:tc>
      </w:tr>
      <w:tr w14:paraId="4CE7566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76D7B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33E7B8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F166B3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1B45FE">
            <w:pPr>
              <w:jc w:val="center"/>
            </w:pPr>
            <w:r>
              <w:rPr>
                <w:rFonts w:ascii="宋体" w:hAnsi="宋体"/>
                <w:sz w:val="18"/>
              </w:rPr>
              <w:t>债务资金近期支付率</w:t>
            </w:r>
          </w:p>
        </w:tc>
        <w:tc>
          <w:tcPr>
            <w:tcW w:w="1266" w:type="dxa"/>
            <w:tcBorders>
              <w:top w:val="nil"/>
              <w:left w:val="nil"/>
              <w:bottom w:val="single" w:color="auto" w:sz="4" w:space="0"/>
              <w:right w:val="single" w:color="auto" w:sz="4" w:space="0"/>
            </w:tcBorders>
            <w:shd w:val="clear" w:color="auto" w:fill="auto"/>
            <w:vAlign w:val="center"/>
          </w:tcPr>
          <w:p w14:paraId="5358D92B">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29033C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1FBF2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9F5DF4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884E237">
            <w:pPr>
              <w:jc w:val="center"/>
            </w:pPr>
          </w:p>
        </w:tc>
      </w:tr>
      <w:tr w14:paraId="4852BAF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E9D7D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30A8F66">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72C27A7">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3FA0536">
            <w:pPr>
              <w:jc w:val="center"/>
            </w:pPr>
            <w:r>
              <w:rPr>
                <w:rFonts w:ascii="宋体" w:hAnsi="宋体"/>
                <w:sz w:val="18"/>
              </w:rPr>
              <w:t>债务资金支付率</w:t>
            </w:r>
          </w:p>
        </w:tc>
        <w:tc>
          <w:tcPr>
            <w:tcW w:w="1266" w:type="dxa"/>
            <w:tcBorders>
              <w:top w:val="nil"/>
              <w:left w:val="nil"/>
              <w:bottom w:val="single" w:color="auto" w:sz="4" w:space="0"/>
              <w:right w:val="single" w:color="auto" w:sz="4" w:space="0"/>
            </w:tcBorders>
            <w:shd w:val="clear" w:color="auto" w:fill="auto"/>
            <w:vAlign w:val="center"/>
          </w:tcPr>
          <w:p w14:paraId="09A6D6C4">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089D12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228B41C">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E9256D7">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F1A2038">
            <w:pPr>
              <w:jc w:val="center"/>
            </w:pPr>
          </w:p>
        </w:tc>
      </w:tr>
      <w:tr w14:paraId="18B6740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DB7F8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7B84A2B">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4020B38">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D7534A5">
            <w:pPr>
              <w:jc w:val="center"/>
            </w:pPr>
            <w:r>
              <w:rPr>
                <w:rFonts w:ascii="宋体" w:hAnsi="宋体"/>
                <w:sz w:val="18"/>
              </w:rPr>
              <w:t>保障单位良好信用</w:t>
            </w:r>
          </w:p>
        </w:tc>
        <w:tc>
          <w:tcPr>
            <w:tcW w:w="1266" w:type="dxa"/>
            <w:tcBorders>
              <w:top w:val="nil"/>
              <w:left w:val="nil"/>
              <w:bottom w:val="single" w:color="auto" w:sz="4" w:space="0"/>
              <w:right w:val="single" w:color="auto" w:sz="4" w:space="0"/>
            </w:tcBorders>
            <w:shd w:val="clear" w:color="auto" w:fill="auto"/>
            <w:vAlign w:val="center"/>
          </w:tcPr>
          <w:p w14:paraId="3471547E">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7AC3223D">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B056E68">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A694328">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34211ED">
            <w:pPr>
              <w:jc w:val="center"/>
            </w:pPr>
          </w:p>
        </w:tc>
      </w:tr>
      <w:tr w14:paraId="2FEB475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8D527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AA057C6">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4540C8A">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771DA27">
            <w:pPr>
              <w:jc w:val="center"/>
            </w:pPr>
            <w:r>
              <w:rPr>
                <w:rFonts w:ascii="宋体" w:hAnsi="宋体"/>
                <w:sz w:val="18"/>
              </w:rPr>
              <w:t>支付对象满意度（%）</w:t>
            </w:r>
          </w:p>
        </w:tc>
        <w:tc>
          <w:tcPr>
            <w:tcW w:w="1266" w:type="dxa"/>
            <w:tcBorders>
              <w:top w:val="nil"/>
              <w:left w:val="nil"/>
              <w:bottom w:val="single" w:color="auto" w:sz="4" w:space="0"/>
              <w:right w:val="single" w:color="auto" w:sz="4" w:space="0"/>
            </w:tcBorders>
            <w:shd w:val="clear" w:color="auto" w:fill="auto"/>
            <w:vAlign w:val="center"/>
          </w:tcPr>
          <w:p w14:paraId="15CB0A13">
            <w:pPr>
              <w:jc w:val="center"/>
            </w:pPr>
            <w:r>
              <w:rPr>
                <w:rFonts w:ascii="宋体" w:hAnsi="宋体"/>
                <w:sz w:val="18"/>
              </w:rPr>
              <w:t>=92%</w:t>
            </w:r>
          </w:p>
        </w:tc>
        <w:tc>
          <w:tcPr>
            <w:tcW w:w="1088" w:type="dxa"/>
            <w:tcBorders>
              <w:top w:val="nil"/>
              <w:left w:val="nil"/>
              <w:bottom w:val="single" w:color="auto" w:sz="4" w:space="0"/>
              <w:right w:val="single" w:color="auto" w:sz="4" w:space="0"/>
            </w:tcBorders>
            <w:shd w:val="clear" w:color="auto" w:fill="auto"/>
            <w:vAlign w:val="center"/>
          </w:tcPr>
          <w:p w14:paraId="294E30B4">
            <w:pPr>
              <w:jc w:val="center"/>
            </w:pPr>
            <w:r>
              <w:rPr>
                <w:rFonts w:ascii="宋体" w:hAnsi="宋体"/>
                <w:sz w:val="18"/>
              </w:rPr>
              <w:t>=92%</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7AF2CE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65A66A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520A1C7">
            <w:pPr>
              <w:jc w:val="center"/>
            </w:pPr>
          </w:p>
        </w:tc>
      </w:tr>
      <w:tr w14:paraId="7C5D54C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01C3AE7">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060CA483">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E0FDAFB">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1509B29">
            <w:pPr>
              <w:jc w:val="center"/>
            </w:pPr>
          </w:p>
        </w:tc>
      </w:tr>
    </w:tbl>
    <w:p w14:paraId="238A2AD0">
      <w:pPr>
        <w:rPr>
          <w:rFonts w:hint="eastAsia" w:ascii="宋体" w:hAnsi="宋体" w:cs="宋体"/>
          <w:b/>
          <w:bCs/>
          <w:kern w:val="0"/>
          <w:sz w:val="18"/>
          <w:szCs w:val="18"/>
        </w:rPr>
      </w:pPr>
    </w:p>
    <w:p w14:paraId="06994336">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40B4135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0462EE2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567D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C278D42">
            <w:pPr>
              <w:jc w:val="center"/>
            </w:pPr>
            <w:r>
              <w:rPr>
                <w:rFonts w:ascii="宋体" w:hAnsi="宋体"/>
                <w:sz w:val="18"/>
              </w:rPr>
              <w:t>奇台县发改委采购应急物资费用</w:t>
            </w:r>
          </w:p>
        </w:tc>
      </w:tr>
      <w:tr w14:paraId="1EF39F6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5610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1AC7A8A8">
            <w:pPr>
              <w:jc w:val="center"/>
            </w:pPr>
            <w:r>
              <w:rPr>
                <w:rFonts w:ascii="宋体" w:hAnsi="宋体"/>
                <w:sz w:val="18"/>
              </w:rPr>
              <w:t>奇台县发展和改革委员会</w:t>
            </w:r>
          </w:p>
        </w:tc>
        <w:tc>
          <w:tcPr>
            <w:tcW w:w="1276" w:type="dxa"/>
            <w:gridSpan w:val="2"/>
            <w:tcBorders>
              <w:top w:val="nil"/>
              <w:left w:val="nil"/>
              <w:bottom w:val="single" w:color="auto" w:sz="4" w:space="0"/>
              <w:right w:val="single" w:color="000000" w:sz="4" w:space="0"/>
            </w:tcBorders>
            <w:shd w:val="clear" w:color="auto" w:fill="auto"/>
            <w:vAlign w:val="center"/>
          </w:tcPr>
          <w:p w14:paraId="789DFE28">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602C4F86">
            <w:pPr>
              <w:jc w:val="center"/>
            </w:pPr>
            <w:r>
              <w:rPr>
                <w:rFonts w:ascii="宋体" w:hAnsi="宋体"/>
                <w:sz w:val="18"/>
              </w:rPr>
              <w:t>奇台县发展和改革委员会</w:t>
            </w:r>
          </w:p>
        </w:tc>
      </w:tr>
      <w:tr w14:paraId="3F80F07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37C0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CE4FA5D">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76585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1CC037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152EF4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554F5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74DCA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2E70FC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D6EC83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0958B8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41677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CEFC7EB">
            <w:pPr>
              <w:jc w:val="center"/>
            </w:pPr>
            <w:r>
              <w:rPr>
                <w:rFonts w:ascii="宋体" w:hAnsi="宋体"/>
                <w:sz w:val="18"/>
              </w:rPr>
              <w:t>50.00</w:t>
            </w:r>
          </w:p>
        </w:tc>
        <w:tc>
          <w:tcPr>
            <w:tcW w:w="1266" w:type="dxa"/>
            <w:tcBorders>
              <w:top w:val="nil"/>
              <w:left w:val="nil"/>
              <w:bottom w:val="single" w:color="auto" w:sz="4" w:space="0"/>
              <w:right w:val="single" w:color="auto" w:sz="4" w:space="0"/>
            </w:tcBorders>
            <w:shd w:val="clear" w:color="auto" w:fill="auto"/>
            <w:noWrap/>
            <w:vAlign w:val="center"/>
          </w:tcPr>
          <w:p w14:paraId="55D554DE">
            <w:pPr>
              <w:jc w:val="center"/>
            </w:pPr>
            <w:r>
              <w:rPr>
                <w:rFonts w:ascii="宋体" w:hAnsi="宋体"/>
                <w:sz w:val="18"/>
              </w:rPr>
              <w:t>50.00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425A1F6">
            <w:pPr>
              <w:jc w:val="center"/>
            </w:pPr>
            <w:r>
              <w:rPr>
                <w:rFonts w:ascii="宋体" w:hAnsi="宋体"/>
                <w:sz w:val="18"/>
              </w:rPr>
              <w:t>50.00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2C347FC">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8AD84DB">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33CEBE7E">
            <w:pPr>
              <w:jc w:val="center"/>
            </w:pPr>
            <w:r>
              <w:rPr>
                <w:rFonts w:ascii="宋体" w:hAnsi="宋体"/>
                <w:sz w:val="18"/>
              </w:rPr>
              <w:t>10.00</w:t>
            </w:r>
          </w:p>
        </w:tc>
      </w:tr>
      <w:tr w14:paraId="14B98E6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E036A5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412E0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33C3D84">
            <w:pPr>
              <w:jc w:val="center"/>
            </w:pPr>
            <w:r>
              <w:rPr>
                <w:rFonts w:ascii="宋体" w:hAnsi="宋体"/>
                <w:sz w:val="18"/>
              </w:rPr>
              <w:t>50.00</w:t>
            </w:r>
          </w:p>
        </w:tc>
        <w:tc>
          <w:tcPr>
            <w:tcW w:w="1266" w:type="dxa"/>
            <w:tcBorders>
              <w:top w:val="nil"/>
              <w:left w:val="nil"/>
              <w:bottom w:val="single" w:color="auto" w:sz="4" w:space="0"/>
              <w:right w:val="single" w:color="auto" w:sz="4" w:space="0"/>
            </w:tcBorders>
            <w:shd w:val="clear" w:color="auto" w:fill="auto"/>
            <w:noWrap/>
            <w:vAlign w:val="center"/>
          </w:tcPr>
          <w:p w14:paraId="39109359">
            <w:pPr>
              <w:jc w:val="center"/>
            </w:pPr>
            <w:r>
              <w:rPr>
                <w:rFonts w:ascii="宋体" w:hAnsi="宋体"/>
                <w:sz w:val="18"/>
              </w:rPr>
              <w:t>50.00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BF17F1F">
            <w:pPr>
              <w:jc w:val="center"/>
            </w:pPr>
            <w:r>
              <w:rPr>
                <w:rFonts w:ascii="宋体" w:hAnsi="宋体"/>
                <w:sz w:val="18"/>
              </w:rPr>
              <w:t>50.00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AA6A52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61B6BD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503FAC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4F738B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D999A0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8B7D6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FA2C31E">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62243189">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18D343B">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1197EA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A1C572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C4883D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934A7C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B4845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3EA160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500BA1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C57247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4154D3E">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60411618">
            <w:pPr>
              <w:jc w:val="left"/>
            </w:pPr>
            <w:r>
              <w:rPr>
                <w:rFonts w:ascii="宋体" w:hAnsi="宋体"/>
                <w:sz w:val="18"/>
              </w:rPr>
              <w:t>债务支付笔数6笔，债务资金支付完成率100%，债务还款准确率100%，债务资金按期支付率100%，债务资金支付率100%，保障单位良好信用，支付对象满意度达90%。</w:t>
            </w:r>
          </w:p>
        </w:tc>
        <w:tc>
          <w:tcPr>
            <w:tcW w:w="4536" w:type="dxa"/>
            <w:gridSpan w:val="7"/>
            <w:tcBorders>
              <w:top w:val="single" w:color="auto" w:sz="4" w:space="0"/>
              <w:left w:val="nil"/>
              <w:bottom w:val="single" w:color="auto" w:sz="4" w:space="0"/>
              <w:right w:val="single" w:color="000000" w:sz="4" w:space="0"/>
            </w:tcBorders>
            <w:shd w:val="clear" w:color="auto" w:fill="auto"/>
          </w:tcPr>
          <w:p w14:paraId="3BF97701">
            <w:pPr>
              <w:jc w:val="left"/>
            </w:pPr>
            <w:r>
              <w:rPr>
                <w:rFonts w:ascii="宋体" w:hAnsi="宋体"/>
                <w:sz w:val="18"/>
              </w:rPr>
              <w:t>根据昌州财预{2023}21号文件关于下达中央疫情防控财力补助预算的通知，全年债务支付笔数为6笔，债务资金支付率为100%，实际完成率为100，保障单位良好信用，支付对象满意度达90%。</w:t>
            </w:r>
          </w:p>
        </w:tc>
      </w:tr>
      <w:tr w14:paraId="64419F76">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62012BF">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77C17E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EADF6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C511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7D38D3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08172C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14B6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1A362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FBF7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5AD7DDB">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48F67BB">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C8B400F">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5255219">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3CB49F8">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38E19479">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4109B695">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CAE36B1">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274DF7F">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8AED1A5">
            <w:pPr>
              <w:widowControl/>
              <w:jc w:val="left"/>
              <w:rPr>
                <w:rFonts w:hint="eastAsia" w:ascii="宋体" w:hAnsi="宋体" w:cs="宋体"/>
                <w:color w:val="000000"/>
                <w:kern w:val="0"/>
                <w:sz w:val="18"/>
                <w:szCs w:val="18"/>
              </w:rPr>
            </w:pPr>
          </w:p>
        </w:tc>
      </w:tr>
      <w:tr w14:paraId="60554B6D">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BC22F60">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3A03040">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367A77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90847B">
            <w:pPr>
              <w:jc w:val="center"/>
            </w:pPr>
            <w:r>
              <w:rPr>
                <w:rFonts w:ascii="宋体" w:hAnsi="宋体"/>
                <w:sz w:val="18"/>
              </w:rPr>
              <w:t>债务支付笔数</w:t>
            </w:r>
          </w:p>
        </w:tc>
        <w:tc>
          <w:tcPr>
            <w:tcW w:w="1266" w:type="dxa"/>
            <w:tcBorders>
              <w:top w:val="nil"/>
              <w:left w:val="nil"/>
              <w:bottom w:val="single" w:color="auto" w:sz="4" w:space="0"/>
              <w:right w:val="single" w:color="auto" w:sz="4" w:space="0"/>
            </w:tcBorders>
            <w:shd w:val="clear" w:color="auto" w:fill="auto"/>
            <w:vAlign w:val="center"/>
          </w:tcPr>
          <w:p w14:paraId="05372D04">
            <w:pPr>
              <w:jc w:val="center"/>
            </w:pPr>
            <w:r>
              <w:rPr>
                <w:rFonts w:ascii="宋体" w:hAnsi="宋体"/>
                <w:sz w:val="18"/>
              </w:rPr>
              <w:t>=6笔</w:t>
            </w:r>
          </w:p>
        </w:tc>
        <w:tc>
          <w:tcPr>
            <w:tcW w:w="1088" w:type="dxa"/>
            <w:tcBorders>
              <w:top w:val="nil"/>
              <w:left w:val="nil"/>
              <w:bottom w:val="single" w:color="auto" w:sz="4" w:space="0"/>
              <w:right w:val="single" w:color="auto" w:sz="4" w:space="0"/>
            </w:tcBorders>
            <w:shd w:val="clear" w:color="auto" w:fill="auto"/>
            <w:vAlign w:val="center"/>
          </w:tcPr>
          <w:p w14:paraId="30C6AD20">
            <w:pPr>
              <w:jc w:val="center"/>
            </w:pPr>
            <w:r>
              <w:rPr>
                <w:rFonts w:ascii="宋体" w:hAnsi="宋体"/>
                <w:sz w:val="18"/>
              </w:rPr>
              <w:t>=6笔</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0EC60B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747403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3787CB7">
            <w:pPr>
              <w:jc w:val="center"/>
            </w:pPr>
          </w:p>
        </w:tc>
      </w:tr>
      <w:tr w14:paraId="484E381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3B715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A78AB5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251148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8E1BB2">
            <w:pPr>
              <w:jc w:val="center"/>
            </w:pPr>
            <w:r>
              <w:rPr>
                <w:rFonts w:ascii="宋体" w:hAnsi="宋体"/>
                <w:sz w:val="18"/>
              </w:rPr>
              <w:t>债务资金支付完成率</w:t>
            </w:r>
          </w:p>
        </w:tc>
        <w:tc>
          <w:tcPr>
            <w:tcW w:w="1266" w:type="dxa"/>
            <w:tcBorders>
              <w:top w:val="nil"/>
              <w:left w:val="nil"/>
              <w:bottom w:val="single" w:color="auto" w:sz="4" w:space="0"/>
              <w:right w:val="single" w:color="auto" w:sz="4" w:space="0"/>
            </w:tcBorders>
            <w:shd w:val="clear" w:color="auto" w:fill="auto"/>
            <w:vAlign w:val="center"/>
          </w:tcPr>
          <w:p w14:paraId="75C95786">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82FA40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6B5174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C4B047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4F724DD">
            <w:pPr>
              <w:jc w:val="center"/>
            </w:pPr>
          </w:p>
        </w:tc>
      </w:tr>
      <w:tr w14:paraId="6DBCAD5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CB4D8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16A3F8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415332F">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C594A92">
            <w:pPr>
              <w:jc w:val="center"/>
            </w:pPr>
            <w:r>
              <w:rPr>
                <w:rFonts w:ascii="宋体" w:hAnsi="宋体"/>
                <w:sz w:val="18"/>
              </w:rPr>
              <w:t>债务还款准确率</w:t>
            </w:r>
          </w:p>
        </w:tc>
        <w:tc>
          <w:tcPr>
            <w:tcW w:w="1266" w:type="dxa"/>
            <w:tcBorders>
              <w:top w:val="nil"/>
              <w:left w:val="nil"/>
              <w:bottom w:val="single" w:color="auto" w:sz="4" w:space="0"/>
              <w:right w:val="single" w:color="auto" w:sz="4" w:space="0"/>
            </w:tcBorders>
            <w:shd w:val="clear" w:color="auto" w:fill="auto"/>
            <w:vAlign w:val="center"/>
          </w:tcPr>
          <w:p w14:paraId="688E9B3A">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1E5F84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E71BCF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C6A2F8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0AE6745">
            <w:pPr>
              <w:jc w:val="center"/>
            </w:pPr>
          </w:p>
        </w:tc>
      </w:tr>
      <w:tr w14:paraId="5CF9CA4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53A6D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6339EA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559665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1B73DEB">
            <w:pPr>
              <w:jc w:val="center"/>
            </w:pPr>
            <w:r>
              <w:rPr>
                <w:rFonts w:ascii="宋体" w:hAnsi="宋体"/>
                <w:sz w:val="18"/>
              </w:rPr>
              <w:t>债务资金近期支付率</w:t>
            </w:r>
          </w:p>
        </w:tc>
        <w:tc>
          <w:tcPr>
            <w:tcW w:w="1266" w:type="dxa"/>
            <w:tcBorders>
              <w:top w:val="nil"/>
              <w:left w:val="nil"/>
              <w:bottom w:val="single" w:color="auto" w:sz="4" w:space="0"/>
              <w:right w:val="single" w:color="auto" w:sz="4" w:space="0"/>
            </w:tcBorders>
            <w:shd w:val="clear" w:color="auto" w:fill="auto"/>
            <w:vAlign w:val="center"/>
          </w:tcPr>
          <w:p w14:paraId="2DCF29F4">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F89375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E1D5CF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78592A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A57FFB6">
            <w:pPr>
              <w:jc w:val="center"/>
            </w:pPr>
          </w:p>
        </w:tc>
      </w:tr>
      <w:tr w14:paraId="44528FD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D2B60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F9D0986">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6832655">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0625DBF">
            <w:pPr>
              <w:jc w:val="center"/>
            </w:pPr>
            <w:r>
              <w:rPr>
                <w:rFonts w:ascii="宋体" w:hAnsi="宋体"/>
                <w:sz w:val="18"/>
              </w:rPr>
              <w:t>债务资金支付率</w:t>
            </w:r>
          </w:p>
        </w:tc>
        <w:tc>
          <w:tcPr>
            <w:tcW w:w="1266" w:type="dxa"/>
            <w:tcBorders>
              <w:top w:val="nil"/>
              <w:left w:val="nil"/>
              <w:bottom w:val="single" w:color="auto" w:sz="4" w:space="0"/>
              <w:right w:val="single" w:color="auto" w:sz="4" w:space="0"/>
            </w:tcBorders>
            <w:shd w:val="clear" w:color="auto" w:fill="auto"/>
            <w:vAlign w:val="center"/>
          </w:tcPr>
          <w:p w14:paraId="38B3648B">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525018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7B7D057">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1C0539A">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A54050D">
            <w:pPr>
              <w:jc w:val="center"/>
            </w:pPr>
          </w:p>
        </w:tc>
      </w:tr>
      <w:tr w14:paraId="60E979F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E6566A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31FE0F3">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9057A4E">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231ECBC">
            <w:pPr>
              <w:jc w:val="center"/>
            </w:pPr>
            <w:r>
              <w:rPr>
                <w:rFonts w:ascii="宋体" w:hAnsi="宋体"/>
                <w:sz w:val="18"/>
              </w:rPr>
              <w:t>保障单位良好信用</w:t>
            </w:r>
          </w:p>
        </w:tc>
        <w:tc>
          <w:tcPr>
            <w:tcW w:w="1266" w:type="dxa"/>
            <w:tcBorders>
              <w:top w:val="nil"/>
              <w:left w:val="nil"/>
              <w:bottom w:val="single" w:color="auto" w:sz="4" w:space="0"/>
              <w:right w:val="single" w:color="auto" w:sz="4" w:space="0"/>
            </w:tcBorders>
            <w:shd w:val="clear" w:color="auto" w:fill="auto"/>
            <w:vAlign w:val="center"/>
          </w:tcPr>
          <w:p w14:paraId="3053D685">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1B596736">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FD9539D">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F69956F">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096B6A3">
            <w:pPr>
              <w:jc w:val="center"/>
            </w:pPr>
          </w:p>
        </w:tc>
      </w:tr>
      <w:tr w14:paraId="513380E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F897D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6E5621B">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8F16160">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F318939">
            <w:pPr>
              <w:jc w:val="center"/>
            </w:pPr>
            <w:r>
              <w:rPr>
                <w:rFonts w:ascii="宋体" w:hAnsi="宋体"/>
                <w:sz w:val="18"/>
              </w:rPr>
              <w:t>支付对象满意度</w:t>
            </w:r>
          </w:p>
        </w:tc>
        <w:tc>
          <w:tcPr>
            <w:tcW w:w="1266" w:type="dxa"/>
            <w:tcBorders>
              <w:top w:val="nil"/>
              <w:left w:val="nil"/>
              <w:bottom w:val="single" w:color="auto" w:sz="4" w:space="0"/>
              <w:right w:val="single" w:color="auto" w:sz="4" w:space="0"/>
            </w:tcBorders>
            <w:shd w:val="clear" w:color="auto" w:fill="auto"/>
            <w:vAlign w:val="center"/>
          </w:tcPr>
          <w:p w14:paraId="0A6A3889">
            <w:pPr>
              <w:jc w:val="center"/>
            </w:pPr>
            <w:r>
              <w:rPr>
                <w:rFonts w:ascii="宋体" w:hAnsi="宋体"/>
                <w:sz w:val="18"/>
              </w:rPr>
              <w:t>=90%</w:t>
            </w:r>
          </w:p>
        </w:tc>
        <w:tc>
          <w:tcPr>
            <w:tcW w:w="1088" w:type="dxa"/>
            <w:tcBorders>
              <w:top w:val="nil"/>
              <w:left w:val="nil"/>
              <w:bottom w:val="single" w:color="auto" w:sz="4" w:space="0"/>
              <w:right w:val="single" w:color="auto" w:sz="4" w:space="0"/>
            </w:tcBorders>
            <w:shd w:val="clear" w:color="auto" w:fill="auto"/>
            <w:vAlign w:val="center"/>
          </w:tcPr>
          <w:p w14:paraId="280797AB">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65241E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CB813E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CDFCFCC">
            <w:pPr>
              <w:jc w:val="center"/>
            </w:pPr>
          </w:p>
        </w:tc>
      </w:tr>
      <w:tr w14:paraId="46DBC2A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FE4F5CF">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DB6E283">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C1C8D09">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E5B7D1D">
            <w:pPr>
              <w:jc w:val="center"/>
            </w:pPr>
          </w:p>
        </w:tc>
      </w:tr>
    </w:tbl>
    <w:p w14:paraId="77C6BFDA">
      <w:pPr>
        <w:jc w:val="center"/>
        <w:rPr>
          <w:rFonts w:hint="eastAsia" w:ascii="宋体" w:hAnsi="宋体" w:cs="宋体"/>
          <w:b/>
          <w:bCs/>
          <w:kern w:val="0"/>
          <w:sz w:val="18"/>
          <w:szCs w:val="18"/>
        </w:rPr>
      </w:pPr>
    </w:p>
    <w:p w14:paraId="1EBB09D4">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0874D8C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7BDB68D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ACAD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C83EB01">
            <w:pPr>
              <w:jc w:val="center"/>
            </w:pPr>
            <w:r>
              <w:rPr>
                <w:rFonts w:ascii="宋体" w:hAnsi="宋体"/>
                <w:sz w:val="18"/>
              </w:rPr>
              <w:t>应急面粉储备保管费用</w:t>
            </w:r>
          </w:p>
        </w:tc>
      </w:tr>
      <w:tr w14:paraId="09894F4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52EE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27A30CAD">
            <w:pPr>
              <w:jc w:val="center"/>
            </w:pPr>
            <w:r>
              <w:rPr>
                <w:rFonts w:ascii="宋体" w:hAnsi="宋体"/>
                <w:sz w:val="18"/>
              </w:rPr>
              <w:t>奇台县发展和改革委员会</w:t>
            </w:r>
          </w:p>
        </w:tc>
        <w:tc>
          <w:tcPr>
            <w:tcW w:w="1276" w:type="dxa"/>
            <w:gridSpan w:val="2"/>
            <w:tcBorders>
              <w:top w:val="nil"/>
              <w:left w:val="nil"/>
              <w:bottom w:val="single" w:color="auto" w:sz="4" w:space="0"/>
              <w:right w:val="single" w:color="000000" w:sz="4" w:space="0"/>
            </w:tcBorders>
            <w:shd w:val="clear" w:color="auto" w:fill="auto"/>
            <w:vAlign w:val="center"/>
          </w:tcPr>
          <w:p w14:paraId="352A01A5">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278DE4A5">
            <w:pPr>
              <w:jc w:val="center"/>
            </w:pPr>
            <w:r>
              <w:rPr>
                <w:rFonts w:ascii="宋体" w:hAnsi="宋体"/>
                <w:sz w:val="18"/>
              </w:rPr>
              <w:t>奇台县发展和改革委员会</w:t>
            </w:r>
          </w:p>
        </w:tc>
      </w:tr>
      <w:tr w14:paraId="67D4122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B33F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E9C6EA9">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24E10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57D627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4DA546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88FD8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17835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1BB0C7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D1BD4B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DCA5CB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75358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367E12C">
            <w:pPr>
              <w:jc w:val="center"/>
            </w:pPr>
            <w:r>
              <w:rPr>
                <w:rFonts w:ascii="宋体" w:hAnsi="宋体"/>
                <w:sz w:val="18"/>
              </w:rPr>
              <w:t>15.00</w:t>
            </w:r>
          </w:p>
        </w:tc>
        <w:tc>
          <w:tcPr>
            <w:tcW w:w="1266" w:type="dxa"/>
            <w:tcBorders>
              <w:top w:val="nil"/>
              <w:left w:val="nil"/>
              <w:bottom w:val="single" w:color="auto" w:sz="4" w:space="0"/>
              <w:right w:val="single" w:color="auto" w:sz="4" w:space="0"/>
            </w:tcBorders>
            <w:shd w:val="clear" w:color="auto" w:fill="auto"/>
            <w:noWrap/>
            <w:vAlign w:val="center"/>
          </w:tcPr>
          <w:p w14:paraId="433614E6">
            <w:pPr>
              <w:jc w:val="center"/>
            </w:pPr>
            <w:r>
              <w:rPr>
                <w:rFonts w:ascii="宋体" w:hAnsi="宋体"/>
                <w:sz w:val="18"/>
              </w:rPr>
              <w:t>20.00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CCC9313">
            <w:pPr>
              <w:jc w:val="center"/>
            </w:pPr>
            <w:r>
              <w:rPr>
                <w:rFonts w:ascii="宋体" w:hAnsi="宋体"/>
                <w:sz w:val="18"/>
              </w:rPr>
              <w:t>20.00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F32F960">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1959791">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62E45849">
            <w:pPr>
              <w:jc w:val="center"/>
            </w:pPr>
            <w:r>
              <w:rPr>
                <w:rFonts w:ascii="宋体" w:hAnsi="宋体"/>
                <w:sz w:val="18"/>
              </w:rPr>
              <w:t>10.00</w:t>
            </w:r>
          </w:p>
        </w:tc>
      </w:tr>
      <w:tr w14:paraId="5A2D4D0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FBC60D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8DD36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981F259">
            <w:pPr>
              <w:jc w:val="center"/>
            </w:pPr>
            <w:r>
              <w:rPr>
                <w:rFonts w:ascii="宋体" w:hAnsi="宋体"/>
                <w:sz w:val="18"/>
              </w:rPr>
              <w:t>15.00</w:t>
            </w:r>
          </w:p>
        </w:tc>
        <w:tc>
          <w:tcPr>
            <w:tcW w:w="1266" w:type="dxa"/>
            <w:tcBorders>
              <w:top w:val="nil"/>
              <w:left w:val="nil"/>
              <w:bottom w:val="single" w:color="auto" w:sz="4" w:space="0"/>
              <w:right w:val="single" w:color="auto" w:sz="4" w:space="0"/>
            </w:tcBorders>
            <w:shd w:val="clear" w:color="auto" w:fill="auto"/>
            <w:noWrap/>
            <w:vAlign w:val="center"/>
          </w:tcPr>
          <w:p w14:paraId="493B0C3C">
            <w:pPr>
              <w:jc w:val="center"/>
            </w:pPr>
            <w:r>
              <w:rPr>
                <w:rFonts w:ascii="宋体" w:hAnsi="宋体"/>
                <w:sz w:val="18"/>
              </w:rPr>
              <w:t>20.00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95133B5">
            <w:pPr>
              <w:jc w:val="center"/>
            </w:pPr>
            <w:r>
              <w:rPr>
                <w:rFonts w:ascii="宋体" w:hAnsi="宋体"/>
                <w:sz w:val="18"/>
              </w:rPr>
              <w:t>20.00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B39A5C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D98D8D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BC2C5D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3FFB07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6F10A0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81A1A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C7EA69B">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01CA6BE4">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D99CCAA">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04D708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5E1A7B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CEB8FF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1D92D7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32140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2DAC0A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3C277C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135927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3B1A8EA">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21A9D075">
            <w:pPr>
              <w:jc w:val="left"/>
            </w:pPr>
            <w:r>
              <w:rPr>
                <w:rFonts w:ascii="宋体" w:hAnsi="宋体"/>
                <w:sz w:val="18"/>
              </w:rPr>
              <w:t>完成2023年750吨应急面粉储存保管，承储面粉质量达标率达到100%，面粉储备到位率达到100%，提高应急救助能力。</w:t>
            </w:r>
          </w:p>
        </w:tc>
        <w:tc>
          <w:tcPr>
            <w:tcW w:w="4536" w:type="dxa"/>
            <w:gridSpan w:val="7"/>
            <w:tcBorders>
              <w:top w:val="single" w:color="auto" w:sz="4" w:space="0"/>
              <w:left w:val="nil"/>
              <w:bottom w:val="single" w:color="auto" w:sz="4" w:space="0"/>
              <w:right w:val="single" w:color="000000" w:sz="4" w:space="0"/>
            </w:tcBorders>
            <w:shd w:val="clear" w:color="auto" w:fill="auto"/>
          </w:tcPr>
          <w:p w14:paraId="0AAEDBDE">
            <w:pPr>
              <w:jc w:val="left"/>
            </w:pPr>
            <w:r>
              <w:rPr>
                <w:rFonts w:ascii="宋体" w:hAnsi="宋体"/>
                <w:sz w:val="18"/>
              </w:rPr>
              <w:t>2023年我县750吨应急面粉保管良好，承储面粉质量达标率达到100%，面粉储备到位率达到100%，有效提高了我县应急救助能力。</w:t>
            </w:r>
          </w:p>
        </w:tc>
      </w:tr>
      <w:tr w14:paraId="6D817CD6">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F3FB4C5">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A06BA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F300D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8AF2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2A8354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0B55691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AC65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B80B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59198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23622F8">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B9EFE2D">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D89D57F">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BD0381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E05753F">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226FBB18">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33694CF4">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9BA002F">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FA5F939">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D56B3A2">
            <w:pPr>
              <w:widowControl/>
              <w:jc w:val="left"/>
              <w:rPr>
                <w:rFonts w:hint="eastAsia" w:ascii="宋体" w:hAnsi="宋体" w:cs="宋体"/>
                <w:color w:val="000000"/>
                <w:kern w:val="0"/>
                <w:sz w:val="18"/>
                <w:szCs w:val="18"/>
              </w:rPr>
            </w:pPr>
          </w:p>
        </w:tc>
      </w:tr>
      <w:tr w14:paraId="5EFBAE0C">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1E86B1F">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C6254BC">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3598D4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8DECF5">
            <w:pPr>
              <w:jc w:val="center"/>
            </w:pPr>
            <w:r>
              <w:rPr>
                <w:rFonts w:ascii="宋体" w:hAnsi="宋体"/>
                <w:sz w:val="18"/>
              </w:rPr>
              <w:t>应急面粉储备量</w:t>
            </w:r>
          </w:p>
        </w:tc>
        <w:tc>
          <w:tcPr>
            <w:tcW w:w="1266" w:type="dxa"/>
            <w:tcBorders>
              <w:top w:val="nil"/>
              <w:left w:val="nil"/>
              <w:bottom w:val="single" w:color="auto" w:sz="4" w:space="0"/>
              <w:right w:val="single" w:color="auto" w:sz="4" w:space="0"/>
            </w:tcBorders>
            <w:shd w:val="clear" w:color="auto" w:fill="auto"/>
            <w:vAlign w:val="center"/>
          </w:tcPr>
          <w:p w14:paraId="08C838C4">
            <w:pPr>
              <w:jc w:val="center"/>
            </w:pPr>
            <w:r>
              <w:rPr>
                <w:rFonts w:ascii="宋体" w:hAnsi="宋体"/>
                <w:sz w:val="18"/>
              </w:rPr>
              <w:t>&gt;=750吨</w:t>
            </w:r>
          </w:p>
        </w:tc>
        <w:tc>
          <w:tcPr>
            <w:tcW w:w="1088" w:type="dxa"/>
            <w:tcBorders>
              <w:top w:val="nil"/>
              <w:left w:val="nil"/>
              <w:bottom w:val="single" w:color="auto" w:sz="4" w:space="0"/>
              <w:right w:val="single" w:color="auto" w:sz="4" w:space="0"/>
            </w:tcBorders>
            <w:shd w:val="clear" w:color="auto" w:fill="auto"/>
            <w:vAlign w:val="center"/>
          </w:tcPr>
          <w:p w14:paraId="04366ECE">
            <w:pPr>
              <w:jc w:val="center"/>
            </w:pPr>
            <w:r>
              <w:rPr>
                <w:rFonts w:ascii="宋体" w:hAnsi="宋体"/>
                <w:sz w:val="18"/>
              </w:rPr>
              <w:t>=750吨</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7457FC5">
            <w:pPr>
              <w:jc w:val="center"/>
            </w:pPr>
            <w:r>
              <w:rPr>
                <w:rFonts w:ascii="宋体" w:hAnsi="宋体"/>
                <w:sz w:val="18"/>
              </w:rPr>
              <w:t>13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043857B">
            <w:pPr>
              <w:jc w:val="center"/>
            </w:pPr>
            <w:r>
              <w:rPr>
                <w:rFonts w:ascii="宋体" w:hAnsi="宋体"/>
                <w:sz w:val="18"/>
              </w:rPr>
              <w:t>13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9647C27">
            <w:pPr>
              <w:jc w:val="center"/>
            </w:pPr>
          </w:p>
        </w:tc>
      </w:tr>
      <w:tr w14:paraId="4D9083A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50EE5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3D402E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7803176">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F631AA">
            <w:pPr>
              <w:jc w:val="center"/>
            </w:pPr>
            <w:r>
              <w:rPr>
                <w:rFonts w:ascii="宋体" w:hAnsi="宋体"/>
                <w:sz w:val="18"/>
              </w:rPr>
              <w:t>承储面粉质量达标率</w:t>
            </w:r>
          </w:p>
        </w:tc>
        <w:tc>
          <w:tcPr>
            <w:tcW w:w="1266" w:type="dxa"/>
            <w:tcBorders>
              <w:top w:val="nil"/>
              <w:left w:val="nil"/>
              <w:bottom w:val="single" w:color="auto" w:sz="4" w:space="0"/>
              <w:right w:val="single" w:color="auto" w:sz="4" w:space="0"/>
            </w:tcBorders>
            <w:shd w:val="clear" w:color="auto" w:fill="auto"/>
            <w:vAlign w:val="center"/>
          </w:tcPr>
          <w:p w14:paraId="0EDC30A3">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042839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2BE9E9C">
            <w:pPr>
              <w:jc w:val="center"/>
            </w:pPr>
            <w:r>
              <w:rPr>
                <w:rFonts w:ascii="宋体" w:hAnsi="宋体"/>
                <w:sz w:val="18"/>
              </w:rPr>
              <w:t>13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5D771FA">
            <w:pPr>
              <w:jc w:val="center"/>
            </w:pPr>
            <w:r>
              <w:rPr>
                <w:rFonts w:ascii="宋体" w:hAnsi="宋体"/>
                <w:sz w:val="18"/>
              </w:rPr>
              <w:t>13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53C8394">
            <w:pPr>
              <w:jc w:val="center"/>
            </w:pPr>
          </w:p>
        </w:tc>
      </w:tr>
      <w:tr w14:paraId="5995FDF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16A08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B199AE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059A3A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E74B66">
            <w:pPr>
              <w:jc w:val="center"/>
            </w:pPr>
            <w:r>
              <w:rPr>
                <w:rFonts w:ascii="宋体" w:hAnsi="宋体"/>
                <w:sz w:val="18"/>
              </w:rPr>
              <w:t>面粉储备到位率</w:t>
            </w:r>
          </w:p>
        </w:tc>
        <w:tc>
          <w:tcPr>
            <w:tcW w:w="1266" w:type="dxa"/>
            <w:tcBorders>
              <w:top w:val="nil"/>
              <w:left w:val="nil"/>
              <w:bottom w:val="single" w:color="auto" w:sz="4" w:space="0"/>
              <w:right w:val="single" w:color="auto" w:sz="4" w:space="0"/>
            </w:tcBorders>
            <w:shd w:val="clear" w:color="auto" w:fill="auto"/>
            <w:vAlign w:val="center"/>
          </w:tcPr>
          <w:p w14:paraId="3944882F">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5293DE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A39988B">
            <w:pPr>
              <w:jc w:val="center"/>
            </w:pPr>
            <w:r>
              <w:rPr>
                <w:rFonts w:ascii="宋体" w:hAnsi="宋体"/>
                <w:sz w:val="18"/>
              </w:rPr>
              <w:t>12</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E9DF878">
            <w:pPr>
              <w:jc w:val="center"/>
            </w:pPr>
            <w:r>
              <w:rPr>
                <w:rFonts w:ascii="宋体" w:hAnsi="宋体"/>
                <w:sz w:val="18"/>
              </w:rPr>
              <w:t>12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D51E39E">
            <w:pPr>
              <w:jc w:val="center"/>
            </w:pPr>
          </w:p>
        </w:tc>
      </w:tr>
      <w:tr w14:paraId="6DE714D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3BBC5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0B58C3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FD099F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0B00C06">
            <w:pPr>
              <w:jc w:val="center"/>
            </w:pPr>
            <w:r>
              <w:rPr>
                <w:rFonts w:ascii="宋体" w:hAnsi="宋体"/>
                <w:sz w:val="18"/>
              </w:rPr>
              <w:t>承储时间</w:t>
            </w:r>
          </w:p>
        </w:tc>
        <w:tc>
          <w:tcPr>
            <w:tcW w:w="1266" w:type="dxa"/>
            <w:tcBorders>
              <w:top w:val="nil"/>
              <w:left w:val="nil"/>
              <w:bottom w:val="single" w:color="auto" w:sz="4" w:space="0"/>
              <w:right w:val="single" w:color="auto" w:sz="4" w:space="0"/>
            </w:tcBorders>
            <w:shd w:val="clear" w:color="auto" w:fill="auto"/>
            <w:vAlign w:val="center"/>
          </w:tcPr>
          <w:p w14:paraId="1CCA13DB">
            <w:pPr>
              <w:jc w:val="center"/>
            </w:pPr>
            <w:r>
              <w:rPr>
                <w:rFonts w:ascii="宋体" w:hAnsi="宋体"/>
                <w:sz w:val="18"/>
              </w:rPr>
              <w:t>=365天</w:t>
            </w:r>
          </w:p>
        </w:tc>
        <w:tc>
          <w:tcPr>
            <w:tcW w:w="1088" w:type="dxa"/>
            <w:tcBorders>
              <w:top w:val="nil"/>
              <w:left w:val="nil"/>
              <w:bottom w:val="single" w:color="auto" w:sz="4" w:space="0"/>
              <w:right w:val="single" w:color="auto" w:sz="4" w:space="0"/>
            </w:tcBorders>
            <w:shd w:val="clear" w:color="auto" w:fill="auto"/>
            <w:vAlign w:val="center"/>
          </w:tcPr>
          <w:p w14:paraId="0F686B97">
            <w:pPr>
              <w:jc w:val="center"/>
            </w:pPr>
            <w:r>
              <w:rPr>
                <w:rFonts w:ascii="宋体" w:hAnsi="宋体"/>
                <w:sz w:val="18"/>
              </w:rPr>
              <w:t>=365天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3F427B8">
            <w:pPr>
              <w:jc w:val="center"/>
            </w:pPr>
            <w:r>
              <w:rPr>
                <w:rFonts w:ascii="宋体" w:hAnsi="宋体"/>
                <w:sz w:val="18"/>
              </w:rPr>
              <w:t>12</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8A48999">
            <w:pPr>
              <w:jc w:val="center"/>
            </w:pPr>
            <w:r>
              <w:rPr>
                <w:rFonts w:ascii="宋体" w:hAnsi="宋体"/>
                <w:sz w:val="18"/>
              </w:rPr>
              <w:t>12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B3F7E90">
            <w:pPr>
              <w:jc w:val="center"/>
            </w:pPr>
          </w:p>
        </w:tc>
      </w:tr>
      <w:tr w14:paraId="3372EB0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1703E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EFD6432">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9F9C39C">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DD1EB72">
            <w:pPr>
              <w:jc w:val="center"/>
            </w:pPr>
            <w:r>
              <w:rPr>
                <w:rFonts w:ascii="宋体" w:hAnsi="宋体"/>
                <w:sz w:val="18"/>
              </w:rPr>
              <w:t>提高应急救助能力。</w:t>
            </w:r>
          </w:p>
        </w:tc>
        <w:tc>
          <w:tcPr>
            <w:tcW w:w="1266" w:type="dxa"/>
            <w:tcBorders>
              <w:top w:val="nil"/>
              <w:left w:val="nil"/>
              <w:bottom w:val="single" w:color="auto" w:sz="4" w:space="0"/>
              <w:right w:val="single" w:color="auto" w:sz="4" w:space="0"/>
            </w:tcBorders>
            <w:shd w:val="clear" w:color="auto" w:fill="auto"/>
            <w:vAlign w:val="center"/>
          </w:tcPr>
          <w:p w14:paraId="094261F6">
            <w:pPr>
              <w:jc w:val="center"/>
            </w:pPr>
            <w:r>
              <w:rPr>
                <w:rFonts w:ascii="宋体" w:hAnsi="宋体"/>
                <w:sz w:val="18"/>
              </w:rPr>
              <w:t>有效提高</w:t>
            </w:r>
          </w:p>
        </w:tc>
        <w:tc>
          <w:tcPr>
            <w:tcW w:w="1088" w:type="dxa"/>
            <w:tcBorders>
              <w:top w:val="nil"/>
              <w:left w:val="nil"/>
              <w:bottom w:val="single" w:color="auto" w:sz="4" w:space="0"/>
              <w:right w:val="single" w:color="auto" w:sz="4" w:space="0"/>
            </w:tcBorders>
            <w:shd w:val="clear" w:color="auto" w:fill="auto"/>
            <w:vAlign w:val="center"/>
          </w:tcPr>
          <w:p w14:paraId="52B4E346">
            <w:pPr>
              <w:jc w:val="center"/>
            </w:pPr>
            <w:r>
              <w:rPr>
                <w:rFonts w:ascii="宋体" w:hAnsi="宋体"/>
                <w:sz w:val="18"/>
              </w:rPr>
              <w:t>有效提高</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07FC428">
            <w:pPr>
              <w:jc w:val="center"/>
            </w:pPr>
            <w:r>
              <w:rPr>
                <w:rFonts w:ascii="宋体" w:hAnsi="宋体"/>
                <w:sz w:val="18"/>
              </w:rPr>
              <w:t>30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094F033">
            <w:pPr>
              <w:jc w:val="center"/>
            </w:pPr>
            <w:r>
              <w:rPr>
                <w:rFonts w:ascii="宋体" w:hAnsi="宋体"/>
                <w:sz w:val="18"/>
              </w:rPr>
              <w:t>30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CCF9AD0">
            <w:pPr>
              <w:jc w:val="center"/>
            </w:pPr>
          </w:p>
        </w:tc>
      </w:tr>
      <w:tr w14:paraId="59B12B1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AFB16D">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213697CA">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669D72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56FEAE7">
            <w:pPr>
              <w:jc w:val="center"/>
            </w:pPr>
            <w:r>
              <w:rPr>
                <w:rFonts w:ascii="宋体" w:hAnsi="宋体"/>
                <w:sz w:val="18"/>
              </w:rPr>
              <w:t>企业满意度</w:t>
            </w:r>
          </w:p>
        </w:tc>
        <w:tc>
          <w:tcPr>
            <w:tcW w:w="1266" w:type="dxa"/>
            <w:tcBorders>
              <w:top w:val="nil"/>
              <w:left w:val="nil"/>
              <w:bottom w:val="single" w:color="auto" w:sz="4" w:space="0"/>
              <w:right w:val="single" w:color="auto" w:sz="4" w:space="0"/>
            </w:tcBorders>
            <w:shd w:val="clear" w:color="auto" w:fill="auto"/>
            <w:vAlign w:val="center"/>
          </w:tcPr>
          <w:p w14:paraId="119383CD">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633407D1">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E1CCD8B">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2062790">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1287F87">
            <w:pPr>
              <w:jc w:val="center"/>
            </w:pPr>
          </w:p>
        </w:tc>
      </w:tr>
      <w:tr w14:paraId="122E283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CE20E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AD08C0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D98507D">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54BFD9">
            <w:pPr>
              <w:jc w:val="center"/>
            </w:pPr>
            <w:r>
              <w:rPr>
                <w:rFonts w:ascii="宋体" w:hAnsi="宋体"/>
                <w:sz w:val="18"/>
              </w:rPr>
              <w:t>群众满意度</w:t>
            </w:r>
          </w:p>
        </w:tc>
        <w:tc>
          <w:tcPr>
            <w:tcW w:w="1266" w:type="dxa"/>
            <w:tcBorders>
              <w:top w:val="nil"/>
              <w:left w:val="nil"/>
              <w:bottom w:val="single" w:color="auto" w:sz="4" w:space="0"/>
              <w:right w:val="single" w:color="auto" w:sz="4" w:space="0"/>
            </w:tcBorders>
            <w:shd w:val="clear" w:color="auto" w:fill="auto"/>
            <w:vAlign w:val="center"/>
          </w:tcPr>
          <w:p w14:paraId="6950CC29">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5BB5230D">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F0E819D">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A8F4058">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4A467C7">
            <w:pPr>
              <w:jc w:val="center"/>
            </w:pPr>
          </w:p>
        </w:tc>
      </w:tr>
      <w:tr w14:paraId="6133EE2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FC9A78A">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62D1FA4">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4C23AD7F">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FC3AF97">
            <w:pPr>
              <w:jc w:val="center"/>
            </w:pPr>
          </w:p>
        </w:tc>
      </w:tr>
    </w:tbl>
    <w:p w14:paraId="20440DC9">
      <w:pPr>
        <w:jc w:val="left"/>
        <w:rPr>
          <w:rFonts w:hint="eastAsia" w:ascii="宋体" w:hAnsi="宋体" w:cs="宋体"/>
          <w:b/>
          <w:bCs/>
          <w:kern w:val="0"/>
          <w:sz w:val="18"/>
          <w:szCs w:val="18"/>
        </w:rPr>
      </w:pPr>
    </w:p>
    <w:p w14:paraId="6DD193A9">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1C1AAAB7">
      <w:pPr>
        <w:ind w:firstLine="640" w:firstLineChars="200"/>
        <w:rPr>
          <w:rFonts w:hint="eastAsia" w:ascii="仿宋_GB2312" w:hAnsi="仿宋_GB2312" w:eastAsia="仿宋_GB2312" w:cs="仿宋_GB2312"/>
          <w:kern w:val="0"/>
          <w:sz w:val="32"/>
          <w:szCs w:val="32"/>
        </w:rPr>
      </w:pPr>
      <w:bookmarkStart w:id="48" w:name="_GoBack"/>
      <w:r>
        <w:rPr>
          <w:rFonts w:hint="eastAsia" w:ascii="仿宋_GB2312" w:hAnsi="仿宋_GB2312" w:eastAsia="仿宋_GB2312" w:cs="仿宋_GB2312"/>
          <w:kern w:val="0"/>
          <w:sz w:val="32"/>
          <w:szCs w:val="32"/>
        </w:rPr>
        <w:t>本</w:t>
      </w:r>
      <w:r>
        <w:rPr>
          <w:rFonts w:hint="eastAsia" w:ascii="仿宋_GB2312" w:hAnsi="仿宋_GB2312" w:eastAsia="仿宋_GB2312" w:cs="仿宋_GB2312"/>
          <w:kern w:val="0"/>
          <w:sz w:val="32"/>
          <w:szCs w:val="32"/>
          <w:lang w:val="en-US" w:eastAsia="zh-CN"/>
        </w:rPr>
        <w:t>单位</w:t>
      </w:r>
      <w:r>
        <w:rPr>
          <w:rFonts w:hint="eastAsia" w:ascii="仿宋_GB2312" w:hAnsi="仿宋_GB2312" w:eastAsia="仿宋_GB2312" w:cs="仿宋_GB2312"/>
          <w:kern w:val="0"/>
          <w:sz w:val="32"/>
          <w:szCs w:val="32"/>
        </w:rPr>
        <w:t>当年预算绩效评价项目有3个涉密项目，涉及全年预算数</w:t>
      </w:r>
      <w:r>
        <w:rPr>
          <w:rFonts w:hint="eastAsia" w:ascii="仿宋_GB2312" w:eastAsia="仿宋_GB2312"/>
          <w:sz w:val="32"/>
          <w:szCs w:val="32"/>
        </w:rPr>
        <w:t>1,2</w:t>
      </w:r>
      <w:r>
        <w:rPr>
          <w:rFonts w:hint="eastAsia" w:ascii="仿宋_GB2312" w:hAnsi="仿宋" w:eastAsia="仿宋_GB2312"/>
          <w:sz w:val="32"/>
          <w:szCs w:val="32"/>
        </w:rPr>
        <w:t>91.67</w:t>
      </w:r>
      <w:r>
        <w:rPr>
          <w:rFonts w:hint="eastAsia" w:ascii="仿宋_GB2312" w:hAnsi="仿宋_GB2312" w:eastAsia="仿宋_GB2312" w:cs="仿宋_GB2312"/>
          <w:kern w:val="0"/>
          <w:sz w:val="32"/>
          <w:szCs w:val="32"/>
        </w:rPr>
        <w:t>万元，全年执行数</w:t>
      </w:r>
      <w:r>
        <w:rPr>
          <w:rFonts w:hint="eastAsia" w:ascii="仿宋_GB2312" w:eastAsia="仿宋_GB2312"/>
          <w:sz w:val="32"/>
          <w:szCs w:val="32"/>
        </w:rPr>
        <w:t>1,2</w:t>
      </w:r>
      <w:r>
        <w:rPr>
          <w:rFonts w:hint="eastAsia" w:ascii="仿宋_GB2312" w:hAnsi="仿宋" w:eastAsia="仿宋_GB2312"/>
          <w:sz w:val="32"/>
          <w:szCs w:val="32"/>
        </w:rPr>
        <w:t>91.67</w:t>
      </w:r>
      <w:r>
        <w:rPr>
          <w:rFonts w:hint="eastAsia" w:ascii="仿宋_GB2312" w:hAnsi="仿宋_GB2312" w:eastAsia="仿宋_GB2312" w:cs="仿宋_GB2312"/>
          <w:kern w:val="0"/>
          <w:sz w:val="32"/>
          <w:szCs w:val="32"/>
        </w:rPr>
        <w:t>万元，</w:t>
      </w:r>
      <w:bookmarkEnd w:id="48"/>
      <w:r>
        <w:rPr>
          <w:rFonts w:hint="eastAsia" w:ascii="仿宋_GB2312" w:hAnsi="仿宋_GB2312" w:eastAsia="仿宋_GB2312" w:cs="仿宋_GB2312"/>
          <w:kern w:val="0"/>
          <w:sz w:val="32"/>
          <w:szCs w:val="32"/>
        </w:rPr>
        <w:t>未公开绩效自评表原因：涉密项目不公开项目绩效自评表。</w:t>
      </w:r>
    </w:p>
    <w:p w14:paraId="4613ECBF">
      <w:pPr>
        <w:jc w:val="center"/>
        <w:outlineLvl w:val="0"/>
        <w:rPr>
          <w:rFonts w:hint="eastAsia" w:ascii="黑体" w:hAnsi="黑体" w:eastAsia="黑体"/>
          <w:sz w:val="32"/>
          <w:szCs w:val="32"/>
        </w:rPr>
      </w:pPr>
      <w:bookmarkStart w:id="30" w:name="_Toc24143"/>
      <w:bookmarkStart w:id="31"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056E330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6FA9677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50F42A9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42127FD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5ABFB35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07503F6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2C9D966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34A0DA6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9E725C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53A0983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52FC1872">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2C42BC8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1747958F">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04154DC">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55614174">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0F18EE90">
      <w:pPr>
        <w:ind w:firstLine="640" w:firstLineChars="200"/>
        <w:outlineLvl w:val="1"/>
        <w:rPr>
          <w:rFonts w:hint="eastAsia"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14:paraId="4A84C19C">
      <w:pPr>
        <w:ind w:firstLine="640" w:firstLineChars="200"/>
        <w:outlineLvl w:val="1"/>
        <w:rPr>
          <w:rFonts w:hint="eastAsia"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14:paraId="62045975">
      <w:pPr>
        <w:ind w:firstLine="640" w:firstLineChars="200"/>
        <w:outlineLvl w:val="1"/>
        <w:rPr>
          <w:rFonts w:hint="eastAsia"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14:paraId="5BE8CAE6">
      <w:pPr>
        <w:ind w:firstLine="640" w:firstLineChars="200"/>
        <w:outlineLvl w:val="1"/>
        <w:rPr>
          <w:rFonts w:hint="eastAsia"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14:paraId="0CBCBAE4">
      <w:pPr>
        <w:ind w:firstLine="640" w:firstLineChars="200"/>
        <w:outlineLvl w:val="1"/>
        <w:rPr>
          <w:rFonts w:hint="eastAsia"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14:paraId="3F5A6E6E">
      <w:pPr>
        <w:ind w:firstLine="640" w:firstLineChars="200"/>
        <w:outlineLvl w:val="1"/>
        <w:rPr>
          <w:rFonts w:hint="eastAsia"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14:paraId="0B4B553F">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14:paraId="6411F8D9">
      <w:pPr>
        <w:ind w:firstLine="640" w:firstLineChars="200"/>
        <w:outlineLvl w:val="1"/>
        <w:rPr>
          <w:rFonts w:hint="eastAsia"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14:paraId="2084880F">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17645828">
      <w:pPr>
        <w:ind w:firstLine="640" w:firstLineChars="200"/>
        <w:rPr>
          <w:rFonts w:ascii="仿宋_GB2312" w:eastAsia="仿宋_GB2312"/>
          <w:sz w:val="32"/>
          <w:szCs w:val="32"/>
        </w:rPr>
      </w:pPr>
    </w:p>
    <w:p w14:paraId="7F96AC8D">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D0BDDE">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1C234F4">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21C234F4">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E44BD4"/>
    <w:rsid w:val="00054F97"/>
    <w:rsid w:val="000846BA"/>
    <w:rsid w:val="000849E5"/>
    <w:rsid w:val="001A0C08"/>
    <w:rsid w:val="001B66AD"/>
    <w:rsid w:val="00213C59"/>
    <w:rsid w:val="00237871"/>
    <w:rsid w:val="00306925"/>
    <w:rsid w:val="003210CE"/>
    <w:rsid w:val="003F46B6"/>
    <w:rsid w:val="00427DFB"/>
    <w:rsid w:val="004E5241"/>
    <w:rsid w:val="00552BD9"/>
    <w:rsid w:val="00711730"/>
    <w:rsid w:val="007A0C97"/>
    <w:rsid w:val="007C114B"/>
    <w:rsid w:val="00A62598"/>
    <w:rsid w:val="00AA25FB"/>
    <w:rsid w:val="00B70D59"/>
    <w:rsid w:val="00C567CB"/>
    <w:rsid w:val="00D4299A"/>
    <w:rsid w:val="00DC37BF"/>
    <w:rsid w:val="00E208E5"/>
    <w:rsid w:val="00E22283"/>
    <w:rsid w:val="00E44BD4"/>
    <w:rsid w:val="00E45E13"/>
    <w:rsid w:val="00E9134E"/>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5847FF"/>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B3126D"/>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uiPriority w:val="99"/>
    <w:rPr>
      <w:kern w:val="2"/>
      <w:sz w:val="18"/>
      <w:szCs w:val="24"/>
    </w:rPr>
  </w:style>
  <w:style w:type="character" w:customStyle="1" w:styleId="16">
    <w:name w:val="页脚 字符"/>
    <w:basedOn w:val="10"/>
    <w:link w:val="4"/>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28</Pages>
  <Words>11891</Words>
  <Characters>13748</Characters>
  <Lines>112</Lines>
  <Paragraphs>31</Paragraphs>
  <TotalTime>44</TotalTime>
  <ScaleCrop>false</ScaleCrop>
  <LinksUpToDate>false</LinksUpToDate>
  <CharactersWithSpaces>13759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2024-12-27T07:23:33Z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