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751E6">
      <w:pPr>
        <w:spacing w:line="540" w:lineRule="exact"/>
        <w:jc w:val="center"/>
        <w:rPr>
          <w:rFonts w:eastAsia="华文中宋"/>
          <w:b/>
          <w:color w:val="auto"/>
          <w:kern w:val="0"/>
          <w:sz w:val="52"/>
          <w:szCs w:val="52"/>
          <w:highlight w:val="none"/>
        </w:rPr>
      </w:pPr>
    </w:p>
    <w:p w14:paraId="03052D72">
      <w:pPr>
        <w:spacing w:line="540" w:lineRule="exact"/>
        <w:rPr>
          <w:rFonts w:eastAsia="华文中宋"/>
          <w:b/>
          <w:color w:val="auto"/>
          <w:kern w:val="0"/>
          <w:sz w:val="52"/>
          <w:szCs w:val="52"/>
          <w:highlight w:val="none"/>
        </w:rPr>
      </w:pPr>
    </w:p>
    <w:p w14:paraId="356A6002">
      <w:pPr>
        <w:spacing w:line="540" w:lineRule="exact"/>
        <w:jc w:val="center"/>
        <w:rPr>
          <w:rFonts w:eastAsia="华文中宋"/>
          <w:b/>
          <w:color w:val="auto"/>
          <w:kern w:val="0"/>
          <w:sz w:val="52"/>
          <w:szCs w:val="52"/>
          <w:highlight w:val="none"/>
        </w:rPr>
      </w:pPr>
    </w:p>
    <w:p w14:paraId="2721C4C9">
      <w:pPr>
        <w:spacing w:line="540" w:lineRule="exact"/>
        <w:jc w:val="center"/>
        <w:rPr>
          <w:rFonts w:eastAsia="华文中宋"/>
          <w:b/>
          <w:color w:val="auto"/>
          <w:kern w:val="0"/>
          <w:sz w:val="52"/>
          <w:szCs w:val="52"/>
          <w:highlight w:val="none"/>
        </w:rPr>
      </w:pPr>
    </w:p>
    <w:p w14:paraId="16A45246">
      <w:pPr>
        <w:spacing w:line="540" w:lineRule="exact"/>
        <w:jc w:val="center"/>
        <w:rPr>
          <w:rFonts w:eastAsia="方正小标宋_GBK"/>
          <w:color w:val="auto"/>
          <w:kern w:val="0"/>
          <w:sz w:val="48"/>
          <w:szCs w:val="48"/>
          <w:highlight w:val="none"/>
        </w:rPr>
      </w:pPr>
      <w:r>
        <w:rPr>
          <w:rFonts w:hint="eastAsia" w:eastAsia="方正小标宋_GBK"/>
          <w:color w:val="auto"/>
          <w:kern w:val="0"/>
          <w:sz w:val="48"/>
          <w:szCs w:val="48"/>
          <w:highlight w:val="none"/>
        </w:rPr>
        <w:t>中央疫情防控财力补助资金--防疫物资</w:t>
      </w:r>
      <w:r>
        <w:rPr>
          <w:rFonts w:eastAsia="方正小标宋_GBK"/>
          <w:color w:val="auto"/>
          <w:kern w:val="0"/>
          <w:sz w:val="48"/>
          <w:szCs w:val="48"/>
          <w:highlight w:val="none"/>
        </w:rPr>
        <w:t>资金项目支出绩效评价</w:t>
      </w:r>
    </w:p>
    <w:p w14:paraId="29EAE5ED">
      <w:pPr>
        <w:spacing w:line="540" w:lineRule="exact"/>
        <w:jc w:val="center"/>
        <w:rPr>
          <w:rFonts w:eastAsia="方正小标宋_GBK"/>
          <w:color w:val="auto"/>
          <w:kern w:val="0"/>
          <w:sz w:val="48"/>
          <w:szCs w:val="48"/>
          <w:highlight w:val="none"/>
        </w:rPr>
      </w:pPr>
      <w:r>
        <w:rPr>
          <w:rFonts w:eastAsia="方正小标宋_GBK"/>
          <w:color w:val="auto"/>
          <w:kern w:val="0"/>
          <w:sz w:val="48"/>
          <w:szCs w:val="48"/>
          <w:highlight w:val="none"/>
        </w:rPr>
        <w:t>报告</w:t>
      </w:r>
    </w:p>
    <w:p w14:paraId="397414D4">
      <w:pPr>
        <w:spacing w:line="540" w:lineRule="exact"/>
        <w:jc w:val="center"/>
        <w:rPr>
          <w:rFonts w:eastAsia="华文中宋"/>
          <w:b/>
          <w:color w:val="auto"/>
          <w:kern w:val="0"/>
          <w:sz w:val="52"/>
          <w:szCs w:val="52"/>
          <w:highlight w:val="none"/>
        </w:rPr>
      </w:pPr>
    </w:p>
    <w:p w14:paraId="403AED80">
      <w:pPr>
        <w:spacing w:line="540" w:lineRule="exact"/>
        <w:jc w:val="center"/>
        <w:rPr>
          <w:rFonts w:eastAsia="仿宋_GB2312"/>
          <w:color w:val="auto"/>
          <w:kern w:val="0"/>
          <w:sz w:val="36"/>
          <w:szCs w:val="36"/>
          <w:highlight w:val="none"/>
        </w:rPr>
      </w:pPr>
      <w:r>
        <w:rPr>
          <w:rFonts w:eastAsia="仿宋_GB2312"/>
          <w:color w:val="auto"/>
          <w:kern w:val="0"/>
          <w:sz w:val="36"/>
          <w:szCs w:val="36"/>
          <w:highlight w:val="none"/>
        </w:rPr>
        <w:t>（ 202</w:t>
      </w:r>
      <w:r>
        <w:rPr>
          <w:rFonts w:hint="eastAsia" w:eastAsia="仿宋_GB2312"/>
          <w:color w:val="auto"/>
          <w:kern w:val="0"/>
          <w:sz w:val="36"/>
          <w:szCs w:val="36"/>
          <w:highlight w:val="none"/>
          <w:lang w:val="en-US" w:eastAsia="zh-CN"/>
        </w:rPr>
        <w:t>3</w:t>
      </w:r>
      <w:r>
        <w:rPr>
          <w:rFonts w:eastAsia="仿宋_GB2312"/>
          <w:color w:val="auto"/>
          <w:kern w:val="0"/>
          <w:sz w:val="36"/>
          <w:szCs w:val="36"/>
          <w:highlight w:val="none"/>
        </w:rPr>
        <w:t>年度）</w:t>
      </w:r>
    </w:p>
    <w:p w14:paraId="49133842">
      <w:pPr>
        <w:spacing w:line="540" w:lineRule="exact"/>
        <w:jc w:val="center"/>
        <w:rPr>
          <w:rFonts w:eastAsia="仿宋_GB2312"/>
          <w:color w:val="auto"/>
          <w:kern w:val="0"/>
          <w:sz w:val="30"/>
          <w:szCs w:val="30"/>
          <w:highlight w:val="none"/>
        </w:rPr>
      </w:pPr>
    </w:p>
    <w:p w14:paraId="471123ED">
      <w:pPr>
        <w:spacing w:line="540" w:lineRule="exact"/>
        <w:jc w:val="center"/>
        <w:rPr>
          <w:rFonts w:eastAsia="仿宋_GB2312"/>
          <w:color w:val="auto"/>
          <w:kern w:val="0"/>
          <w:sz w:val="30"/>
          <w:szCs w:val="30"/>
          <w:highlight w:val="none"/>
        </w:rPr>
      </w:pPr>
    </w:p>
    <w:p w14:paraId="37CC39DB">
      <w:pPr>
        <w:spacing w:line="540" w:lineRule="exact"/>
        <w:jc w:val="center"/>
        <w:rPr>
          <w:rFonts w:eastAsia="仿宋_GB2312"/>
          <w:color w:val="auto"/>
          <w:kern w:val="0"/>
          <w:sz w:val="30"/>
          <w:szCs w:val="30"/>
          <w:highlight w:val="none"/>
        </w:rPr>
      </w:pPr>
    </w:p>
    <w:p w14:paraId="5E94D520">
      <w:pPr>
        <w:pStyle w:val="2"/>
        <w:rPr>
          <w:color w:val="auto"/>
          <w:highlight w:val="none"/>
        </w:rPr>
      </w:pPr>
    </w:p>
    <w:p w14:paraId="18D80906">
      <w:pPr>
        <w:spacing w:line="540" w:lineRule="exact"/>
        <w:jc w:val="center"/>
        <w:rPr>
          <w:rFonts w:eastAsia="仿宋_GB2312"/>
          <w:color w:val="auto"/>
          <w:kern w:val="0"/>
          <w:sz w:val="30"/>
          <w:szCs w:val="30"/>
          <w:highlight w:val="none"/>
        </w:rPr>
      </w:pPr>
    </w:p>
    <w:p w14:paraId="38888A24">
      <w:pPr>
        <w:spacing w:line="540" w:lineRule="exact"/>
        <w:rPr>
          <w:rFonts w:eastAsia="仿宋_GB2312"/>
          <w:color w:val="auto"/>
          <w:kern w:val="0"/>
          <w:sz w:val="30"/>
          <w:szCs w:val="30"/>
          <w:highlight w:val="none"/>
        </w:rPr>
      </w:pPr>
    </w:p>
    <w:p w14:paraId="437C1A21">
      <w:pPr>
        <w:spacing w:line="700" w:lineRule="exact"/>
        <w:ind w:left="3236" w:leftChars="684" w:hanging="1800" w:hangingChars="500"/>
        <w:jc w:val="left"/>
        <w:rPr>
          <w:rFonts w:eastAsia="仿宋_GB2312"/>
          <w:color w:val="auto"/>
          <w:kern w:val="0"/>
          <w:sz w:val="36"/>
          <w:szCs w:val="36"/>
          <w:highlight w:val="none"/>
        </w:rPr>
      </w:pPr>
      <w:r>
        <w:rPr>
          <w:rFonts w:eastAsia="仿宋_GB2312"/>
          <w:color w:val="auto"/>
          <w:kern w:val="0"/>
          <w:sz w:val="36"/>
          <w:szCs w:val="36"/>
          <w:highlight w:val="none"/>
        </w:rPr>
        <w:t>项目名称：</w:t>
      </w:r>
      <w:r>
        <w:rPr>
          <w:rFonts w:hint="eastAsia" w:eastAsia="仿宋_GB2312"/>
          <w:color w:val="auto"/>
          <w:kern w:val="0"/>
          <w:sz w:val="36"/>
          <w:szCs w:val="36"/>
          <w:highlight w:val="none"/>
        </w:rPr>
        <w:t>中央疫情防控财力补助资金--防疫物资</w:t>
      </w:r>
    </w:p>
    <w:p w14:paraId="78E31521">
      <w:pPr>
        <w:spacing w:line="700" w:lineRule="exact"/>
        <w:ind w:firstLine="1440" w:firstLineChars="400"/>
        <w:jc w:val="left"/>
        <w:rPr>
          <w:rFonts w:hint="eastAsia" w:eastAsia="仿宋_GB2312"/>
          <w:color w:val="auto"/>
          <w:kern w:val="0"/>
          <w:sz w:val="36"/>
          <w:szCs w:val="36"/>
          <w:highlight w:val="none"/>
          <w:lang w:val="en-US" w:eastAsia="zh-CN"/>
        </w:rPr>
      </w:pPr>
      <w:r>
        <w:rPr>
          <w:rFonts w:eastAsia="仿宋_GB2312"/>
          <w:color w:val="auto"/>
          <w:kern w:val="0"/>
          <w:sz w:val="36"/>
          <w:szCs w:val="36"/>
          <w:highlight w:val="none"/>
        </w:rPr>
        <w:t>实施单位（公章）：</w:t>
      </w:r>
      <w:r>
        <w:rPr>
          <w:rFonts w:hint="eastAsia" w:eastAsia="仿宋_GB2312"/>
          <w:color w:val="auto"/>
          <w:kern w:val="0"/>
          <w:sz w:val="36"/>
          <w:szCs w:val="36"/>
          <w:highlight w:val="none"/>
          <w:lang w:eastAsia="zh-CN"/>
        </w:rPr>
        <w:t>奇台县妇幼保健院</w:t>
      </w:r>
    </w:p>
    <w:p w14:paraId="06EE4E54">
      <w:pPr>
        <w:spacing w:line="700" w:lineRule="exact"/>
        <w:ind w:firstLine="1440" w:firstLineChars="400"/>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主管部门</w:t>
      </w:r>
      <w:bookmarkStart w:id="9" w:name="_GoBack"/>
      <w:bookmarkEnd w:id="9"/>
      <w:r>
        <w:rPr>
          <w:rFonts w:eastAsia="仿宋_GB2312"/>
          <w:color w:val="auto"/>
          <w:kern w:val="0"/>
          <w:sz w:val="36"/>
          <w:szCs w:val="36"/>
          <w:highlight w:val="none"/>
        </w:rPr>
        <w:t>（公章）：</w:t>
      </w:r>
      <w:r>
        <w:rPr>
          <w:rFonts w:hint="eastAsia" w:eastAsia="仿宋_GB2312"/>
          <w:color w:val="auto"/>
          <w:kern w:val="0"/>
          <w:sz w:val="36"/>
          <w:szCs w:val="36"/>
          <w:highlight w:val="none"/>
          <w:lang w:eastAsia="zh-CN"/>
        </w:rPr>
        <w:t>奇台县卫生健康委员会</w:t>
      </w:r>
    </w:p>
    <w:p w14:paraId="5740200B">
      <w:pPr>
        <w:spacing w:line="700" w:lineRule="exact"/>
        <w:ind w:firstLine="1440" w:firstLineChars="400"/>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项目负责人（签章）：</w:t>
      </w:r>
      <w:r>
        <w:rPr>
          <w:rFonts w:hint="eastAsia" w:eastAsia="仿宋_GB2312"/>
          <w:color w:val="auto"/>
          <w:kern w:val="0"/>
          <w:sz w:val="36"/>
          <w:szCs w:val="36"/>
          <w:highlight w:val="none"/>
          <w:lang w:eastAsia="zh-CN"/>
        </w:rPr>
        <w:t>刘永忠</w:t>
      </w:r>
    </w:p>
    <w:p w14:paraId="4FDB3E26">
      <w:pPr>
        <w:spacing w:line="700" w:lineRule="exact"/>
        <w:ind w:firstLine="1440" w:firstLineChars="400"/>
        <w:jc w:val="left"/>
        <w:rPr>
          <w:rFonts w:eastAsia="仿宋_GB2312"/>
          <w:color w:val="auto"/>
          <w:kern w:val="0"/>
          <w:sz w:val="36"/>
          <w:szCs w:val="36"/>
          <w:highlight w:val="none"/>
        </w:rPr>
      </w:pPr>
      <w:r>
        <w:rPr>
          <w:rFonts w:eastAsia="仿宋_GB2312"/>
          <w:color w:val="auto"/>
          <w:kern w:val="0"/>
          <w:sz w:val="36"/>
          <w:szCs w:val="36"/>
          <w:highlight w:val="none"/>
        </w:rPr>
        <w:t>填报时间：</w:t>
      </w:r>
      <w:r>
        <w:rPr>
          <w:rFonts w:hint="eastAsia" w:eastAsia="仿宋_GB2312"/>
          <w:color w:val="auto"/>
          <w:kern w:val="0"/>
          <w:sz w:val="36"/>
          <w:szCs w:val="36"/>
          <w:highlight w:val="none"/>
          <w:lang w:val="en-US" w:eastAsia="zh-CN"/>
        </w:rPr>
        <w:t>2024</w:t>
      </w:r>
      <w:r>
        <w:rPr>
          <w:rFonts w:eastAsia="仿宋_GB2312"/>
          <w:color w:val="auto"/>
          <w:kern w:val="0"/>
          <w:sz w:val="36"/>
          <w:szCs w:val="36"/>
          <w:highlight w:val="none"/>
        </w:rPr>
        <w:t>年</w:t>
      </w:r>
      <w:r>
        <w:rPr>
          <w:rFonts w:hint="eastAsia" w:eastAsia="仿宋_GB2312"/>
          <w:color w:val="auto"/>
          <w:kern w:val="0"/>
          <w:sz w:val="36"/>
          <w:szCs w:val="36"/>
          <w:highlight w:val="none"/>
          <w:lang w:val="en-US" w:eastAsia="zh-CN"/>
        </w:rPr>
        <w:t>4</w:t>
      </w:r>
      <w:r>
        <w:rPr>
          <w:rFonts w:eastAsia="仿宋_GB2312"/>
          <w:color w:val="auto"/>
          <w:kern w:val="0"/>
          <w:sz w:val="36"/>
          <w:szCs w:val="36"/>
          <w:highlight w:val="none"/>
        </w:rPr>
        <w:t>月</w:t>
      </w:r>
      <w:r>
        <w:rPr>
          <w:rFonts w:hint="eastAsia" w:eastAsia="仿宋_GB2312"/>
          <w:color w:val="auto"/>
          <w:kern w:val="0"/>
          <w:sz w:val="36"/>
          <w:szCs w:val="36"/>
          <w:highlight w:val="none"/>
          <w:lang w:val="en-US" w:eastAsia="zh-CN"/>
        </w:rPr>
        <w:t>16</w:t>
      </w:r>
      <w:r>
        <w:rPr>
          <w:rFonts w:eastAsia="仿宋_GB2312"/>
          <w:color w:val="auto"/>
          <w:kern w:val="0"/>
          <w:sz w:val="36"/>
          <w:szCs w:val="36"/>
          <w:highlight w:val="none"/>
        </w:rPr>
        <w:t>日</w:t>
      </w:r>
    </w:p>
    <w:p w14:paraId="75F67A63">
      <w:pPr>
        <w:spacing w:line="540" w:lineRule="exact"/>
        <w:jc w:val="center"/>
        <w:rPr>
          <w:rFonts w:eastAsia="仿宋_GB2312"/>
          <w:color w:val="auto"/>
          <w:kern w:val="0"/>
          <w:sz w:val="30"/>
          <w:szCs w:val="30"/>
          <w:highlight w:val="none"/>
        </w:rPr>
      </w:pPr>
    </w:p>
    <w:p w14:paraId="72F990CB">
      <w:pPr>
        <w:spacing w:line="540" w:lineRule="exact"/>
        <w:rPr>
          <w:rStyle w:val="16"/>
          <w:rFonts w:eastAsia="黑体"/>
          <w:b w:val="0"/>
          <w:color w:val="auto"/>
          <w:spacing w:val="-4"/>
          <w:sz w:val="32"/>
          <w:szCs w:val="32"/>
          <w:highlight w:val="none"/>
        </w:rPr>
      </w:pPr>
    </w:p>
    <w:p w14:paraId="41245DE0">
      <w:pPr>
        <w:spacing w:line="540" w:lineRule="exact"/>
        <w:ind w:firstLine="640"/>
        <w:rPr>
          <w:rStyle w:val="16"/>
          <w:rFonts w:eastAsia="黑体"/>
          <w:b w:val="0"/>
          <w:color w:val="auto"/>
          <w:spacing w:val="-4"/>
          <w:sz w:val="32"/>
          <w:szCs w:val="32"/>
          <w:highlight w:val="none"/>
        </w:rPr>
      </w:pPr>
    </w:p>
    <w:p w14:paraId="76224960">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一、基本情况</w:t>
      </w:r>
    </w:p>
    <w:p w14:paraId="6CAF48E4">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（一）项目概况</w:t>
      </w:r>
    </w:p>
    <w:p w14:paraId="59D6ACA5">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1、项目背景</w:t>
      </w:r>
    </w:p>
    <w:p w14:paraId="3DFBE7F4">
      <w:pPr>
        <w:spacing w:line="560" w:lineRule="exact"/>
        <w:ind w:firstLine="640" w:firstLineChars="200"/>
        <w:rPr>
          <w:rFonts w:hint="eastAsia" w:eastAsia="仿宋_GB2312"/>
          <w:color w:val="auto"/>
          <w:sz w:val="32"/>
          <w:szCs w:val="32"/>
          <w:highlight w:val="none"/>
          <w:lang w:eastAsia="zh-CN"/>
        </w:rPr>
      </w:pPr>
      <w:r>
        <w:rPr>
          <w:rFonts w:hint="eastAsia" w:eastAsia="仿宋_GB2312"/>
          <w:color w:val="auto"/>
          <w:sz w:val="32"/>
          <w:szCs w:val="32"/>
          <w:highlight w:val="none"/>
          <w:lang w:eastAsia="zh-CN"/>
        </w:rPr>
        <w:t>根据《关于进一步优化新冠肺炎疫情防控措施科学精准做好防控工作的通知》有关要求，国务院联防联控机制综合组制定了《新冠肺炎疫情防控核酸检测实施办法》《新冠肺炎疫情风险区划定及管控方案》《新冠肺炎疫情居家隔离医学观察指南》《新冠肺炎疫情居家健康监测指南》，切实做好新型冠状病毒感染肺炎疫情防控工作，提高新型冠状病毒的防治水平和应对能力，及时、有效地采取防控措施，控制疫情的传播、蔓延，保障广大群众的身体健康和生命安全。</w:t>
      </w:r>
      <w:r>
        <w:rPr>
          <w:rFonts w:hint="eastAsia" w:ascii="Times New Roman" w:hAnsi="Times New Roman" w:eastAsia="仿宋_GB2312" w:cs="Times New Roman"/>
          <w:b w:val="0"/>
          <w:bCs w:val="0"/>
          <w:color w:val="auto"/>
          <w:kern w:val="2"/>
          <w:sz w:val="32"/>
          <w:szCs w:val="32"/>
          <w:highlight w:val="none"/>
          <w:lang w:val="en-US" w:eastAsia="zh-CN" w:bidi="ar-SA"/>
        </w:rPr>
        <w:t>根据昌州财预【2023】21号文件下达预算资金</w:t>
      </w:r>
      <w:r>
        <w:rPr>
          <w:rFonts w:hint="eastAsia" w:eastAsia="仿宋_GB2312"/>
          <w:color w:val="auto"/>
          <w:sz w:val="32"/>
          <w:szCs w:val="32"/>
          <w:highlight w:val="none"/>
          <w:lang w:eastAsia="zh-CN"/>
        </w:rPr>
        <w:t>，安排的资金主要用于前期黄码医院维修改造、医用设备费用。</w:t>
      </w:r>
    </w:p>
    <w:p w14:paraId="23BDA51C">
      <w:pPr>
        <w:pStyle w:val="2"/>
        <w:numPr>
          <w:ilvl w:val="0"/>
          <w:numId w:val="1"/>
        </w:numPr>
        <w:spacing w:before="0" w:after="0" w:line="560" w:lineRule="exact"/>
        <w:ind w:firstLine="643" w:firstLineChars="200"/>
        <w:jc w:val="both"/>
        <w:rPr>
          <w:rFonts w:ascii="Times New Roman" w:hAnsi="Times New Roman" w:eastAsia="仿宋_GB2312"/>
          <w:color w:val="auto"/>
          <w:kern w:val="2"/>
          <w:highlight w:val="none"/>
        </w:rPr>
      </w:pPr>
      <w:r>
        <w:rPr>
          <w:rFonts w:ascii="Times New Roman" w:hAnsi="Times New Roman" w:eastAsia="仿宋_GB2312"/>
          <w:color w:val="auto"/>
          <w:kern w:val="2"/>
          <w:highlight w:val="none"/>
        </w:rPr>
        <w:t>项目主要内容：</w:t>
      </w:r>
    </w:p>
    <w:p w14:paraId="35AB85C6">
      <w:pPr>
        <w:spacing w:line="560" w:lineRule="exact"/>
        <w:ind w:firstLine="640" w:firstLineChars="200"/>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项目主要内容：因维修改造黄码医院需要医疗设备为患者提供服务，启动疫情防控资金（黄码医院改造）项目，对于保障医院正常运行，提高疫情防控能力，为人民身体健康保驾护航有巨大的促进作用。所以拨付2023年昌吉州本级疫情防控补助资金，用于购买黄码医院所需医用设备、维修改造费用。</w:t>
      </w:r>
    </w:p>
    <w:p w14:paraId="012BFAF4">
      <w:pPr>
        <w:spacing w:line="560" w:lineRule="exact"/>
        <w:ind w:firstLine="640" w:firstLineChars="200"/>
        <w:rPr>
          <w:rFonts w:hint="eastAsia" w:eastAsia="仿宋_GB2312"/>
          <w:color w:val="auto"/>
          <w:sz w:val="32"/>
          <w:szCs w:val="32"/>
          <w:highlight w:val="none"/>
        </w:rPr>
      </w:pPr>
      <w:r>
        <w:rPr>
          <w:rFonts w:eastAsia="仿宋_GB2312"/>
          <w:color w:val="auto"/>
          <w:sz w:val="32"/>
          <w:szCs w:val="32"/>
          <w:highlight w:val="none"/>
        </w:rPr>
        <w:t>项目实施情况：项目目前已经完成实际设立的目标，项目在实施过程中严格按照目标设立的各阶段任务进行开展工作</w:t>
      </w:r>
      <w:r>
        <w:rPr>
          <w:rFonts w:hint="eastAsia" w:eastAsia="仿宋_GB2312"/>
          <w:color w:val="auto"/>
          <w:sz w:val="32"/>
          <w:szCs w:val="32"/>
          <w:highlight w:val="none"/>
          <w:lang w:eastAsia="zh-CN"/>
        </w:rPr>
        <w:t>。</w:t>
      </w:r>
      <w:r>
        <w:rPr>
          <w:rFonts w:hint="eastAsia" w:eastAsia="仿宋_GB2312"/>
          <w:color w:val="auto"/>
          <w:sz w:val="32"/>
          <w:szCs w:val="32"/>
          <w:highlight w:val="none"/>
        </w:rPr>
        <w:t>2023年度本项目投入4.39万元用于将古城乡卫生院、奇台县妇计中心改造为黄码医院，主要内容为维修改造铁皮围挡、入口垫钢板项目，</w:t>
      </w:r>
      <w:r>
        <w:rPr>
          <w:rFonts w:hint="eastAsia" w:ascii="仿宋_GB2312" w:hAnsi="仿宋_GB2312" w:eastAsia="仿宋_GB2312" w:cs="仿宋_GB2312"/>
          <w:color w:val="auto"/>
          <w:sz w:val="32"/>
          <w:szCs w:val="32"/>
          <w:highlight w:val="none"/>
          <w:lang w:val="en-US" w:eastAsia="zh-CN"/>
        </w:rPr>
        <w:t>维修改造面积</w:t>
      </w:r>
      <w:r>
        <w:rPr>
          <w:rFonts w:hint="eastAsia" w:ascii="宋体" w:hAnsi="宋体" w:cs="宋体"/>
          <w:color w:val="auto"/>
          <w:sz w:val="32"/>
          <w:szCs w:val="32"/>
          <w:highlight w:val="none"/>
          <w:lang w:val="en-US" w:eastAsia="zh-CN"/>
        </w:rPr>
        <w:t>为</w:t>
      </w:r>
      <w:r>
        <w:rPr>
          <w:rFonts w:hint="eastAsia" w:ascii="仿宋_GB2312" w:hAnsi="仿宋_GB2312" w:eastAsia="仿宋_GB2312" w:cs="仿宋_GB2312"/>
          <w:color w:val="auto"/>
          <w:sz w:val="32"/>
          <w:szCs w:val="32"/>
          <w:highlight w:val="none"/>
          <w:lang w:val="en-US" w:eastAsia="zh-CN"/>
        </w:rPr>
        <w:t>1000平方米，</w:t>
      </w:r>
      <w:r>
        <w:rPr>
          <w:rFonts w:hint="eastAsia" w:eastAsia="仿宋_GB2312"/>
          <w:color w:val="auto"/>
          <w:sz w:val="32"/>
          <w:szCs w:val="32"/>
          <w:highlight w:val="none"/>
        </w:rPr>
        <w:t>维修改造合格率100%，维修改造成本</w:t>
      </w:r>
      <w:r>
        <w:rPr>
          <w:rFonts w:hint="eastAsia" w:eastAsia="仿宋_GB2312"/>
          <w:color w:val="auto"/>
          <w:sz w:val="32"/>
          <w:szCs w:val="32"/>
          <w:highlight w:val="none"/>
          <w:lang w:eastAsia="zh-CN"/>
        </w:rPr>
        <w:t>控制在</w:t>
      </w:r>
      <w:r>
        <w:rPr>
          <w:rFonts w:hint="eastAsia" w:eastAsia="仿宋_GB2312"/>
          <w:color w:val="auto"/>
          <w:sz w:val="32"/>
          <w:szCs w:val="32"/>
          <w:highlight w:val="none"/>
        </w:rPr>
        <w:t>4.39万元</w:t>
      </w:r>
      <w:r>
        <w:rPr>
          <w:rFonts w:hint="eastAsia" w:eastAsia="仿宋_GB2312"/>
          <w:color w:val="auto"/>
          <w:sz w:val="32"/>
          <w:szCs w:val="32"/>
          <w:highlight w:val="none"/>
          <w:lang w:eastAsia="zh-CN"/>
        </w:rPr>
        <w:t>以内</w:t>
      </w:r>
      <w:r>
        <w:rPr>
          <w:rFonts w:hint="eastAsia" w:eastAsia="仿宋_GB2312"/>
          <w:color w:val="auto"/>
          <w:sz w:val="32"/>
          <w:szCs w:val="32"/>
          <w:highlight w:val="none"/>
        </w:rPr>
        <w:t>，通过本项目的实施，切实做好疫情防控工作，有效提升了疫情防控能力，降低了社会疫情影响，保障了公众健康，提高了医疗卫生服务质量</w:t>
      </w:r>
      <w:r>
        <w:rPr>
          <w:rFonts w:hint="eastAsia" w:eastAsia="仿宋_GB2312"/>
          <w:color w:val="auto"/>
          <w:sz w:val="32"/>
          <w:szCs w:val="32"/>
          <w:highlight w:val="none"/>
          <w:lang w:eastAsia="zh-CN"/>
        </w:rPr>
        <w:t>，</w:t>
      </w:r>
      <w:r>
        <w:rPr>
          <w:rFonts w:hint="eastAsia" w:eastAsia="仿宋_GB2312"/>
          <w:color w:val="auto"/>
          <w:sz w:val="32"/>
          <w:szCs w:val="32"/>
          <w:highlight w:val="none"/>
        </w:rPr>
        <w:t>门诊患者满意度达到92%。</w:t>
      </w:r>
    </w:p>
    <w:p w14:paraId="5F6A268E">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3、资金投入和使用情况</w:t>
      </w:r>
    </w:p>
    <w:p w14:paraId="0FE9D661">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（1）资金投入情况</w:t>
      </w:r>
    </w:p>
    <w:p w14:paraId="4783342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该项目年初预算数4.39万元，全年预算数4.39万元，实际总投入4.39万元，该项目资金已全部落实到位，资金来源为中央直达资金。</w:t>
      </w:r>
    </w:p>
    <w:p w14:paraId="632DDF0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（2）资金使用情况</w:t>
      </w:r>
    </w:p>
    <w:p w14:paraId="151B791B">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该项目年初预算数4.39万元，全年预算数4.39万元，全年执行数4.39万元，预算执行率为100%，主要用于：</w:t>
      </w:r>
      <w:r>
        <w:rPr>
          <w:rFonts w:hint="eastAsia" w:eastAsia="仿宋_GB2312"/>
          <w:color w:val="auto"/>
          <w:sz w:val="32"/>
          <w:szCs w:val="32"/>
          <w:highlight w:val="none"/>
          <w:lang w:eastAsia="zh-CN"/>
        </w:rPr>
        <w:t>前期黄码医院维修改造、医用设备费用</w:t>
      </w:r>
      <w:r>
        <w:rPr>
          <w:rFonts w:hint="eastAsia" w:ascii="仿宋_GB2312" w:hAnsi="仿宋_GB2312" w:eastAsia="仿宋_GB2312" w:cs="仿宋_GB2312"/>
          <w:color w:val="auto"/>
          <w:sz w:val="32"/>
          <w:szCs w:val="32"/>
          <w:highlight w:val="none"/>
          <w:lang w:val="en-US" w:eastAsia="zh-CN"/>
        </w:rPr>
        <w:t>。</w:t>
      </w:r>
    </w:p>
    <w:p w14:paraId="01BC52CD">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（二）项目绩效目标</w:t>
      </w:r>
    </w:p>
    <w:p w14:paraId="248FA0DB">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1、总体目标</w:t>
      </w:r>
    </w:p>
    <w:p w14:paraId="21A8103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用于将古城乡卫生院、奇台县妇幼保健院改造为黄码医院，主要内容为维修改造铁皮围挡、入口垫钢板项目，维修改造面积</w:t>
      </w:r>
      <w:r>
        <w:rPr>
          <w:rFonts w:hint="eastAsia" w:ascii="宋体" w:hAnsi="宋体" w:cs="宋体"/>
          <w:color w:val="auto"/>
          <w:sz w:val="32"/>
          <w:szCs w:val="32"/>
          <w:highlight w:val="none"/>
          <w:lang w:val="en-US" w:eastAsia="zh-CN"/>
        </w:rPr>
        <w:t>大于等于</w:t>
      </w:r>
      <w:r>
        <w:rPr>
          <w:rFonts w:hint="eastAsia" w:ascii="仿宋_GB2312" w:hAnsi="仿宋_GB2312" w:eastAsia="仿宋_GB2312" w:cs="仿宋_GB2312"/>
          <w:color w:val="auto"/>
          <w:sz w:val="32"/>
          <w:szCs w:val="32"/>
          <w:highlight w:val="none"/>
          <w:lang w:val="en-US" w:eastAsia="zh-CN"/>
        </w:rPr>
        <w:t>1000平方米，维修改造合格率达到100%以上，维修改造成本控制在4.39万元以内，通过本项目的实施，切实做好疫情防控工作，有效提升疫情防控能力，降低社会疫情影响，保障公众健康，提高医疗卫生服务质量。门诊患者满意度达到90%以上。</w:t>
      </w:r>
    </w:p>
    <w:p w14:paraId="1E1B9FB6">
      <w:pPr>
        <w:spacing w:line="560" w:lineRule="exact"/>
        <w:ind w:firstLine="640" w:firstLineChars="200"/>
        <w:rPr>
          <w:rFonts w:hint="eastAsia" w:eastAsia="仿宋_GB2312"/>
          <w:color w:val="auto"/>
          <w:sz w:val="32"/>
          <w:szCs w:val="32"/>
          <w:highlight w:val="none"/>
        </w:rPr>
      </w:pPr>
      <w:r>
        <w:rPr>
          <w:rFonts w:eastAsia="仿宋_GB2312"/>
          <w:color w:val="auto"/>
          <w:sz w:val="32"/>
          <w:szCs w:val="32"/>
          <w:highlight w:val="none"/>
        </w:rPr>
        <w:t>2、阶段性目标</w:t>
      </w:r>
    </w:p>
    <w:p w14:paraId="4E9DC630">
      <w:pPr>
        <w:spacing w:line="560" w:lineRule="exact"/>
        <w:ind w:firstLine="640" w:firstLineChars="200"/>
        <w:rPr>
          <w:rFonts w:hint="eastAsia"/>
          <w:color w:val="auto"/>
          <w:highlight w:val="none"/>
          <w:lang w:eastAsia="zh-CN"/>
        </w:rPr>
      </w:pPr>
      <w:r>
        <w:rPr>
          <w:rFonts w:hint="eastAsia" w:eastAsia="仿宋_GB2312"/>
          <w:color w:val="auto"/>
          <w:sz w:val="32"/>
          <w:szCs w:val="32"/>
          <w:highlight w:val="none"/>
          <w:lang w:val="en-US" w:eastAsia="zh-CN"/>
        </w:rPr>
        <w:t>截至2023年11</w:t>
      </w:r>
      <w:r>
        <w:rPr>
          <w:rFonts w:hint="eastAsia" w:eastAsia="仿宋_GB2312"/>
          <w:color w:val="auto"/>
          <w:sz w:val="32"/>
          <w:szCs w:val="32"/>
          <w:highlight w:val="none"/>
        </w:rPr>
        <w:t>月</w:t>
      </w:r>
      <w:r>
        <w:rPr>
          <w:rFonts w:hint="eastAsia" w:eastAsia="仿宋_GB2312"/>
          <w:color w:val="auto"/>
          <w:sz w:val="32"/>
          <w:szCs w:val="32"/>
          <w:highlight w:val="none"/>
          <w:lang w:eastAsia="zh-CN"/>
        </w:rPr>
        <w:t>，奇台县妇幼保健院重点</w:t>
      </w:r>
      <w:r>
        <w:rPr>
          <w:rFonts w:hint="eastAsia" w:eastAsia="仿宋_GB2312"/>
          <w:color w:val="auto"/>
          <w:sz w:val="32"/>
          <w:szCs w:val="32"/>
          <w:highlight w:val="none"/>
        </w:rPr>
        <w:t>改造</w:t>
      </w:r>
      <w:r>
        <w:rPr>
          <w:rFonts w:hint="eastAsia" w:eastAsia="仿宋_GB2312"/>
          <w:color w:val="auto"/>
          <w:sz w:val="32"/>
          <w:szCs w:val="32"/>
          <w:highlight w:val="none"/>
          <w:lang w:eastAsia="zh-CN"/>
        </w:rPr>
        <w:t>了</w:t>
      </w:r>
      <w:r>
        <w:rPr>
          <w:rFonts w:hint="eastAsia" w:eastAsia="仿宋_GB2312"/>
          <w:color w:val="auto"/>
          <w:sz w:val="32"/>
          <w:szCs w:val="32"/>
          <w:highlight w:val="none"/>
        </w:rPr>
        <w:t>黄码医院，主要维修改造</w:t>
      </w:r>
      <w:r>
        <w:rPr>
          <w:rFonts w:hint="eastAsia" w:eastAsia="仿宋_GB2312"/>
          <w:color w:val="auto"/>
          <w:sz w:val="32"/>
          <w:szCs w:val="32"/>
          <w:highlight w:val="none"/>
          <w:lang w:eastAsia="zh-CN"/>
        </w:rPr>
        <w:t>了</w:t>
      </w:r>
      <w:r>
        <w:rPr>
          <w:rFonts w:hint="eastAsia" w:eastAsia="仿宋_GB2312"/>
          <w:color w:val="auto"/>
          <w:sz w:val="32"/>
          <w:szCs w:val="32"/>
          <w:highlight w:val="none"/>
        </w:rPr>
        <w:t>铁皮围挡、入口垫钢板</w:t>
      </w:r>
      <w:r>
        <w:rPr>
          <w:rFonts w:hint="eastAsia" w:eastAsia="仿宋_GB2312"/>
          <w:color w:val="auto"/>
          <w:sz w:val="32"/>
          <w:szCs w:val="32"/>
          <w:highlight w:val="none"/>
          <w:lang w:eastAsia="zh-CN"/>
        </w:rPr>
        <w:t>，添加了疫情防控物资</w:t>
      </w:r>
      <w:r>
        <w:rPr>
          <w:rFonts w:hint="eastAsia" w:eastAsia="仿宋_GB2312"/>
          <w:color w:val="auto"/>
          <w:sz w:val="32"/>
          <w:szCs w:val="32"/>
          <w:highlight w:val="none"/>
        </w:rPr>
        <w:t>，</w:t>
      </w:r>
      <w:r>
        <w:rPr>
          <w:rFonts w:hint="eastAsia" w:eastAsia="仿宋_GB2312"/>
          <w:color w:val="auto"/>
          <w:sz w:val="32"/>
          <w:szCs w:val="32"/>
          <w:highlight w:val="none"/>
          <w:lang w:eastAsia="zh-CN"/>
        </w:rPr>
        <w:t>年中追加资金</w:t>
      </w:r>
      <w:r>
        <w:rPr>
          <w:rFonts w:hint="eastAsia" w:eastAsia="仿宋_GB2312"/>
          <w:color w:val="auto"/>
          <w:sz w:val="32"/>
          <w:szCs w:val="32"/>
          <w:highlight w:val="none"/>
          <w:lang w:val="en-US" w:eastAsia="zh-CN"/>
        </w:rPr>
        <w:t>1.36万元用于结算维修改造费用。</w:t>
      </w:r>
      <w:r>
        <w:rPr>
          <w:rFonts w:hint="eastAsia" w:ascii="仿宋_GB2312" w:hAnsi="仿宋_GB2312" w:eastAsia="仿宋_GB2312" w:cs="仿宋_GB2312"/>
          <w:color w:val="auto"/>
          <w:sz w:val="32"/>
          <w:szCs w:val="32"/>
          <w:highlight w:val="none"/>
          <w:lang w:val="en-US" w:eastAsia="zh-CN"/>
        </w:rPr>
        <w:t>维修改造面达到1000平方米，于2023年8月31日顺利完成改造项目，</w:t>
      </w:r>
      <w:r>
        <w:rPr>
          <w:rFonts w:hint="eastAsia" w:eastAsia="仿宋_GB2312"/>
          <w:color w:val="auto"/>
          <w:sz w:val="32"/>
          <w:szCs w:val="32"/>
          <w:highlight w:val="none"/>
        </w:rPr>
        <w:t>通过本项目的实施，切实做好疫情防控工作，有效提升</w:t>
      </w:r>
      <w:r>
        <w:rPr>
          <w:rFonts w:hint="eastAsia" w:eastAsia="仿宋_GB2312"/>
          <w:color w:val="auto"/>
          <w:sz w:val="32"/>
          <w:szCs w:val="32"/>
          <w:highlight w:val="none"/>
          <w:lang w:eastAsia="zh-CN"/>
        </w:rPr>
        <w:t>了</w:t>
      </w:r>
      <w:r>
        <w:rPr>
          <w:rFonts w:hint="eastAsia" w:eastAsia="仿宋_GB2312"/>
          <w:color w:val="auto"/>
          <w:sz w:val="32"/>
          <w:szCs w:val="32"/>
          <w:highlight w:val="none"/>
        </w:rPr>
        <w:t>疫情防控能力，降低社会疫情影响，门诊患者满意度达到90%以上。</w:t>
      </w:r>
    </w:p>
    <w:p w14:paraId="419773D5">
      <w:pPr>
        <w:spacing w:line="560" w:lineRule="exact"/>
        <w:ind w:firstLine="640" w:firstLineChars="200"/>
        <w:rPr>
          <w:rFonts w:eastAsia="黑体"/>
          <w:color w:val="auto"/>
          <w:sz w:val="32"/>
          <w:szCs w:val="32"/>
          <w:highlight w:val="none"/>
        </w:rPr>
      </w:pPr>
      <w:r>
        <w:rPr>
          <w:rFonts w:eastAsia="黑体"/>
          <w:color w:val="auto"/>
          <w:sz w:val="32"/>
          <w:szCs w:val="32"/>
          <w:highlight w:val="none"/>
        </w:rPr>
        <w:t>二、绩效评价工作开展情况</w:t>
      </w:r>
    </w:p>
    <w:p w14:paraId="2DDDC8E2">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（一）绩效评价目的、对象和范围</w:t>
      </w:r>
    </w:p>
    <w:p w14:paraId="010E9AD8">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1、绩效评价的目的</w:t>
      </w:r>
    </w:p>
    <w:p w14:paraId="25C411CD">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EC29D54">
      <w:pPr>
        <w:numPr>
          <w:ilvl w:val="0"/>
          <w:numId w:val="2"/>
        </w:numPr>
        <w:spacing w:line="560" w:lineRule="exact"/>
        <w:ind w:left="-10" w:leftChars="0" w:firstLine="640" w:firstLineChars="0"/>
        <w:rPr>
          <w:rFonts w:eastAsia="仿宋_GB2312"/>
          <w:color w:val="auto"/>
          <w:sz w:val="32"/>
          <w:szCs w:val="32"/>
          <w:highlight w:val="none"/>
        </w:rPr>
      </w:pPr>
      <w:r>
        <w:rPr>
          <w:rFonts w:eastAsia="仿宋_GB2312"/>
          <w:color w:val="auto"/>
          <w:sz w:val="32"/>
          <w:szCs w:val="32"/>
          <w:highlight w:val="none"/>
        </w:rPr>
        <w:t>项目在实施前向项目负责人提供财政支出绩效方面的资金管理信息，促进项目支出严格按照资金管理规定进行。</w:t>
      </w:r>
    </w:p>
    <w:p w14:paraId="2C9ADC99">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（2）项目绩效管</w:t>
      </w:r>
      <w:r>
        <w:rPr>
          <w:rFonts w:hint="eastAsia" w:eastAsia="仿宋_GB2312"/>
          <w:color w:val="auto"/>
          <w:sz w:val="32"/>
          <w:szCs w:val="32"/>
          <w:highlight w:val="none"/>
          <w:lang w:eastAsia="zh-CN"/>
        </w:rPr>
        <w:t>理为</w:t>
      </w:r>
      <w:r>
        <w:rPr>
          <w:rFonts w:eastAsia="仿宋_GB2312"/>
          <w:color w:val="auto"/>
          <w:sz w:val="32"/>
          <w:szCs w:val="32"/>
          <w:highlight w:val="none"/>
        </w:rPr>
        <w:t>财政支出运行提供及时、有效的信息。</w:t>
      </w:r>
    </w:p>
    <w:p w14:paraId="644F4F4B">
      <w:pPr>
        <w:pStyle w:val="19"/>
        <w:spacing w:line="560" w:lineRule="exact"/>
        <w:ind w:firstLine="640" w:firstLineChars="200"/>
        <w:rPr>
          <w:rFonts w:eastAsia="方正仿宋_GBK" w:cs="方正仿宋_GBK"/>
          <w:color w:val="auto"/>
          <w:sz w:val="32"/>
          <w:szCs w:val="32"/>
          <w:highlight w:val="none"/>
        </w:rPr>
      </w:pPr>
      <w:r>
        <w:rPr>
          <w:rFonts w:eastAsia="仿宋_GB2312"/>
          <w:color w:val="auto"/>
          <w:sz w:val="32"/>
          <w:szCs w:val="32"/>
          <w:highlight w:val="none"/>
        </w:rPr>
        <w:t>综合来看，通过开展有效的财政支出绩效评价管理，</w:t>
      </w:r>
      <w:r>
        <w:rPr>
          <w:rFonts w:hint="eastAsia" w:eastAsia="仿宋_GB2312"/>
          <w:color w:val="auto"/>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607DAC3">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2、绩效评价的对象</w:t>
      </w:r>
    </w:p>
    <w:p w14:paraId="0F0D78ED">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中央疫情防控财力补助资金--防疫物资项目所包含的全部项目内容。</w:t>
      </w:r>
    </w:p>
    <w:p w14:paraId="2CEBA038">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3、绩效评价的范围</w:t>
      </w:r>
    </w:p>
    <w:p w14:paraId="2B486938">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从项目决策（包括绩效目标、决策过程）、项目管理（包括项目资金、项目实施）、项目产出（包括项目产出数量、产出质量、产出时效和产出成本）项目效益四个维度对中央疫情防控财力补助资金--防疫物资进行评价，评价核心为专项资金的支出完成情况和效果。</w:t>
      </w:r>
    </w:p>
    <w:p w14:paraId="4913CF36">
      <w:pPr>
        <w:spacing w:line="560" w:lineRule="exact"/>
        <w:ind w:firstLine="643" w:firstLineChars="200"/>
        <w:rPr>
          <w:color w:val="auto"/>
          <w:highlight w:val="none"/>
        </w:rPr>
      </w:pPr>
      <w:r>
        <w:rPr>
          <w:rFonts w:eastAsia="楷体_GB2312"/>
          <w:b/>
          <w:bCs/>
          <w:color w:val="auto"/>
          <w:sz w:val="32"/>
          <w:szCs w:val="32"/>
          <w:highlight w:val="none"/>
        </w:rPr>
        <w:t>（二）绩效评价原则、评价指标体系（详情见表1）、评价方法、评价标准。</w:t>
      </w:r>
    </w:p>
    <w:p w14:paraId="769FD7EC">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1、绩效评价原则</w:t>
      </w:r>
    </w:p>
    <w:p w14:paraId="4F6366BB">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本次项目绩效评价遵循以下基本原则：</w:t>
      </w:r>
    </w:p>
    <w:p w14:paraId="7F075723">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（1）科学公正。绩效评价应当运用科学合理的方法，按照规范的程序，对项目绩效进行客观、公正</w:t>
      </w:r>
      <w:r>
        <w:rPr>
          <w:rFonts w:hint="eastAsia" w:ascii="Times New Roman" w:hAnsi="Times New Roman" w:eastAsia="仿宋_GB2312"/>
          <w:b w:val="0"/>
          <w:bCs w:val="0"/>
          <w:color w:val="auto"/>
          <w:highlight w:val="none"/>
          <w:lang w:eastAsia="zh-CN"/>
        </w:rPr>
        <w:t>地</w:t>
      </w:r>
      <w:r>
        <w:rPr>
          <w:rFonts w:ascii="Times New Roman" w:hAnsi="Times New Roman" w:eastAsia="仿宋_GB2312"/>
          <w:b w:val="0"/>
          <w:bCs w:val="0"/>
          <w:color w:val="auto"/>
          <w:highlight w:val="none"/>
        </w:rPr>
        <w:t>反映。</w:t>
      </w:r>
    </w:p>
    <w:p w14:paraId="2E2A952B">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14:paraId="12A3C563">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（3）激励约束。绩效评价结果应与预算安排、政策调整、改进管理实质性挂钩，体现奖优罚劣和激励相容导向，有效要安排、低效要压减、无效要问责。</w:t>
      </w:r>
    </w:p>
    <w:p w14:paraId="4E31C783">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（4）公开透明。绩效评价结果应依法依规公开，并自觉接受社会监督。</w:t>
      </w:r>
    </w:p>
    <w:p w14:paraId="183E5459">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2、评价指标体系</w:t>
      </w:r>
    </w:p>
    <w:p w14:paraId="4F64E824">
      <w:pPr>
        <w:spacing w:line="560" w:lineRule="exact"/>
        <w:ind w:firstLine="708" w:firstLineChars="200"/>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14:paraId="19D22DDD">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（1）确定评价指标</w:t>
      </w:r>
    </w:p>
    <w:p w14:paraId="74DC2892">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7DB76E1E">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（2）确定权重</w:t>
      </w:r>
    </w:p>
    <w:p w14:paraId="07D7E87B">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08ED4CD1">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（3）确定指标标准值</w:t>
      </w:r>
    </w:p>
    <w:p w14:paraId="098807F3">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14:paraId="2B75C25D">
      <w:pPr>
        <w:pStyle w:val="2"/>
        <w:spacing w:before="0" w:after="0" w:line="560" w:lineRule="exact"/>
        <w:ind w:firstLine="708" w:firstLineChars="200"/>
        <w:jc w:val="both"/>
        <w:rPr>
          <w:rFonts w:ascii="Times New Roman" w:hAnsi="Times New Roman" w:eastAsia="仿宋_GB2312"/>
          <w:b w:val="0"/>
          <w:bCs w:val="0"/>
          <w:color w:val="auto"/>
          <w:spacing w:val="17"/>
          <w:kern w:val="2"/>
          <w:highlight w:val="none"/>
        </w:rPr>
      </w:pPr>
      <w:r>
        <w:rPr>
          <w:rFonts w:ascii="Times New Roman" w:hAnsi="Times New Roman" w:eastAsia="仿宋_GB2312"/>
          <w:b w:val="0"/>
          <w:bCs w:val="0"/>
          <w:color w:val="auto"/>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40EF73C">
      <w:pPr>
        <w:pStyle w:val="2"/>
        <w:widowControl w:val="0"/>
        <w:spacing w:before="0" w:after="0" w:line="560" w:lineRule="exact"/>
        <w:ind w:firstLine="708" w:firstLineChars="200"/>
        <w:jc w:val="both"/>
        <w:outlineLvl w:val="9"/>
        <w:rPr>
          <w:rFonts w:ascii="Times New Roman" w:hAnsi="Times New Roman" w:eastAsia="仿宋_GB2312"/>
          <w:b w:val="0"/>
          <w:bCs w:val="0"/>
          <w:color w:val="auto"/>
          <w:spacing w:val="17"/>
          <w:highlight w:val="none"/>
        </w:rPr>
      </w:pPr>
      <w:r>
        <w:rPr>
          <w:rFonts w:ascii="Times New Roman" w:hAnsi="Times New Roman" w:eastAsia="仿宋_GB2312"/>
          <w:b w:val="0"/>
          <w:bCs w:val="0"/>
          <w:color w:val="auto"/>
          <w:spacing w:val="17"/>
          <w:highlight w:val="none"/>
        </w:rPr>
        <w:t>具体评价指标体系详情见附件1</w:t>
      </w:r>
    </w:p>
    <w:p w14:paraId="53C6F078">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3、绩效评价方法</w:t>
      </w:r>
    </w:p>
    <w:p w14:paraId="6ADB8F17">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7A71315A">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382894ED">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（1）比较法</w:t>
      </w:r>
    </w:p>
    <w:p w14:paraId="1CA20742">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通过对绩效目标与实施效果、历史与当期情况，综合分析绩效目标实现程度。对</w:t>
      </w:r>
      <w:r>
        <w:rPr>
          <w:rFonts w:eastAsia="仿宋_GB2312"/>
          <w:color w:val="auto"/>
          <w:sz w:val="32"/>
          <w:szCs w:val="32"/>
          <w:highlight w:val="none"/>
        </w:rPr>
        <w:t>项目</w:t>
      </w:r>
      <w:r>
        <w:rPr>
          <w:rFonts w:eastAsia="仿宋_GB2312"/>
          <w:color w:val="auto"/>
          <w:spacing w:val="17"/>
          <w:sz w:val="32"/>
          <w:szCs w:val="32"/>
          <w:highlight w:val="none"/>
        </w:rPr>
        <w:t>最终验收情况与年度绩效目标对比、预算资金执行情况等相关因素进行比较。</w:t>
      </w:r>
    </w:p>
    <w:p w14:paraId="7B9D0975">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（2）因素分析法</w:t>
      </w:r>
    </w:p>
    <w:p w14:paraId="15139BB0">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通过综合分析影响绩效目标实现、实施效果的内外因素，评价绩效目标实现程度。通过对</w:t>
      </w:r>
      <w:r>
        <w:rPr>
          <w:rFonts w:eastAsia="仿宋_GB2312"/>
          <w:color w:val="auto"/>
          <w:sz w:val="32"/>
          <w:szCs w:val="32"/>
          <w:highlight w:val="none"/>
        </w:rPr>
        <w:t>项目</w:t>
      </w:r>
      <w:r>
        <w:rPr>
          <w:rFonts w:eastAsia="仿宋_GB2312"/>
          <w:color w:val="auto"/>
          <w:spacing w:val="17"/>
          <w:sz w:val="32"/>
          <w:szCs w:val="32"/>
          <w:highlight w:val="none"/>
        </w:rPr>
        <w:t>的开展情况、项目产出数量、成本控制、资金拨付文件及自评报告等相关资料的收集和审核，综合分析各因素对绩效目标实现的影响。</w:t>
      </w:r>
    </w:p>
    <w:p w14:paraId="2ED99F7F">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4、评价标准</w:t>
      </w:r>
    </w:p>
    <w:p w14:paraId="51F42A38">
      <w:pPr>
        <w:spacing w:line="560" w:lineRule="exact"/>
        <w:ind w:firstLine="708" w:firstLineChars="200"/>
        <w:rPr>
          <w:rFonts w:eastAsia="仿宋_GB2312"/>
          <w:color w:val="auto"/>
          <w:spacing w:val="17"/>
          <w:sz w:val="32"/>
          <w:szCs w:val="32"/>
          <w:highlight w:val="none"/>
        </w:rPr>
      </w:pPr>
      <w:r>
        <w:rPr>
          <w:rFonts w:hint="eastAsia" w:eastAsia="仿宋_GB2312"/>
          <w:color w:val="auto"/>
          <w:spacing w:val="17"/>
          <w:sz w:val="32"/>
          <w:szCs w:val="32"/>
          <w:highlight w:val="none"/>
        </w:rPr>
        <w:t>绩效评价标准通常包括计划标准、行业标准、历史标准等，用于对绩效指标完成情况进行比较、分析、评价。本次评价主要采用了</w:t>
      </w:r>
      <w:r>
        <w:rPr>
          <w:rFonts w:hint="eastAsia" w:eastAsia="仿宋_GB2312"/>
          <w:color w:val="auto"/>
          <w:spacing w:val="17"/>
          <w:sz w:val="32"/>
          <w:szCs w:val="32"/>
          <w:highlight w:val="none"/>
          <w:lang w:val="en-US" w:eastAsia="zh-CN"/>
        </w:rPr>
        <w:t>计划</w:t>
      </w:r>
      <w:r>
        <w:rPr>
          <w:rFonts w:hint="eastAsia" w:eastAsia="仿宋_GB2312"/>
          <w:color w:val="auto"/>
          <w:spacing w:val="17"/>
          <w:sz w:val="32"/>
          <w:szCs w:val="32"/>
          <w:highlight w:val="none"/>
        </w:rPr>
        <w:t>标准</w:t>
      </w:r>
      <w:r>
        <w:rPr>
          <w:rFonts w:hint="eastAsia" w:eastAsia="仿宋_GB2312"/>
          <w:color w:val="auto"/>
          <w:spacing w:val="17"/>
          <w:sz w:val="32"/>
          <w:szCs w:val="32"/>
          <w:highlight w:val="none"/>
          <w:lang w:eastAsia="zh-CN"/>
        </w:rPr>
        <w:t>、历史标准</w:t>
      </w:r>
      <w:r>
        <w:rPr>
          <w:rFonts w:hint="eastAsia" w:eastAsia="仿宋_GB2312"/>
          <w:color w:val="auto"/>
          <w:spacing w:val="17"/>
          <w:sz w:val="32"/>
          <w:szCs w:val="32"/>
          <w:highlight w:val="none"/>
        </w:rPr>
        <w:t>。</w:t>
      </w:r>
    </w:p>
    <w:p w14:paraId="68628D0A">
      <w:pPr>
        <w:spacing w:line="560" w:lineRule="exact"/>
        <w:ind w:firstLine="708" w:firstLineChars="200"/>
        <w:rPr>
          <w:rFonts w:eastAsia="仿宋_GB2312"/>
          <w:color w:val="auto"/>
          <w:spacing w:val="17"/>
          <w:sz w:val="32"/>
          <w:szCs w:val="32"/>
          <w:highlight w:val="none"/>
        </w:rPr>
      </w:pPr>
      <w:bookmarkStart w:id="0" w:name="_Toc31464"/>
      <w:bookmarkStart w:id="1" w:name="_Toc17882"/>
      <w:r>
        <w:rPr>
          <w:rFonts w:hint="eastAsia" w:eastAsia="仿宋_GB2312"/>
          <w:color w:val="auto"/>
          <w:spacing w:val="17"/>
          <w:sz w:val="32"/>
          <w:szCs w:val="32"/>
          <w:highlight w:val="none"/>
        </w:rPr>
        <w:t>计划标准：指以预先制定的目标、计划、预算、定额等作为评价标准。</w:t>
      </w:r>
      <w:bookmarkEnd w:id="0"/>
      <w:bookmarkEnd w:id="1"/>
    </w:p>
    <w:p w14:paraId="5C71B8CE">
      <w:pPr>
        <w:spacing w:line="560" w:lineRule="exact"/>
        <w:ind w:firstLine="708" w:firstLineChars="200"/>
        <w:rPr>
          <w:rFonts w:eastAsia="仿宋_GB2312"/>
          <w:color w:val="auto"/>
          <w:spacing w:val="17"/>
          <w:sz w:val="32"/>
          <w:szCs w:val="32"/>
          <w:highlight w:val="none"/>
        </w:rPr>
      </w:pPr>
      <w:bookmarkStart w:id="2" w:name="_Toc2318"/>
      <w:bookmarkStart w:id="3" w:name="_Toc5633"/>
      <w:r>
        <w:rPr>
          <w:rFonts w:hint="eastAsia" w:eastAsia="仿宋_GB2312"/>
          <w:color w:val="auto"/>
          <w:spacing w:val="17"/>
          <w:sz w:val="32"/>
          <w:szCs w:val="32"/>
          <w:highlight w:val="none"/>
        </w:rPr>
        <w:t>行业标准：指参照国家公布的行业指标数据制定的评价标准。</w:t>
      </w:r>
      <w:bookmarkEnd w:id="2"/>
      <w:bookmarkEnd w:id="3"/>
    </w:p>
    <w:p w14:paraId="4F189EFC">
      <w:pPr>
        <w:spacing w:line="560" w:lineRule="exact"/>
        <w:ind w:firstLine="708" w:firstLineChars="200"/>
        <w:rPr>
          <w:rFonts w:eastAsia="方正仿宋_GBK" w:cs="方正仿宋_GBK"/>
          <w:color w:val="auto"/>
          <w:sz w:val="32"/>
          <w:szCs w:val="32"/>
          <w:highlight w:val="none"/>
        </w:rPr>
      </w:pPr>
      <w:bookmarkStart w:id="4" w:name="_Toc430"/>
      <w:bookmarkStart w:id="5" w:name="_Toc16028"/>
      <w:r>
        <w:rPr>
          <w:rFonts w:hint="eastAsia" w:eastAsia="仿宋_GB2312"/>
          <w:color w:val="auto"/>
          <w:spacing w:val="17"/>
          <w:sz w:val="32"/>
          <w:szCs w:val="32"/>
          <w:highlight w:val="none"/>
        </w:rPr>
        <w:t>历史标准：指参照历史数据制定的评价标准，为体现绩效改进的原则，在可实现的条件下应当确定相对较高的评价标准。</w:t>
      </w:r>
      <w:bookmarkEnd w:id="4"/>
      <w:bookmarkEnd w:id="5"/>
    </w:p>
    <w:p w14:paraId="7DD9AC6B">
      <w:pPr>
        <w:pStyle w:val="2"/>
        <w:numPr>
          <w:ilvl w:val="0"/>
          <w:numId w:val="3"/>
        </w:numPr>
        <w:spacing w:before="0" w:after="0" w:line="560" w:lineRule="exact"/>
        <w:ind w:firstLine="711" w:firstLineChars="200"/>
        <w:jc w:val="both"/>
        <w:rPr>
          <w:rFonts w:ascii="楷体" w:hAnsi="楷体" w:eastAsia="楷体" w:cs="楷体"/>
          <w:color w:val="auto"/>
          <w:spacing w:val="17"/>
          <w:highlight w:val="none"/>
        </w:rPr>
      </w:pPr>
      <w:r>
        <w:rPr>
          <w:rFonts w:hint="eastAsia" w:ascii="楷体" w:hAnsi="楷体" w:eastAsia="楷体" w:cs="楷体"/>
          <w:color w:val="auto"/>
          <w:spacing w:val="17"/>
          <w:highlight w:val="none"/>
        </w:rPr>
        <w:t>绩效评价工作过程</w:t>
      </w:r>
    </w:p>
    <w:p w14:paraId="2E1A00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1.</w:t>
      </w:r>
      <w:r>
        <w:rPr>
          <w:rFonts w:hint="eastAsia" w:eastAsia="仿宋_GB2312"/>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14:paraId="09EAFB0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2.</w:t>
      </w:r>
      <w:r>
        <w:rPr>
          <w:rFonts w:hint="eastAsia" w:eastAsia="仿宋_GB2312"/>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14:paraId="25C99D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highlight w:val="none"/>
        </w:rPr>
      </w:pPr>
      <w:r>
        <w:rPr>
          <w:rFonts w:hint="eastAsia" w:eastAsia="仿宋_GB2312"/>
          <w:bCs/>
          <w:color w:val="auto"/>
          <w:sz w:val="32"/>
          <w:szCs w:val="32"/>
          <w:highlight w:val="none"/>
          <w:lang w:val="en-US" w:eastAsia="zh-CN"/>
        </w:rPr>
        <w:t>3.</w:t>
      </w:r>
      <w:r>
        <w:rPr>
          <w:rFonts w:hint="eastAsia" w:eastAsia="仿宋_GB2312"/>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14:paraId="662F9C3C">
      <w:pPr>
        <w:numPr>
          <w:ilvl w:val="0"/>
          <w:numId w:val="4"/>
        </w:numPr>
        <w:spacing w:line="560" w:lineRule="exact"/>
        <w:ind w:firstLine="640" w:firstLineChars="200"/>
        <w:rPr>
          <w:rFonts w:eastAsia="黑体"/>
          <w:color w:val="auto"/>
          <w:sz w:val="32"/>
          <w:szCs w:val="32"/>
          <w:highlight w:val="none"/>
        </w:rPr>
      </w:pPr>
      <w:r>
        <w:rPr>
          <w:rFonts w:eastAsia="黑体"/>
          <w:color w:val="auto"/>
          <w:sz w:val="32"/>
          <w:szCs w:val="32"/>
          <w:highlight w:val="none"/>
        </w:rPr>
        <w:t>综合评价情况及评价结论（附相关评分表）</w:t>
      </w:r>
    </w:p>
    <w:p w14:paraId="592DED87">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auto"/>
          <w:highlight w:val="none"/>
          <w:lang w:val="en-US" w:eastAsia="zh-CN"/>
        </w:rPr>
      </w:pP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一</w:t>
      </w: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评价情况</w:t>
      </w:r>
    </w:p>
    <w:p w14:paraId="20D0BC1F">
      <w:pPr>
        <w:shd w:val="clear"/>
        <w:spacing w:line="600" w:lineRule="exact"/>
        <w:ind w:firstLine="640" w:firstLineChars="200"/>
        <w:outlineLvl w:val="0"/>
        <w:rPr>
          <w:rFonts w:hint="default" w:ascii="Times New Roman" w:hAnsi="Times New Roman" w:eastAsia="仿宋_GB2312" w:cs="Times New Roman"/>
          <w:b w:val="0"/>
          <w:bCs w:val="0"/>
          <w:color w:val="auto"/>
          <w:kern w:val="28"/>
          <w:sz w:val="32"/>
          <w:szCs w:val="32"/>
          <w:highlight w:val="none"/>
          <w:lang w:val="en-US" w:eastAsia="zh-CN" w:bidi="ar-SA"/>
        </w:rPr>
      </w:pPr>
      <w:r>
        <w:rPr>
          <w:rFonts w:hint="eastAsia" w:ascii="Times New Roman" w:hAnsi="Times New Roman" w:eastAsia="仿宋_GB2312" w:cs="Times New Roman"/>
          <w:b w:val="0"/>
          <w:bCs w:val="0"/>
          <w:color w:val="auto"/>
          <w:kern w:val="28"/>
          <w:sz w:val="32"/>
          <w:szCs w:val="32"/>
          <w:highlight w:val="none"/>
          <w:lang w:val="en-US" w:eastAsia="zh-CN" w:bidi="ar-SA"/>
        </w:rPr>
        <w:t>项目总体组织规范，在项目实施过</w:t>
      </w:r>
      <w:r>
        <w:rPr>
          <w:rFonts w:hint="eastAsia" w:eastAsia="仿宋_GB2312" w:cs="Times New Roman"/>
          <w:b w:val="0"/>
          <w:bCs w:val="0"/>
          <w:color w:val="auto"/>
          <w:kern w:val="28"/>
          <w:sz w:val="32"/>
          <w:szCs w:val="32"/>
          <w:highlight w:val="none"/>
          <w:lang w:val="en-US" w:eastAsia="zh-CN" w:bidi="ar-SA"/>
        </w:rPr>
        <w:t>程中</w:t>
      </w:r>
      <w:r>
        <w:rPr>
          <w:rFonts w:hint="eastAsia" w:ascii="Times New Roman" w:hAnsi="Times New Roman" w:eastAsia="仿宋_GB2312" w:cs="Times New Roman"/>
          <w:b w:val="0"/>
          <w:bCs w:val="0"/>
          <w:color w:val="auto"/>
          <w:kern w:val="28"/>
          <w:sz w:val="32"/>
          <w:szCs w:val="32"/>
          <w:highlight w:val="none"/>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color w:val="auto"/>
          <w:kern w:val="28"/>
          <w:sz w:val="32"/>
          <w:szCs w:val="32"/>
          <w:highlight w:val="none"/>
          <w:lang w:val="en-US" w:eastAsia="zh-CN" w:bidi="ar-SA"/>
        </w:rPr>
        <w:t>地</w:t>
      </w:r>
      <w:r>
        <w:rPr>
          <w:rFonts w:hint="eastAsia" w:ascii="Times New Roman" w:hAnsi="Times New Roman" w:eastAsia="仿宋_GB2312" w:cs="Times New Roman"/>
          <w:b w:val="0"/>
          <w:bCs w:val="0"/>
          <w:color w:val="auto"/>
          <w:kern w:val="28"/>
          <w:sz w:val="32"/>
          <w:szCs w:val="32"/>
          <w:highlight w:val="none"/>
          <w:lang w:val="en-US" w:eastAsia="zh-CN" w:bidi="ar-SA"/>
        </w:rPr>
        <w:t>发挥，保障项目如期按要求完成。规范了项目档案资料的整理。项目的实施达到项目预期效果。</w:t>
      </w:r>
    </w:p>
    <w:p w14:paraId="0093DAC3">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auto"/>
          <w:highlight w:val="none"/>
          <w:lang w:val="en-US" w:eastAsia="zh-CN"/>
        </w:rPr>
      </w:pP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二</w:t>
      </w: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评价结论</w:t>
      </w:r>
    </w:p>
    <w:p w14:paraId="787C7FFA">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auto"/>
          <w:highlight w:val="none"/>
          <w:lang w:eastAsia="zh-CN"/>
        </w:rPr>
      </w:pPr>
      <w:r>
        <w:rPr>
          <w:rFonts w:hint="eastAsia" w:ascii="Times New Roman" w:hAnsi="Times New Roman" w:eastAsia="仿宋_GB2312"/>
          <w:b w:val="0"/>
          <w:bCs w:val="0"/>
          <w:color w:val="auto"/>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 xml:space="preserve">分，属于“优”。其中，项目决策类指标权重为20分，得分为 </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ascii="Times New Roman" w:hAnsi="Times New Roman" w:eastAsia="仿宋_GB2312"/>
          <w:b w:val="0"/>
          <w:bCs w:val="0"/>
          <w:color w:val="auto"/>
          <w:highlight w:val="none"/>
          <w:lang w:val="en-US" w:eastAsia="zh-CN"/>
        </w:rPr>
        <w:t>40</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%。项目效益类指标权重为20分，得分为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%。具体打分情况详见：附件1综合评分表</w:t>
      </w:r>
      <w:r>
        <w:rPr>
          <w:rFonts w:hint="eastAsia" w:ascii="Times New Roman" w:hAnsi="Times New Roman" w:eastAsia="仿宋_GB2312"/>
          <w:b w:val="0"/>
          <w:bCs w:val="0"/>
          <w:color w:val="auto"/>
          <w:highlight w:val="none"/>
          <w:lang w:eastAsia="zh-CN"/>
        </w:rPr>
        <w:t>。</w:t>
      </w:r>
    </w:p>
    <w:p w14:paraId="24103699">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auto"/>
          <w:sz w:val="30"/>
          <w:szCs w:val="30"/>
          <w:highlight w:val="none"/>
        </w:rPr>
      </w:pPr>
      <w:r>
        <w:rPr>
          <w:rFonts w:ascii="Times New Roman" w:hAnsi="Times New Roman" w:eastAsia="仿宋_GB2312"/>
          <w:color w:val="auto"/>
          <w:sz w:val="30"/>
          <w:szCs w:val="30"/>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0D868FFB">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25F506E">
            <w:pPr>
              <w:jc w:val="center"/>
              <w:rPr>
                <w:b/>
                <w:bCs/>
                <w:color w:val="auto"/>
                <w:sz w:val="22"/>
                <w:highlight w:val="none"/>
              </w:rPr>
            </w:pPr>
            <w:r>
              <w:rPr>
                <w:rFonts w:hint="eastAsia"/>
                <w:b/>
                <w:bCs/>
                <w:color w:val="auto"/>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78E0113">
            <w:pPr>
              <w:jc w:val="center"/>
              <w:rPr>
                <w:b/>
                <w:bCs/>
                <w:color w:val="auto"/>
                <w:sz w:val="22"/>
                <w:highlight w:val="none"/>
              </w:rPr>
            </w:pPr>
            <w:r>
              <w:rPr>
                <w:rFonts w:hint="eastAsia"/>
                <w:b/>
                <w:bCs/>
                <w:color w:val="auto"/>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94AB920">
            <w:pPr>
              <w:jc w:val="center"/>
              <w:rPr>
                <w:b/>
                <w:bCs/>
                <w:color w:val="auto"/>
                <w:sz w:val="22"/>
                <w:highlight w:val="none"/>
              </w:rPr>
            </w:pPr>
            <w:r>
              <w:rPr>
                <w:rFonts w:hint="eastAsia"/>
                <w:b/>
                <w:bCs/>
                <w:color w:val="auto"/>
                <w:sz w:val="22"/>
                <w:highlight w:val="none"/>
              </w:rPr>
              <w:t>得分</w:t>
            </w:r>
          </w:p>
        </w:tc>
      </w:tr>
      <w:tr w14:paraId="0BA076B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B76896B">
            <w:pPr>
              <w:jc w:val="center"/>
              <w:rPr>
                <w:color w:val="auto"/>
                <w:sz w:val="22"/>
                <w:highlight w:val="none"/>
              </w:rPr>
            </w:pPr>
            <w:r>
              <w:rPr>
                <w:rFonts w:hint="eastAsia"/>
                <w:color w:val="auto"/>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686FC8B7">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80708AD">
            <w:pPr>
              <w:jc w:val="center"/>
              <w:rPr>
                <w:rFonts w:hint="default" w:eastAsia="宋体"/>
                <w:color w:val="auto"/>
                <w:sz w:val="22"/>
                <w:highlight w:val="none"/>
                <w:lang w:val="en-US" w:eastAsia="zh-CN"/>
              </w:rPr>
            </w:pPr>
            <w:r>
              <w:rPr>
                <w:rFonts w:hint="eastAsia"/>
                <w:color w:val="auto"/>
                <w:sz w:val="22"/>
                <w:highlight w:val="none"/>
                <w:lang w:val="en-US" w:eastAsia="zh-CN"/>
              </w:rPr>
              <w:t>20</w:t>
            </w:r>
          </w:p>
        </w:tc>
      </w:tr>
      <w:tr w14:paraId="4E06A1F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0CDB332">
            <w:pPr>
              <w:jc w:val="center"/>
              <w:rPr>
                <w:color w:val="auto"/>
                <w:sz w:val="22"/>
                <w:highlight w:val="none"/>
              </w:rPr>
            </w:pPr>
            <w:r>
              <w:rPr>
                <w:rFonts w:hint="eastAsia"/>
                <w:color w:val="auto"/>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14209DB5">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CFA577F">
            <w:pPr>
              <w:jc w:val="center"/>
              <w:rPr>
                <w:rFonts w:hint="default" w:eastAsia="宋体"/>
                <w:color w:val="auto"/>
                <w:sz w:val="22"/>
                <w:highlight w:val="none"/>
                <w:lang w:val="en-US" w:eastAsia="zh-CN"/>
              </w:rPr>
            </w:pPr>
            <w:r>
              <w:rPr>
                <w:rFonts w:hint="eastAsia"/>
                <w:color w:val="auto"/>
                <w:sz w:val="22"/>
                <w:highlight w:val="none"/>
                <w:lang w:val="en-US" w:eastAsia="zh-CN"/>
              </w:rPr>
              <w:t>20</w:t>
            </w:r>
          </w:p>
        </w:tc>
      </w:tr>
      <w:tr w14:paraId="256AA26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DAC544F">
            <w:pPr>
              <w:jc w:val="center"/>
              <w:rPr>
                <w:color w:val="auto"/>
                <w:sz w:val="22"/>
                <w:highlight w:val="none"/>
              </w:rPr>
            </w:pPr>
            <w:r>
              <w:rPr>
                <w:rFonts w:hint="eastAsia"/>
                <w:color w:val="auto"/>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5C454DA4">
            <w:pPr>
              <w:jc w:val="center"/>
              <w:rPr>
                <w:rFonts w:hint="default" w:eastAsia="宋体"/>
                <w:color w:val="auto"/>
                <w:sz w:val="22"/>
                <w:highlight w:val="none"/>
                <w:lang w:val="en-US" w:eastAsia="zh-CN"/>
              </w:rPr>
            </w:pPr>
            <w:r>
              <w:rPr>
                <w:rFonts w:hint="eastAsia"/>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ADB1915">
            <w:pPr>
              <w:jc w:val="center"/>
              <w:rPr>
                <w:rFonts w:hint="default" w:eastAsia="宋体"/>
                <w:color w:val="auto"/>
                <w:sz w:val="22"/>
                <w:highlight w:val="none"/>
                <w:lang w:val="en-US" w:eastAsia="zh-CN"/>
              </w:rPr>
            </w:pPr>
            <w:r>
              <w:rPr>
                <w:rFonts w:hint="eastAsia"/>
                <w:color w:val="auto"/>
                <w:sz w:val="22"/>
                <w:highlight w:val="none"/>
                <w:lang w:val="en-US" w:eastAsia="zh-CN"/>
              </w:rPr>
              <w:t>40</w:t>
            </w:r>
          </w:p>
        </w:tc>
      </w:tr>
      <w:tr w14:paraId="46F9AAD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A2E6648">
            <w:pPr>
              <w:jc w:val="center"/>
              <w:rPr>
                <w:color w:val="auto"/>
                <w:sz w:val="22"/>
                <w:highlight w:val="none"/>
              </w:rPr>
            </w:pPr>
            <w:r>
              <w:rPr>
                <w:rFonts w:hint="eastAsia"/>
                <w:color w:val="auto"/>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0BBEBC68">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3D61346">
            <w:pPr>
              <w:jc w:val="center"/>
              <w:rPr>
                <w:rFonts w:hint="default" w:eastAsia="宋体"/>
                <w:color w:val="auto"/>
                <w:sz w:val="22"/>
                <w:highlight w:val="none"/>
                <w:lang w:val="en-US" w:eastAsia="zh-CN"/>
              </w:rPr>
            </w:pPr>
            <w:r>
              <w:rPr>
                <w:rFonts w:hint="eastAsia"/>
                <w:color w:val="auto"/>
                <w:sz w:val="22"/>
                <w:highlight w:val="none"/>
                <w:lang w:val="en-US" w:eastAsia="zh-CN"/>
              </w:rPr>
              <w:t>20</w:t>
            </w:r>
          </w:p>
        </w:tc>
      </w:tr>
      <w:tr w14:paraId="6B27953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48F121">
            <w:pPr>
              <w:jc w:val="center"/>
              <w:rPr>
                <w:rFonts w:cs="宋体"/>
                <w:b/>
                <w:bCs/>
                <w:color w:val="auto"/>
                <w:sz w:val="22"/>
                <w:highlight w:val="none"/>
              </w:rPr>
            </w:pPr>
            <w:r>
              <w:rPr>
                <w:rFonts w:hint="eastAsia" w:cs="宋体"/>
                <w:b/>
                <w:bCs/>
                <w:color w:val="auto"/>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496ACC1E">
            <w:pPr>
              <w:jc w:val="center"/>
              <w:rPr>
                <w:rFonts w:hint="default" w:eastAsia="宋体"/>
                <w:b/>
                <w:bCs/>
                <w:color w:val="auto"/>
                <w:sz w:val="22"/>
                <w:highlight w:val="none"/>
                <w:lang w:val="en-US" w:eastAsia="zh-CN"/>
              </w:rPr>
            </w:pPr>
            <w:r>
              <w:rPr>
                <w:rFonts w:hint="eastAsia"/>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77327C7">
            <w:pPr>
              <w:jc w:val="center"/>
              <w:rPr>
                <w:rFonts w:hint="default" w:eastAsia="宋体"/>
                <w:b/>
                <w:bCs/>
                <w:color w:val="auto"/>
                <w:sz w:val="22"/>
                <w:highlight w:val="none"/>
                <w:lang w:val="en-US" w:eastAsia="zh-CN"/>
              </w:rPr>
            </w:pPr>
            <w:r>
              <w:rPr>
                <w:rFonts w:hint="eastAsia"/>
                <w:b/>
                <w:bCs/>
                <w:color w:val="auto"/>
                <w:sz w:val="22"/>
                <w:highlight w:val="none"/>
                <w:lang w:val="en-US" w:eastAsia="zh-CN"/>
              </w:rPr>
              <w:t>100</w:t>
            </w:r>
          </w:p>
        </w:tc>
      </w:tr>
    </w:tbl>
    <w:p w14:paraId="1FC8F84B">
      <w:pPr>
        <w:spacing w:line="560" w:lineRule="exact"/>
        <w:ind w:firstLine="640" w:firstLineChars="200"/>
        <w:rPr>
          <w:rFonts w:eastAsia="黑体"/>
          <w:color w:val="auto"/>
          <w:sz w:val="32"/>
          <w:szCs w:val="32"/>
          <w:highlight w:val="none"/>
        </w:rPr>
      </w:pPr>
      <w:r>
        <w:rPr>
          <w:rFonts w:eastAsia="黑体"/>
          <w:color w:val="auto"/>
          <w:sz w:val="32"/>
          <w:szCs w:val="32"/>
          <w:highlight w:val="none"/>
        </w:rPr>
        <w:t>四、绩效评价指标分析</w:t>
      </w:r>
    </w:p>
    <w:p w14:paraId="1CBD2B73">
      <w:pPr>
        <w:pStyle w:val="2"/>
        <w:spacing w:before="0" w:after="0" w:line="560" w:lineRule="exact"/>
        <w:ind w:firstLine="643" w:firstLineChars="200"/>
        <w:jc w:val="both"/>
        <w:rPr>
          <w:rFonts w:ascii="Times New Roman" w:hAnsi="Times New Roman" w:eastAsia="楷体_GB2312"/>
          <w:color w:val="auto"/>
          <w:highlight w:val="none"/>
        </w:rPr>
      </w:pPr>
      <w:r>
        <w:rPr>
          <w:rFonts w:ascii="Times New Roman" w:hAnsi="Times New Roman" w:eastAsia="楷体_GB2312"/>
          <w:color w:val="auto"/>
          <w:highlight w:val="none"/>
        </w:rPr>
        <w:t>（一）项目决策情况</w:t>
      </w:r>
    </w:p>
    <w:p w14:paraId="38F1A6A0">
      <w:pPr>
        <w:shd w:val="clear"/>
        <w:spacing w:line="600" w:lineRule="exact"/>
        <w:ind w:firstLine="600" w:firstLineChars="200"/>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项目决策类指标包括项目立项、绩效目标和资金投入三方面的内容，由6个三级指标构成，权重分值为20分，实际得分20分，得分率为100%。</w:t>
      </w:r>
    </w:p>
    <w:p w14:paraId="63191BE6">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1.项目立项</w:t>
      </w:r>
    </w:p>
    <w:p w14:paraId="4F9B529E">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w:t>
      </w:r>
    </w:p>
    <w:p w14:paraId="0DCD296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ED94A28">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w:t>
      </w:r>
    </w:p>
    <w:p w14:paraId="52984C98">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项目申请、设立过程符合相关要求，</w:t>
      </w:r>
      <w:r>
        <w:rPr>
          <w:rFonts w:hint="eastAsia" w:ascii="仿宋_GB2312" w:hAnsi="仿宋_GB2312" w:eastAsia="仿宋_GB2312" w:cs="仿宋_GB2312"/>
          <w:color w:val="auto"/>
          <w:sz w:val="32"/>
          <w:szCs w:val="32"/>
          <w:highlight w:val="none"/>
          <w:lang w:eastAsia="zh-Hans"/>
        </w:rPr>
        <w:t>严格按照审批流程准备符合要求的文件、材料；</w:t>
      </w:r>
      <w:r>
        <w:rPr>
          <w:rFonts w:hint="eastAsia" w:ascii="仿宋_GB2312" w:hAnsi="仿宋_GB2312" w:eastAsia="仿宋_GB2312" w:cs="仿宋_GB2312"/>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14:paraId="2DA52464">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2.绩效目标</w:t>
      </w:r>
    </w:p>
    <w:p w14:paraId="0F3DB456">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w:t>
      </w:r>
    </w:p>
    <w:p w14:paraId="465261A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Hans"/>
        </w:rPr>
        <w:t>年初结合实际工作内容</w:t>
      </w:r>
      <w:r>
        <w:rPr>
          <w:rFonts w:hint="eastAsia" w:ascii="仿宋_GB2312" w:hAnsi="仿宋_GB2312" w:eastAsia="仿宋_GB2312" w:cs="仿宋_GB2312"/>
          <w:color w:val="auto"/>
          <w:sz w:val="32"/>
          <w:szCs w:val="32"/>
          <w:highlight w:val="none"/>
          <w:lang w:val="en-US" w:eastAsia="zh-CN"/>
        </w:rPr>
        <w:t>设定绩效目标</w:t>
      </w:r>
      <w:r>
        <w:rPr>
          <w:rFonts w:hint="eastAsia" w:ascii="仿宋_GB2312" w:hAnsi="仿宋_GB2312" w:eastAsia="仿宋_GB2312" w:cs="仿宋_GB2312"/>
          <w:color w:val="auto"/>
          <w:sz w:val="32"/>
          <w:szCs w:val="32"/>
          <w:highlight w:val="none"/>
          <w:lang w:val="en-US" w:eastAsia="zh-Hans"/>
        </w:rPr>
        <w:t>，绩效目标</w:t>
      </w:r>
      <w:r>
        <w:rPr>
          <w:rFonts w:hint="eastAsia" w:ascii="仿宋_GB2312" w:hAnsi="仿宋_GB2312" w:eastAsia="仿宋_GB2312" w:cs="仿宋_GB2312"/>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p>
    <w:p w14:paraId="536C0725">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（2）绩效指标明确性</w:t>
      </w:r>
    </w:p>
    <w:p w14:paraId="2D8445B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1DDC2671">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3.资金投入</w:t>
      </w:r>
    </w:p>
    <w:p w14:paraId="1D2D0A6B">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（1）预算编制科学性</w:t>
      </w:r>
    </w:p>
    <w:p w14:paraId="6AC3A74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预算编制经过科学论证，提供充分的测算依据佐证资料，预算内容与项目内容相匹配。项目投资额与工作任务相匹配。</w:t>
      </w:r>
    </w:p>
    <w:p w14:paraId="186EE869">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（2）资金分配合理性</w:t>
      </w:r>
    </w:p>
    <w:p w14:paraId="6DDAAC2E">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资金分配额度与项目单位实际工作内容相适应，资金分配额度合理，资金分配依据充分。</w:t>
      </w:r>
    </w:p>
    <w:p w14:paraId="3A28ED0F">
      <w:pPr>
        <w:pStyle w:val="2"/>
        <w:numPr>
          <w:ilvl w:val="0"/>
          <w:numId w:val="5"/>
        </w:numPr>
        <w:spacing w:before="0" w:after="0" w:line="560" w:lineRule="exact"/>
        <w:ind w:firstLine="643" w:firstLineChars="200"/>
        <w:jc w:val="both"/>
        <w:rPr>
          <w:rFonts w:ascii="楷体" w:hAnsi="楷体" w:eastAsia="楷体" w:cs="楷体"/>
          <w:color w:val="auto"/>
          <w:highlight w:val="none"/>
        </w:rPr>
      </w:pPr>
      <w:r>
        <w:rPr>
          <w:rFonts w:hint="eastAsia" w:ascii="楷体" w:hAnsi="楷体" w:eastAsia="楷体" w:cs="楷体"/>
          <w:color w:val="auto"/>
          <w:highlight w:val="none"/>
        </w:rPr>
        <w:t>项目过程情况</w:t>
      </w:r>
    </w:p>
    <w:p w14:paraId="13CB74B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项目过程类指标包括资金管理和组织实施两方面的内容，由</w:t>
      </w:r>
      <w:r>
        <w:rPr>
          <w:rFonts w:hint="eastAsia" w:ascii="仿宋_GB2312" w:hAnsi="仿宋_GB2312" w:eastAsia="仿宋_GB2312" w:cs="仿宋_GB2312"/>
          <w:color w:val="auto"/>
          <w:sz w:val="32"/>
          <w:szCs w:val="32"/>
          <w:highlight w:val="none"/>
          <w:lang w:val="en-US" w:eastAsia="zh-CN"/>
        </w:rPr>
        <w:t>5个</w:t>
      </w:r>
      <w:r>
        <w:rPr>
          <w:rFonts w:hint="eastAsia" w:ascii="仿宋_GB2312" w:hAnsi="仿宋_GB2312" w:eastAsia="仿宋_GB2312" w:cs="仿宋_GB2312"/>
          <w:color w:val="auto"/>
          <w:sz w:val="32"/>
          <w:szCs w:val="32"/>
          <w:highlight w:val="none"/>
          <w:lang w:val="en-US" w:eastAsia="zh-CN"/>
        </w:rPr>
        <w:t>三级指标构成，权重分值为20分，实际得分20分，得分率为100%。</w:t>
      </w:r>
    </w:p>
    <w:p w14:paraId="1116C8D9">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12F5E8C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1.资金管理</w:t>
      </w:r>
    </w:p>
    <w:p w14:paraId="0CF04EE8">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w:t>
      </w:r>
    </w:p>
    <w:p w14:paraId="742151E2">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本项目总投资4.39万元，财政资金及时足额到位，到位率100%，预算资金按计划进度执行。</w:t>
      </w:r>
    </w:p>
    <w:p w14:paraId="0E2FD78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w:t>
      </w:r>
    </w:p>
    <w:p w14:paraId="02EF4EB7">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预算编制较为详细，项目资金支出总体能够按照预算执行，预算资金支出4.39万元，预算执行率为100%。</w:t>
      </w:r>
    </w:p>
    <w:p w14:paraId="057E041B">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w:t>
      </w:r>
    </w:p>
    <w:p w14:paraId="29F04963">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8C24137">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2.组织实施</w:t>
      </w:r>
    </w:p>
    <w:p w14:paraId="18DEA4A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w:t>
      </w:r>
    </w:p>
    <w:p w14:paraId="75C60EF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5413325">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w:t>
      </w:r>
    </w:p>
    <w:p w14:paraId="492E80F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14:paraId="2BF0B52F">
      <w:pPr>
        <w:pStyle w:val="12"/>
        <w:numPr>
          <w:ilvl w:val="0"/>
          <w:numId w:val="5"/>
        </w:numPr>
        <w:spacing w:line="560" w:lineRule="exact"/>
        <w:ind w:firstLine="643"/>
        <w:rPr>
          <w:rFonts w:eastAsia="楷体_GB2312"/>
          <w:b/>
          <w:bCs/>
          <w:color w:val="auto"/>
          <w:sz w:val="32"/>
          <w:szCs w:val="32"/>
          <w:highlight w:val="none"/>
        </w:rPr>
      </w:pPr>
      <w:r>
        <w:rPr>
          <w:rFonts w:eastAsia="楷体_GB2312"/>
          <w:b/>
          <w:bCs/>
          <w:color w:val="auto"/>
          <w:sz w:val="32"/>
          <w:szCs w:val="32"/>
          <w:highlight w:val="none"/>
        </w:rPr>
        <w:t>项目产出</w:t>
      </w:r>
      <w:r>
        <w:rPr>
          <w:rFonts w:hint="eastAsia" w:eastAsia="楷体_GB2312"/>
          <w:b/>
          <w:bCs/>
          <w:color w:val="auto"/>
          <w:sz w:val="32"/>
          <w:szCs w:val="32"/>
          <w:highlight w:val="none"/>
          <w:lang w:val="en-US" w:eastAsia="zh-CN"/>
        </w:rPr>
        <w:t>情况</w:t>
      </w:r>
    </w:p>
    <w:p w14:paraId="4E55317C">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项目产出类指标包括产出数量、产出质量、产出时效、产出成本四方面的内容，由</w:t>
      </w:r>
      <w:r>
        <w:rPr>
          <w:rFonts w:hint="eastAsia" w:ascii="仿宋_GB2312" w:hAnsi="仿宋_GB2312" w:eastAsia="仿宋_GB2312" w:cs="仿宋_GB2312"/>
          <w:color w:val="auto"/>
          <w:sz w:val="32"/>
          <w:szCs w:val="32"/>
          <w:highlight w:val="none"/>
          <w:lang w:val="en-US" w:eastAsia="zh-CN"/>
        </w:rPr>
        <w:t>5个三级指标构成，权重分为40分，实际得分40分，得分率为100%。具</w:t>
      </w:r>
      <w:r>
        <w:rPr>
          <w:rFonts w:hint="eastAsia" w:ascii="仿宋_GB2312" w:hAnsi="仿宋_GB2312" w:eastAsia="仿宋_GB2312" w:cs="仿宋_GB2312"/>
          <w:color w:val="auto"/>
          <w:sz w:val="32"/>
          <w:szCs w:val="32"/>
          <w:highlight w:val="none"/>
          <w:lang w:val="en-US" w:eastAsia="zh-CN"/>
        </w:rPr>
        <w:t>体产出指标完成情况如下：</w:t>
      </w:r>
    </w:p>
    <w:p w14:paraId="2E82543F">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1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①</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数量指标：</w:t>
      </w:r>
    </w:p>
    <w:p w14:paraId="7F112C5A">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指标1：</w:t>
      </w:r>
      <w:r>
        <w:rPr>
          <w:rFonts w:hint="eastAsia" w:ascii="仿宋_GB2312" w:hAnsi="仿宋_GB2312" w:eastAsia="仿宋_GB2312" w:cs="仿宋_GB2312"/>
          <w:color w:val="auto"/>
          <w:sz w:val="32"/>
          <w:szCs w:val="32"/>
          <w:highlight w:val="none"/>
          <w:lang w:eastAsia="zh-CN"/>
        </w:rPr>
        <w:t>维修改造面积</w:t>
      </w:r>
      <w:r>
        <w:rPr>
          <w:rFonts w:hint="eastAsia" w:ascii="仿宋_GB2312" w:hAnsi="仿宋_GB2312" w:eastAsia="仿宋_GB2312" w:cs="仿宋_GB2312"/>
          <w:color w:val="auto"/>
          <w:sz w:val="32"/>
          <w:szCs w:val="32"/>
          <w:highlight w:val="none"/>
        </w:rPr>
        <w:t>，指标值：&gt;=1000平方米，实际完成值：=1000平方米，指标完成率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473702F2">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2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②</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质量指标：</w:t>
      </w:r>
    </w:p>
    <w:p w14:paraId="61940668">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指标1：维修改造项目合格率，指标值：&gt;=100% ，实际完成值：=100% ，指标完成率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37857E03">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3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③</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时效指标：</w:t>
      </w:r>
    </w:p>
    <w:p w14:paraId="5D20A7CD">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指标1：维修改造项目完工时间，指标值：2022年8月31日，实际完成值：2022年8月31日 ，指标完成率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667391BD">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指标2：项目开工时间</w:t>
      </w:r>
      <w:r>
        <w:rPr>
          <w:rFonts w:hint="eastAsia" w:ascii="仿宋_GB2312" w:hAnsi="仿宋_GB2312" w:eastAsia="仿宋_GB2312" w:cs="仿宋_GB2312"/>
          <w:color w:val="auto"/>
          <w:sz w:val="32"/>
          <w:szCs w:val="32"/>
          <w:highlight w:val="none"/>
        </w:rPr>
        <w:t>，指标值：2022年8月</w:t>
      </w:r>
      <w:r>
        <w:rPr>
          <w:rFonts w:hint="eastAsia" w:ascii="仿宋_GB2312" w:hAnsi="仿宋_GB2312" w:eastAsia="仿宋_GB2312" w:cs="仿宋_GB2312"/>
          <w:color w:val="auto"/>
          <w:sz w:val="32"/>
          <w:szCs w:val="32"/>
          <w:highlight w:val="none"/>
          <w:lang w:val="en-US" w:eastAsia="zh-CN"/>
        </w:rPr>
        <w:t>27</w:t>
      </w:r>
      <w:r>
        <w:rPr>
          <w:rFonts w:hint="eastAsia" w:ascii="仿宋_GB2312" w:hAnsi="仿宋_GB2312" w:eastAsia="仿宋_GB2312" w:cs="仿宋_GB2312"/>
          <w:color w:val="auto"/>
          <w:sz w:val="32"/>
          <w:szCs w:val="32"/>
          <w:highlight w:val="none"/>
        </w:rPr>
        <w:t>日，实际完成值：2022年8月</w:t>
      </w:r>
      <w:r>
        <w:rPr>
          <w:rFonts w:hint="eastAsia" w:ascii="仿宋_GB2312" w:hAnsi="仿宋_GB2312" w:eastAsia="仿宋_GB2312" w:cs="仿宋_GB2312"/>
          <w:color w:val="auto"/>
          <w:sz w:val="32"/>
          <w:szCs w:val="32"/>
          <w:highlight w:val="none"/>
          <w:lang w:val="en-US" w:eastAsia="zh-CN"/>
        </w:rPr>
        <w:t>27</w:t>
      </w:r>
      <w:r>
        <w:rPr>
          <w:rFonts w:hint="eastAsia" w:ascii="仿宋_GB2312" w:hAnsi="仿宋_GB2312" w:eastAsia="仿宋_GB2312" w:cs="仿宋_GB2312"/>
          <w:color w:val="auto"/>
          <w:sz w:val="32"/>
          <w:szCs w:val="32"/>
          <w:highlight w:val="none"/>
        </w:rPr>
        <w:t>日 ，指标完成率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670F298C">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4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④</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成本指标：</w:t>
      </w:r>
    </w:p>
    <w:p w14:paraId="45405D0C">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指标1：项目预算控制率，指标值：&lt;=100%，实际完成值：=100%，指标完成率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54FE0693">
      <w:pPr>
        <w:pStyle w:val="12"/>
        <w:numPr>
          <w:ilvl w:val="0"/>
          <w:numId w:val="5"/>
        </w:numPr>
        <w:spacing w:line="560" w:lineRule="exact"/>
        <w:ind w:firstLine="643"/>
        <w:rPr>
          <w:rFonts w:hint="eastAsia" w:ascii="Times New Roman" w:hAnsi="Times New Roman" w:eastAsia="楷体_GB2312" w:cs="Times New Roman"/>
          <w:b/>
          <w:bCs/>
          <w:color w:val="auto"/>
          <w:sz w:val="32"/>
          <w:szCs w:val="32"/>
          <w:highlight w:val="none"/>
          <w:lang w:val="en-US" w:eastAsia="zh-CN"/>
        </w:rPr>
      </w:pPr>
      <w:r>
        <w:rPr>
          <w:rFonts w:hint="eastAsia" w:ascii="Times New Roman" w:hAnsi="Times New Roman" w:eastAsia="楷体_GB2312" w:cs="Times New Roman"/>
          <w:b/>
          <w:bCs/>
          <w:color w:val="auto"/>
          <w:sz w:val="32"/>
          <w:szCs w:val="32"/>
          <w:highlight w:val="none"/>
          <w:lang w:val="en-US" w:eastAsia="zh-CN"/>
        </w:rPr>
        <w:t>项目效益情况</w:t>
      </w:r>
    </w:p>
    <w:p w14:paraId="6158587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项目效益类指标包括项目实施效益和满意度两方面的内容，由2个三级指标构成，权重分为20分，实际得分20分，得分率为100%。具体效益指标及满意度指标完成情况如下：</w:t>
      </w:r>
    </w:p>
    <w:p w14:paraId="0B10592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1.实施效益</w:t>
      </w:r>
    </w:p>
    <w:p w14:paraId="462B582F">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社会效益指标：</w:t>
      </w:r>
    </w:p>
    <w:p w14:paraId="0CAA9EAF">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有效提升疫情防控能力，指标值：</w:t>
      </w:r>
      <w:r>
        <w:rPr>
          <w:rFonts w:hint="eastAsia" w:ascii="仿宋_GB2312" w:hAnsi="仿宋_GB2312" w:eastAsia="仿宋_GB2312" w:cs="仿宋_GB2312"/>
          <w:color w:val="auto"/>
          <w:sz w:val="32"/>
          <w:szCs w:val="32"/>
          <w:highlight w:val="none"/>
          <w:lang w:eastAsia="zh-CN"/>
        </w:rPr>
        <w:t>有效提升</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eastAsia="zh-CN"/>
        </w:rPr>
        <w:t>：有所提升</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319DF74B">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w:t>
      </w:r>
    </w:p>
    <w:p w14:paraId="30FDB1F2">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满意度指标：</w:t>
      </w:r>
    </w:p>
    <w:p w14:paraId="461CC2FA">
      <w:pPr>
        <w:shd w:val="clear"/>
        <w:spacing w:line="600" w:lineRule="exact"/>
        <w:ind w:firstLine="640" w:firstLineChars="200"/>
        <w:outlineLvl w:val="0"/>
        <w:rPr>
          <w:rFonts w:hint="eastAsia" w:ascii="Times New Roman" w:hAnsi="Times New Roman" w:eastAsia="黑体" w:cs="Times New Roman"/>
          <w:color w:val="auto"/>
          <w:sz w:val="32"/>
          <w:szCs w:val="32"/>
          <w:highlight w:val="none"/>
          <w:lang w:eastAsia="zh-Hans"/>
        </w:rPr>
      </w:pPr>
      <w:r>
        <w:rPr>
          <w:rFonts w:hint="eastAsia" w:ascii="仿宋_GB2312" w:hAnsi="仿宋_GB2312" w:eastAsia="仿宋_GB2312" w:cs="仿宋_GB2312"/>
          <w:color w:val="auto"/>
          <w:sz w:val="32"/>
          <w:szCs w:val="32"/>
          <w:highlight w:val="none"/>
        </w:rPr>
        <w:t>门诊患者满意度，指标值：&gt;=</w:t>
      </w:r>
      <w:r>
        <w:rPr>
          <w:rFonts w:hint="eastAsia" w:ascii="仿宋_GB2312" w:hAnsi="仿宋_GB2312" w:eastAsia="仿宋_GB2312" w:cs="仿宋_GB2312"/>
          <w:color w:val="auto"/>
          <w:sz w:val="32"/>
          <w:szCs w:val="32"/>
          <w:highlight w:val="none"/>
          <w:lang w:val="en-US" w:eastAsia="zh-CN"/>
        </w:rPr>
        <w:t>90</w:t>
      </w:r>
      <w:r>
        <w:rPr>
          <w:rFonts w:hint="eastAsia" w:ascii="仿宋_GB2312" w:hAnsi="仿宋_GB2312" w:eastAsia="仿宋_GB2312" w:cs="仿宋_GB2312"/>
          <w:color w:val="auto"/>
          <w:sz w:val="32"/>
          <w:szCs w:val="32"/>
          <w:highlight w:val="none"/>
        </w:rPr>
        <w:t>% ，实际完成值：=</w:t>
      </w:r>
      <w:r>
        <w:rPr>
          <w:rFonts w:hint="eastAsia" w:ascii="仿宋_GB2312" w:hAnsi="仿宋_GB2312" w:eastAsia="仿宋_GB2312" w:cs="仿宋_GB2312"/>
          <w:color w:val="auto"/>
          <w:sz w:val="32"/>
          <w:szCs w:val="32"/>
          <w:highlight w:val="none"/>
          <w:lang w:val="en-US" w:eastAsia="zh-CN"/>
        </w:rPr>
        <w:t>92</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102.22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2F9C631D">
      <w:pPr>
        <w:spacing w:line="560" w:lineRule="exact"/>
        <w:ind w:firstLine="640" w:firstLineChars="200"/>
        <w:rPr>
          <w:rFonts w:hint="eastAsia" w:ascii="Times New Roman" w:hAnsi="Times New Roman" w:eastAsia="黑体" w:cs="Times New Roman"/>
          <w:color w:val="auto"/>
          <w:sz w:val="32"/>
          <w:szCs w:val="32"/>
          <w:highlight w:val="none"/>
          <w:lang w:eastAsia="zh-Hans"/>
        </w:rPr>
      </w:pPr>
      <w:r>
        <w:rPr>
          <w:rFonts w:hint="eastAsia" w:ascii="Times New Roman" w:hAnsi="Times New Roman" w:eastAsia="黑体" w:cs="Times New Roman"/>
          <w:color w:val="auto"/>
          <w:sz w:val="32"/>
          <w:szCs w:val="32"/>
          <w:highlight w:val="none"/>
          <w:lang w:eastAsia="zh-Hans"/>
        </w:rPr>
        <w:t>五、预算执行进度与绩效指标总体完成率偏差</w:t>
      </w:r>
    </w:p>
    <w:p w14:paraId="4CB8FA9A">
      <w:pPr>
        <w:pStyle w:val="19"/>
        <w:spacing w:line="560" w:lineRule="exact"/>
        <w:ind w:firstLine="640"/>
        <w:rPr>
          <w:rFonts w:ascii="Times New Roman" w:hAnsi="Times New Roman" w:eastAsia="仿宋_GB2312" w:cs="Times New Roman"/>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rPr>
        <w:t>中央疫情防控财力补助资金--防疫物资</w:t>
      </w:r>
      <w:r>
        <w:rPr>
          <w:rFonts w:hint="eastAsia" w:ascii="Times New Roman" w:hAnsi="Times New Roman" w:eastAsia="仿宋_GB2312" w:cs="Times New Roman"/>
          <w:color w:val="auto"/>
          <w:kern w:val="2"/>
          <w:sz w:val="32"/>
          <w:szCs w:val="32"/>
          <w:highlight w:val="none"/>
          <w:lang w:val="en-US" w:eastAsia="zh-CN" w:bidi="ar-SA"/>
        </w:rPr>
        <w:t>项目年初预算</w:t>
      </w:r>
      <w:r>
        <w:rPr>
          <w:rFonts w:hint="eastAsia" w:eastAsia="仿宋_GB2312" w:cs="Times New Roman"/>
          <w:color w:val="auto"/>
          <w:kern w:val="2"/>
          <w:sz w:val="32"/>
          <w:szCs w:val="32"/>
          <w:highlight w:val="none"/>
          <w:lang w:val="en-US" w:eastAsia="zh-CN" w:bidi="ar-SA"/>
        </w:rPr>
        <w:t>4.39</w:t>
      </w:r>
      <w:r>
        <w:rPr>
          <w:rFonts w:hint="eastAsia" w:ascii="Times New Roman" w:hAnsi="Times New Roman" w:eastAsia="仿宋_GB2312" w:cs="Times New Roman"/>
          <w:color w:val="auto"/>
          <w:kern w:val="2"/>
          <w:sz w:val="32"/>
          <w:szCs w:val="32"/>
          <w:highlight w:val="none"/>
          <w:lang w:val="en-US" w:eastAsia="zh-CN" w:bidi="ar-SA"/>
        </w:rPr>
        <w:t>万元，全年预算</w:t>
      </w:r>
      <w:r>
        <w:rPr>
          <w:rFonts w:hint="eastAsia" w:eastAsia="仿宋_GB2312" w:cs="Times New Roman"/>
          <w:color w:val="auto"/>
          <w:kern w:val="2"/>
          <w:sz w:val="32"/>
          <w:szCs w:val="32"/>
          <w:highlight w:val="none"/>
          <w:lang w:val="en-US" w:eastAsia="zh-CN" w:bidi="ar-SA"/>
        </w:rPr>
        <w:t>4.39</w:t>
      </w:r>
      <w:r>
        <w:rPr>
          <w:rFonts w:hint="eastAsia" w:ascii="Times New Roman" w:hAnsi="Times New Roman" w:eastAsia="仿宋_GB2312" w:cs="Times New Roman"/>
          <w:color w:val="auto"/>
          <w:kern w:val="2"/>
          <w:sz w:val="32"/>
          <w:szCs w:val="32"/>
          <w:highlight w:val="none"/>
          <w:lang w:val="en-US" w:eastAsia="zh-CN" w:bidi="ar-SA"/>
        </w:rPr>
        <w:t>万元，实际支出</w:t>
      </w:r>
      <w:r>
        <w:rPr>
          <w:rFonts w:hint="eastAsia" w:eastAsia="仿宋_GB2312" w:cs="Times New Roman"/>
          <w:color w:val="auto"/>
          <w:kern w:val="2"/>
          <w:sz w:val="32"/>
          <w:szCs w:val="32"/>
          <w:highlight w:val="none"/>
          <w:lang w:val="en-US" w:eastAsia="zh-CN" w:bidi="ar-SA"/>
        </w:rPr>
        <w:t>4.39</w:t>
      </w:r>
      <w:r>
        <w:rPr>
          <w:rFonts w:hint="eastAsia" w:ascii="Times New Roman" w:hAnsi="Times New Roman" w:eastAsia="仿宋_GB2312" w:cs="Times New Roman"/>
          <w:color w:val="auto"/>
          <w:kern w:val="2"/>
          <w:sz w:val="32"/>
          <w:szCs w:val="32"/>
          <w:highlight w:val="none"/>
          <w:lang w:val="en-US" w:eastAsia="zh-CN" w:bidi="ar-SA"/>
        </w:rPr>
        <w:t>万元，预算执行率为</w:t>
      </w:r>
      <w:r>
        <w:rPr>
          <w:rFonts w:hint="eastAsia" w:eastAsia="仿宋_GB2312" w:cs="Times New Roman"/>
          <w:color w:val="auto"/>
          <w:kern w:val="2"/>
          <w:sz w:val="32"/>
          <w:szCs w:val="32"/>
          <w:highlight w:val="none"/>
          <w:lang w:val="en-US" w:eastAsia="zh-CN" w:bidi="ar-SA"/>
        </w:rPr>
        <w:t>100</w:t>
      </w:r>
      <w:r>
        <w:rPr>
          <w:rFonts w:hint="eastAsia" w:ascii="Times New Roman" w:hAnsi="Times New Roman" w:eastAsia="仿宋_GB2312" w:cs="Times New Roman"/>
          <w:color w:val="auto"/>
          <w:kern w:val="2"/>
          <w:sz w:val="32"/>
          <w:szCs w:val="32"/>
          <w:highlight w:val="none"/>
          <w:lang w:val="en-US" w:eastAsia="zh-CN" w:bidi="ar-SA"/>
        </w:rPr>
        <w:t>%，项目绩效指标总体完成率为</w:t>
      </w:r>
      <w:r>
        <w:rPr>
          <w:rFonts w:hint="eastAsia" w:eastAsia="仿宋_GB2312" w:cs="Times New Roman"/>
          <w:color w:val="auto"/>
          <w:kern w:val="2"/>
          <w:sz w:val="32"/>
          <w:szCs w:val="32"/>
          <w:highlight w:val="none"/>
          <w:lang w:val="en-US" w:eastAsia="zh-CN" w:bidi="ar-SA"/>
        </w:rPr>
        <w:t>100.29</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Hans" w:bidi="ar-SA"/>
        </w:rPr>
        <w:t>总体</w:t>
      </w:r>
      <w:r>
        <w:rPr>
          <w:rFonts w:hint="eastAsia" w:ascii="Times New Roman" w:hAnsi="Times New Roman" w:eastAsia="仿宋_GB2312" w:cs="Times New Roman"/>
          <w:color w:val="auto"/>
          <w:kern w:val="2"/>
          <w:sz w:val="32"/>
          <w:szCs w:val="32"/>
          <w:highlight w:val="none"/>
          <w:lang w:val="en-US" w:eastAsia="zh-CN" w:bidi="ar-SA"/>
        </w:rPr>
        <w:t>偏差率为</w:t>
      </w:r>
      <w:r>
        <w:rPr>
          <w:rFonts w:hint="eastAsia" w:eastAsia="仿宋_GB2312" w:cs="Times New Roman"/>
          <w:color w:val="auto"/>
          <w:kern w:val="2"/>
          <w:sz w:val="32"/>
          <w:szCs w:val="32"/>
          <w:highlight w:val="none"/>
          <w:lang w:val="en-US" w:eastAsia="zh-CN" w:bidi="ar-SA"/>
        </w:rPr>
        <w:t>0.29</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Hans" w:bidi="ar-SA"/>
        </w:rPr>
        <w:t>偏差</w:t>
      </w:r>
      <w:r>
        <w:rPr>
          <w:rFonts w:hint="eastAsia" w:ascii="Times New Roman" w:hAnsi="Times New Roman" w:eastAsia="仿宋_GB2312" w:cs="Times New Roman"/>
          <w:color w:val="auto"/>
          <w:kern w:val="2"/>
          <w:sz w:val="32"/>
          <w:szCs w:val="32"/>
          <w:highlight w:val="none"/>
          <w:lang w:val="en-US" w:eastAsia="zh-CN" w:bidi="ar-SA"/>
        </w:rPr>
        <w:t>原因</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CN" w:bidi="ar-SA"/>
        </w:rPr>
        <w:t>门诊患者对服务较为满意，故存在偏差，</w:t>
      </w:r>
      <w:r>
        <w:rPr>
          <w:rFonts w:hint="eastAsia" w:ascii="Times New Roman" w:hAnsi="Times New Roman" w:eastAsia="仿宋_GB2312" w:cs="Times New Roman"/>
          <w:color w:val="auto"/>
          <w:kern w:val="2"/>
          <w:sz w:val="32"/>
          <w:szCs w:val="32"/>
          <w:highlight w:val="none"/>
          <w:lang w:val="en-US" w:eastAsia="zh-Hans" w:bidi="ar-SA"/>
        </w:rPr>
        <w:t>改进</w:t>
      </w:r>
      <w:r>
        <w:rPr>
          <w:rFonts w:hint="eastAsia" w:ascii="Times New Roman" w:hAnsi="Times New Roman" w:eastAsia="仿宋_GB2312" w:cs="Times New Roman"/>
          <w:color w:val="auto"/>
          <w:kern w:val="2"/>
          <w:sz w:val="32"/>
          <w:szCs w:val="32"/>
          <w:highlight w:val="none"/>
          <w:lang w:val="en-US" w:eastAsia="zh-CN" w:bidi="ar-SA"/>
        </w:rPr>
        <w:t>措施下年度合理填报目标值。</w:t>
      </w:r>
    </w:p>
    <w:p w14:paraId="2857DD40">
      <w:pPr>
        <w:spacing w:line="560" w:lineRule="exact"/>
        <w:ind w:firstLine="640" w:firstLineChars="200"/>
        <w:rPr>
          <w:rStyle w:val="18"/>
          <w:rFonts w:ascii="Times New Roman" w:hAnsi="Times New Roman" w:cs="Times New Roman"/>
          <w:color w:val="auto"/>
          <w:highlight w:val="none"/>
        </w:rPr>
      </w:pPr>
      <w:r>
        <w:rPr>
          <w:rFonts w:hint="eastAsia" w:eastAsia="黑体"/>
          <w:color w:val="auto"/>
          <w:sz w:val="32"/>
          <w:szCs w:val="32"/>
          <w:highlight w:val="none"/>
          <w:lang w:eastAsia="zh-Hans"/>
        </w:rPr>
        <w:t>六</w:t>
      </w:r>
      <w:r>
        <w:rPr>
          <w:rFonts w:eastAsia="黑体"/>
          <w:color w:val="auto"/>
          <w:sz w:val="32"/>
          <w:szCs w:val="32"/>
          <w:highlight w:val="none"/>
        </w:rPr>
        <w:t>、主要经验及做法、存在的问题及原因分析</w:t>
      </w:r>
    </w:p>
    <w:p w14:paraId="7F467EDD">
      <w:pPr>
        <w:spacing w:line="560" w:lineRule="exact"/>
        <w:ind w:firstLine="627" w:firstLineChars="200"/>
        <w:rPr>
          <w:rFonts w:eastAsia="楷体"/>
          <w:b/>
          <w:color w:val="auto"/>
          <w:spacing w:val="-4"/>
          <w:sz w:val="32"/>
          <w:szCs w:val="32"/>
          <w:highlight w:val="none"/>
        </w:rPr>
      </w:pPr>
      <w:r>
        <w:rPr>
          <w:rFonts w:eastAsia="楷体"/>
          <w:b/>
          <w:color w:val="auto"/>
          <w:spacing w:val="-4"/>
          <w:sz w:val="32"/>
          <w:szCs w:val="32"/>
          <w:highlight w:val="none"/>
        </w:rPr>
        <w:t>（一）主要经验及做法</w:t>
      </w:r>
    </w:p>
    <w:p w14:paraId="674BE472">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164AEAD">
      <w:pPr>
        <w:pStyle w:val="2"/>
        <w:spacing w:before="0" w:after="0" w:line="560" w:lineRule="exact"/>
        <w:ind w:firstLine="640" w:firstLineChars="200"/>
        <w:jc w:val="left"/>
        <w:rPr>
          <w:rFonts w:ascii="Times New Roman" w:hAnsi="Times New Roman" w:eastAsia="仿宋_GB2312"/>
          <w:b w:val="0"/>
          <w:bCs w:val="0"/>
          <w:color w:val="auto"/>
          <w:kern w:val="2"/>
          <w:highlight w:val="none"/>
        </w:rPr>
      </w:pPr>
      <w:r>
        <w:rPr>
          <w:rFonts w:hint="eastAsia" w:ascii="Times New Roman" w:hAnsi="Times New Roman" w:eastAsia="仿宋_GB2312"/>
          <w:b w:val="0"/>
          <w:bCs w:val="0"/>
          <w:color w:val="auto"/>
          <w:kern w:val="2"/>
          <w:highlight w:val="none"/>
        </w:rPr>
        <w:t>通过本项目的实施，缓解了医院资金周转困难，为做好新型冠状病毒肺炎的</w:t>
      </w:r>
      <w:r>
        <w:rPr>
          <w:rFonts w:hint="eastAsia" w:ascii="Times New Roman" w:hAnsi="Times New Roman" w:eastAsia="仿宋_GB2312"/>
          <w:b w:val="0"/>
          <w:bCs w:val="0"/>
          <w:color w:val="auto"/>
          <w:kern w:val="2"/>
          <w:highlight w:val="none"/>
          <w:lang w:eastAsia="zh-CN"/>
        </w:rPr>
        <w:t>防治工作，</w:t>
      </w:r>
      <w:r>
        <w:rPr>
          <w:rFonts w:hint="eastAsia" w:ascii="Times New Roman" w:hAnsi="Times New Roman" w:eastAsia="仿宋_GB2312"/>
          <w:b w:val="0"/>
          <w:bCs w:val="0"/>
          <w:color w:val="auto"/>
          <w:kern w:val="2"/>
          <w:highlight w:val="none"/>
        </w:rPr>
        <w:t>积极开展核酸采集工作，切实做好新型冠状病毒感染肺炎疫情防控工作，提高新型冠状病毒的防治水平和应对能力，及时、有效地采取防控措施，控制疫情的蔓延、传播，保障广大群众的身体健康和生命安全。项目启动前，充分了解项目背景、目标和具体实施方案，执行过程中，加强与相关部门和人员的沟通协调，确保各项工作顺利推进，资金使用方面，遵守相关财务管理规定，确保资金使用安全、合规，在项目收尾阶段，做好资料整理和报告撰写工作，充分总结经验教训。我院严格执行财政下达的预算指标，控制行政运行成本，并按要求加强了预算和项目资金绩效管理，提高了资金使用效率，促进了单位的良性发展，医疗卫生服务体系能力明显提升，充分发挥专项资金使用效益。通过疫情防控能力提升资金项目经验，我们能够更好地提高项目执行质量和效率，为疫情防控工作提供有力支持。</w:t>
      </w:r>
    </w:p>
    <w:p w14:paraId="122457D4">
      <w:pPr>
        <w:keepNext/>
        <w:keepLines/>
        <w:numPr>
          <w:ilvl w:val="0"/>
          <w:numId w:val="6"/>
        </w:num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存在的问题及原因分析</w:t>
      </w:r>
    </w:p>
    <w:p w14:paraId="27531029">
      <w:pPr>
        <w:spacing w:line="560" w:lineRule="exact"/>
        <w:ind w:firstLine="640" w:firstLineChars="200"/>
        <w:rPr>
          <w:rFonts w:hint="eastAsia" w:ascii="Times New Roman" w:hAnsi="Times New Roman" w:eastAsia="仿宋_GB2312" w:cs="Times New Roman"/>
          <w:b w:val="0"/>
          <w:bCs w:val="0"/>
          <w:color w:val="auto"/>
          <w:kern w:val="2"/>
          <w:sz w:val="32"/>
          <w:szCs w:val="32"/>
          <w:highlight w:val="none"/>
          <w:lang w:val="en-US" w:eastAsia="zh-Hans" w:bidi="ar-SA"/>
        </w:rPr>
      </w:pPr>
      <w:r>
        <w:rPr>
          <w:rFonts w:hint="eastAsia" w:ascii="Times New Roman" w:hAnsi="Times New Roman" w:eastAsia="仿宋_GB2312" w:cs="Times New Roman"/>
          <w:b w:val="0"/>
          <w:bCs w:val="0"/>
          <w:color w:val="auto"/>
          <w:kern w:val="2"/>
          <w:sz w:val="32"/>
          <w:szCs w:val="32"/>
          <w:highlight w:val="none"/>
          <w:lang w:val="en-US" w:eastAsia="zh-Hans" w:bidi="ar-SA"/>
        </w:rPr>
        <w:t>1.部分业务人员绩效管理意识有待增强，未能全面深入认识理解绩效管理工作的意义。绩效管理经验不足，预算绩效管理工作有待进一步落实。</w:t>
      </w:r>
    </w:p>
    <w:p w14:paraId="72EBA338">
      <w:pPr>
        <w:spacing w:line="560" w:lineRule="exact"/>
        <w:ind w:firstLine="640" w:firstLineChars="200"/>
        <w:rPr>
          <w:rFonts w:hint="eastAsia" w:ascii="Times New Roman" w:hAnsi="Times New Roman" w:eastAsia="仿宋_GB2312" w:cs="Times New Roman"/>
          <w:b w:val="0"/>
          <w:bCs w:val="0"/>
          <w:color w:val="auto"/>
          <w:kern w:val="2"/>
          <w:sz w:val="32"/>
          <w:szCs w:val="32"/>
          <w:highlight w:val="none"/>
          <w:lang w:val="en-US" w:eastAsia="zh-Hans" w:bidi="ar-SA"/>
        </w:rPr>
      </w:pPr>
      <w:r>
        <w:rPr>
          <w:rFonts w:hint="eastAsia" w:ascii="Times New Roman" w:hAnsi="Times New Roman" w:eastAsia="仿宋_GB2312" w:cs="Times New Roman"/>
          <w:b w:val="0"/>
          <w:bCs w:val="0"/>
          <w:color w:val="auto"/>
          <w:kern w:val="2"/>
          <w:sz w:val="32"/>
          <w:szCs w:val="32"/>
          <w:highlight w:val="none"/>
          <w:lang w:val="en-US" w:eastAsia="zh-Hans" w:bidi="ar-SA"/>
        </w:rPr>
        <w:t>2.绩效指标的明确性、可衡量性、相关性还需进一步提升。预算精细化管理还需完善，预算编制管理水平仍有进一步提升的空间。</w:t>
      </w:r>
    </w:p>
    <w:p w14:paraId="55FA9927">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七、</w:t>
      </w:r>
      <w:r>
        <w:rPr>
          <w:rFonts w:eastAsia="黑体"/>
          <w:color w:val="auto"/>
          <w:sz w:val="32"/>
          <w:szCs w:val="32"/>
          <w:highlight w:val="none"/>
        </w:rPr>
        <w:t>有关建议</w:t>
      </w:r>
    </w:p>
    <w:p w14:paraId="284584C3">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1.应充分考虑立项依据的充分性，对项目立项是否符合法律法规相关政策、发展规划以及部门职责用以反映和考核项目立项依据情况。</w:t>
      </w:r>
    </w:p>
    <w:p w14:paraId="6BFC71A3">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设定合理的绩效指标。在预算安排阶段，应当根据项目的特点和目标制定出明确的绩效指标，并且为每个指标设定合理地达成目标，可以让预算的执行过程更加有针对性。建立完善的评估体系。在预算执行过程中，需要建立完善的绩效评估体系，包括数据收集、数据整理、数据分析等环节。只有通过科学的数据分析才能对项目绩效进行客观评估。预算内容与项目实际完成的目标相匹配，对预算额度测算更加充分，能够更科学合理地反映项目预算。</w:t>
      </w:r>
    </w:p>
    <w:p w14:paraId="2E33BB1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完善资金管理制度、方案或办法，树立监督管理责任意识，加强资金监管力度，确保项目资金支出合规；通过本项目的实施：本单位完成全县三分之一的核酸采集工作，有效预防疫情扩散，减少医疗垃圾对生态环境的影响，使职工满意度达到96.5%、门诊患者满意度达到92%，充分调动医院职工的工作积极性及广大人民群众战胜疫情的决心。加强资金监督检查力度，结合专项资金绩效评价实行事前、事中、事后监督，坚持对专项资金的监督贯穿于财政活动的全领域、全过程，严格监管强化问责。</w:t>
      </w:r>
    </w:p>
    <w:p w14:paraId="60D504A0">
      <w:pPr>
        <w:shd w:val="clear"/>
        <w:spacing w:line="600" w:lineRule="exact"/>
        <w:ind w:firstLine="640" w:firstLineChars="200"/>
        <w:outlineLvl w:val="0"/>
        <w:rPr>
          <w:color w:val="auto"/>
          <w:sz w:val="22"/>
          <w:szCs w:val="28"/>
          <w:highlight w:val="none"/>
        </w:rPr>
      </w:pPr>
      <w:r>
        <w:rPr>
          <w:rFonts w:hint="eastAsia" w:ascii="仿宋_GB2312" w:hAnsi="仿宋_GB2312" w:eastAsia="仿宋_GB2312" w:cs="仿宋_GB2312"/>
          <w:color w:val="auto"/>
          <w:sz w:val="32"/>
          <w:szCs w:val="32"/>
          <w:highlight w:val="none"/>
          <w:lang w:val="en-US" w:eastAsia="zh-CN"/>
        </w:rPr>
        <w:t>4.项目实施过程中严格执行相关制度，认真履行管理职能，监管到位，通过绩效管理全过程监控保证完成各项目标和指标。严格按照国家有关法律、法规和财务规章制度实施方案要求，保证专款专用，合理使用；任何单位和个人不得以任何形式平调、挤占和挪用专项补助资金；不得用于疫情防控黄码医院改造规定用途之外的其他费用；不得用于偿还债务、捐赠赞助、对外投资等支出。</w:t>
      </w:r>
    </w:p>
    <w:p w14:paraId="552E5844">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八、</w:t>
      </w:r>
      <w:r>
        <w:rPr>
          <w:rFonts w:eastAsia="黑体"/>
          <w:color w:val="auto"/>
          <w:sz w:val="32"/>
          <w:szCs w:val="32"/>
          <w:highlight w:val="none"/>
        </w:rPr>
        <w:t>其他需要说</w:t>
      </w:r>
      <w:bookmarkStart w:id="6" w:name="page8"/>
      <w:bookmarkEnd w:id="6"/>
      <w:r>
        <w:rPr>
          <w:rFonts w:eastAsia="黑体"/>
          <w:color w:val="auto"/>
          <w:sz w:val="32"/>
          <w:szCs w:val="32"/>
          <w:highlight w:val="none"/>
        </w:rPr>
        <w:t>明的问题</w:t>
      </w:r>
    </w:p>
    <w:p w14:paraId="384E9327">
      <w:pPr>
        <w:pStyle w:val="13"/>
        <w:spacing w:after="0" w:line="560" w:lineRule="exact"/>
        <w:ind w:left="0" w:leftChars="0" w:firstLine="64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Hans"/>
        </w:rPr>
        <w:t>本项目无其他需说明的问题。</w:t>
      </w:r>
    </w:p>
    <w:p w14:paraId="751D17CE">
      <w:pPr>
        <w:pStyle w:val="13"/>
        <w:spacing w:after="0" w:line="560" w:lineRule="exact"/>
        <w:ind w:left="0" w:leftChars="0" w:firstLine="640"/>
        <w:rPr>
          <w:rFonts w:ascii="仿宋_GB2312" w:hAnsi="仿宋_GB2312" w:eastAsia="仿宋_GB2312" w:cs="仿宋_GB2312"/>
          <w:color w:val="auto"/>
          <w:sz w:val="32"/>
          <w:szCs w:val="32"/>
          <w:highlight w:val="none"/>
        </w:rPr>
      </w:pPr>
    </w:p>
    <w:p w14:paraId="2621C9E9">
      <w:pPr>
        <w:pStyle w:val="13"/>
        <w:spacing w:after="0" w:line="560" w:lineRule="exact"/>
        <w:ind w:left="0" w:leftChars="0" w:firstLine="640"/>
        <w:rPr>
          <w:rFonts w:ascii="仿宋_GB2312" w:hAnsi="仿宋_GB2312" w:eastAsia="仿宋_GB2312" w:cs="仿宋_GB2312"/>
          <w:color w:val="auto"/>
          <w:sz w:val="32"/>
          <w:szCs w:val="32"/>
          <w:highlight w:val="none"/>
        </w:rPr>
      </w:pPr>
    </w:p>
    <w:p w14:paraId="06AF3D07">
      <w:pPr>
        <w:widowControl/>
        <w:jc w:val="center"/>
        <w:textAlignment w:val="center"/>
        <w:rPr>
          <w:rFonts w:eastAsia="方正小标宋简体"/>
          <w:b/>
          <w:color w:val="auto"/>
          <w:kern w:val="0"/>
          <w:sz w:val="32"/>
          <w:szCs w:val="32"/>
          <w:highlight w:val="none"/>
          <w:lang w:bidi="ar"/>
        </w:rPr>
      </w:pPr>
    </w:p>
    <w:p w14:paraId="4CECA9CE">
      <w:pPr>
        <w:pStyle w:val="2"/>
        <w:rPr>
          <w:rFonts w:eastAsia="方正小标宋简体"/>
          <w:b/>
          <w:color w:val="auto"/>
          <w:kern w:val="0"/>
          <w:sz w:val="32"/>
          <w:szCs w:val="32"/>
          <w:highlight w:val="none"/>
          <w:lang w:bidi="ar"/>
        </w:rPr>
      </w:pPr>
    </w:p>
    <w:p w14:paraId="49C226FC">
      <w:pPr>
        <w:rPr>
          <w:rFonts w:eastAsia="方正小标宋简体"/>
          <w:b/>
          <w:color w:val="auto"/>
          <w:kern w:val="0"/>
          <w:sz w:val="32"/>
          <w:szCs w:val="32"/>
          <w:highlight w:val="none"/>
          <w:lang w:bidi="ar"/>
        </w:rPr>
      </w:pPr>
    </w:p>
    <w:p w14:paraId="0835305B">
      <w:pPr>
        <w:pStyle w:val="2"/>
        <w:rPr>
          <w:rFonts w:eastAsia="方正小标宋简体"/>
          <w:b/>
          <w:color w:val="auto"/>
          <w:kern w:val="0"/>
          <w:sz w:val="32"/>
          <w:szCs w:val="32"/>
          <w:highlight w:val="none"/>
          <w:lang w:bidi="ar"/>
        </w:rPr>
      </w:pPr>
    </w:p>
    <w:p w14:paraId="63A0833B">
      <w:pPr>
        <w:rPr>
          <w:rFonts w:eastAsia="方正小标宋简体"/>
          <w:b/>
          <w:color w:val="auto"/>
          <w:kern w:val="0"/>
          <w:sz w:val="32"/>
          <w:szCs w:val="32"/>
          <w:highlight w:val="none"/>
          <w:lang w:bidi="ar"/>
        </w:rPr>
      </w:pPr>
    </w:p>
    <w:p w14:paraId="0CB16AB2">
      <w:pPr>
        <w:pStyle w:val="2"/>
        <w:rPr>
          <w:rFonts w:eastAsia="方正小标宋简体"/>
          <w:b/>
          <w:color w:val="auto"/>
          <w:kern w:val="0"/>
          <w:sz w:val="32"/>
          <w:szCs w:val="32"/>
          <w:highlight w:val="none"/>
          <w:lang w:bidi="ar"/>
        </w:rPr>
      </w:pPr>
    </w:p>
    <w:p w14:paraId="1897E043">
      <w:pPr>
        <w:rPr>
          <w:rFonts w:eastAsia="方正小标宋简体"/>
          <w:b/>
          <w:color w:val="auto"/>
          <w:kern w:val="0"/>
          <w:sz w:val="32"/>
          <w:szCs w:val="32"/>
          <w:highlight w:val="none"/>
          <w:lang w:bidi="ar"/>
        </w:rPr>
      </w:pPr>
    </w:p>
    <w:p w14:paraId="2DE6DC88">
      <w:pPr>
        <w:pStyle w:val="2"/>
        <w:rPr>
          <w:rFonts w:eastAsia="方正小标宋简体"/>
          <w:b/>
          <w:color w:val="auto"/>
          <w:kern w:val="0"/>
          <w:sz w:val="32"/>
          <w:szCs w:val="32"/>
          <w:highlight w:val="none"/>
          <w:lang w:bidi="ar"/>
        </w:rPr>
      </w:pPr>
    </w:p>
    <w:p w14:paraId="2CF7F21F">
      <w:pPr>
        <w:rPr>
          <w:rFonts w:eastAsia="方正小标宋简体"/>
          <w:b/>
          <w:color w:val="auto"/>
          <w:kern w:val="0"/>
          <w:sz w:val="32"/>
          <w:szCs w:val="32"/>
          <w:highlight w:val="none"/>
          <w:lang w:bidi="ar"/>
        </w:rPr>
      </w:pPr>
    </w:p>
    <w:p w14:paraId="6E3B04E6">
      <w:pPr>
        <w:pStyle w:val="2"/>
        <w:rPr>
          <w:rFonts w:eastAsia="方正小标宋简体"/>
          <w:b/>
          <w:color w:val="auto"/>
          <w:kern w:val="0"/>
          <w:sz w:val="32"/>
          <w:szCs w:val="32"/>
          <w:highlight w:val="none"/>
          <w:lang w:bidi="ar"/>
        </w:rPr>
      </w:pPr>
    </w:p>
    <w:p w14:paraId="2D0A4BB8">
      <w:pPr>
        <w:rPr>
          <w:rFonts w:eastAsia="方正小标宋简体"/>
          <w:b/>
          <w:color w:val="auto"/>
          <w:kern w:val="0"/>
          <w:sz w:val="32"/>
          <w:szCs w:val="32"/>
          <w:highlight w:val="none"/>
          <w:lang w:bidi="ar"/>
        </w:rPr>
      </w:pPr>
    </w:p>
    <w:p w14:paraId="59B5FA81">
      <w:pPr>
        <w:pStyle w:val="2"/>
        <w:rPr>
          <w:rFonts w:eastAsia="方正小标宋简体"/>
          <w:b/>
          <w:color w:val="auto"/>
          <w:kern w:val="0"/>
          <w:sz w:val="32"/>
          <w:szCs w:val="32"/>
          <w:highlight w:val="none"/>
          <w:lang w:bidi="ar"/>
        </w:rPr>
      </w:pPr>
    </w:p>
    <w:p w14:paraId="6845DBBD">
      <w:pPr>
        <w:rPr>
          <w:rFonts w:eastAsia="方正小标宋简体"/>
          <w:b/>
          <w:color w:val="auto"/>
          <w:kern w:val="0"/>
          <w:sz w:val="32"/>
          <w:szCs w:val="32"/>
          <w:highlight w:val="none"/>
          <w:lang w:bidi="ar"/>
        </w:rPr>
      </w:pPr>
    </w:p>
    <w:p w14:paraId="60C97871">
      <w:pPr>
        <w:pStyle w:val="2"/>
        <w:rPr>
          <w:rFonts w:eastAsia="方正小标宋简体"/>
          <w:b/>
          <w:color w:val="auto"/>
          <w:kern w:val="0"/>
          <w:sz w:val="32"/>
          <w:szCs w:val="32"/>
          <w:highlight w:val="none"/>
          <w:lang w:bidi="ar"/>
        </w:rPr>
      </w:pPr>
    </w:p>
    <w:p w14:paraId="32295C54">
      <w:pPr>
        <w:rPr>
          <w:rFonts w:eastAsia="方正小标宋简体"/>
          <w:b/>
          <w:color w:val="auto"/>
          <w:kern w:val="0"/>
          <w:sz w:val="32"/>
          <w:szCs w:val="32"/>
          <w:highlight w:val="none"/>
          <w:lang w:bidi="ar"/>
        </w:rPr>
      </w:pPr>
    </w:p>
    <w:tbl>
      <w:tblPr>
        <w:tblStyle w:val="14"/>
        <w:tblW w:w="8676" w:type="dxa"/>
        <w:tblInd w:w="0" w:type="dxa"/>
        <w:shd w:val="clear" w:color="auto" w:fill="auto"/>
        <w:tblLayout w:type="fixed"/>
        <w:tblCellMar>
          <w:top w:w="0" w:type="dxa"/>
          <w:left w:w="0" w:type="dxa"/>
          <w:bottom w:w="0" w:type="dxa"/>
          <w:right w:w="0" w:type="dxa"/>
        </w:tblCellMar>
      </w:tblPr>
      <w:tblGrid>
        <w:gridCol w:w="633"/>
        <w:gridCol w:w="633"/>
        <w:gridCol w:w="633"/>
        <w:gridCol w:w="632"/>
        <w:gridCol w:w="589"/>
        <w:gridCol w:w="370"/>
        <w:gridCol w:w="878"/>
        <w:gridCol w:w="1"/>
        <w:gridCol w:w="780"/>
        <w:gridCol w:w="2"/>
        <w:gridCol w:w="509"/>
        <w:gridCol w:w="456"/>
        <w:gridCol w:w="2"/>
        <w:gridCol w:w="517"/>
        <w:gridCol w:w="360"/>
        <w:gridCol w:w="2"/>
        <w:gridCol w:w="411"/>
        <w:gridCol w:w="633"/>
        <w:gridCol w:w="2"/>
        <w:gridCol w:w="631"/>
        <w:gridCol w:w="2"/>
      </w:tblGrid>
      <w:tr w14:paraId="2389B053">
        <w:tblPrEx>
          <w:tblCellMar>
            <w:top w:w="0" w:type="dxa"/>
            <w:left w:w="0" w:type="dxa"/>
            <w:bottom w:w="0" w:type="dxa"/>
            <w:right w:w="0" w:type="dxa"/>
          </w:tblCellMar>
        </w:tblPrEx>
        <w:trPr>
          <w:gridAfter w:val="1"/>
          <w:wAfter w:w="2" w:type="dxa"/>
          <w:trHeight w:val="405" w:hRule="atLeast"/>
        </w:trPr>
        <w:tc>
          <w:tcPr>
            <w:tcW w:w="8041" w:type="dxa"/>
            <w:gridSpan w:val="18"/>
            <w:tcBorders>
              <w:top w:val="nil"/>
              <w:left w:val="nil"/>
              <w:bottom w:val="nil"/>
              <w:right w:val="nil"/>
            </w:tcBorders>
            <w:shd w:val="clear" w:color="auto" w:fill="auto"/>
            <w:tcMar>
              <w:top w:w="15" w:type="dxa"/>
              <w:left w:w="15" w:type="dxa"/>
              <w:right w:w="15" w:type="dxa"/>
            </w:tcMar>
            <w:vAlign w:val="center"/>
          </w:tcPr>
          <w:p w14:paraId="454D6F8A">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i w:val="0"/>
                <w:color w:val="auto"/>
                <w:kern w:val="0"/>
                <w:sz w:val="32"/>
                <w:szCs w:val="32"/>
                <w:highlight w:val="none"/>
                <w:u w:val="none"/>
                <w:lang w:val="en-US" w:eastAsia="zh-CN" w:bidi="ar"/>
              </w:rPr>
              <w:t>项目支出绩效自评表</w:t>
            </w:r>
          </w:p>
        </w:tc>
        <w:tc>
          <w:tcPr>
            <w:tcW w:w="633" w:type="dxa"/>
            <w:gridSpan w:val="2"/>
            <w:tcBorders>
              <w:top w:val="nil"/>
              <w:left w:val="nil"/>
              <w:bottom w:val="nil"/>
              <w:right w:val="nil"/>
            </w:tcBorders>
            <w:shd w:val="clear" w:color="auto" w:fill="auto"/>
            <w:tcMar>
              <w:top w:w="15" w:type="dxa"/>
              <w:left w:w="15" w:type="dxa"/>
              <w:right w:w="15" w:type="dxa"/>
            </w:tcMar>
            <w:vAlign w:val="center"/>
          </w:tcPr>
          <w:p w14:paraId="74917BF4">
            <w:pPr>
              <w:keepNext w:val="0"/>
              <w:keepLines w:val="0"/>
              <w:widowControl/>
              <w:suppressLineNumbers w:val="0"/>
              <w:jc w:val="center"/>
              <w:textAlignment w:val="center"/>
              <w:rPr>
                <w:rFonts w:hint="eastAsia" w:ascii="宋体" w:hAnsi="宋体" w:eastAsia="宋体" w:cs="宋体"/>
                <w:b/>
                <w:i w:val="0"/>
                <w:color w:val="auto"/>
                <w:kern w:val="0"/>
                <w:sz w:val="32"/>
                <w:szCs w:val="32"/>
                <w:highlight w:val="none"/>
                <w:u w:val="none"/>
                <w:lang w:val="en-US" w:eastAsia="zh-CN" w:bidi="ar"/>
              </w:rPr>
            </w:pPr>
          </w:p>
        </w:tc>
      </w:tr>
      <w:tr w14:paraId="7B3E1694">
        <w:tblPrEx>
          <w:shd w:val="clear" w:color="auto" w:fill="auto"/>
          <w:tblCellMar>
            <w:top w:w="0" w:type="dxa"/>
            <w:left w:w="0" w:type="dxa"/>
            <w:bottom w:w="0" w:type="dxa"/>
            <w:right w:w="0" w:type="dxa"/>
          </w:tblCellMar>
        </w:tblPrEx>
        <w:trPr>
          <w:gridAfter w:val="1"/>
          <w:wAfter w:w="2" w:type="dxa"/>
          <w:trHeight w:val="270" w:hRule="atLeast"/>
        </w:trPr>
        <w:tc>
          <w:tcPr>
            <w:tcW w:w="8041" w:type="dxa"/>
            <w:gridSpan w:val="18"/>
            <w:tcBorders>
              <w:top w:val="nil"/>
              <w:left w:val="nil"/>
              <w:bottom w:val="nil"/>
              <w:right w:val="nil"/>
            </w:tcBorders>
            <w:shd w:val="clear" w:color="auto" w:fill="auto"/>
            <w:tcMar>
              <w:top w:w="15" w:type="dxa"/>
              <w:left w:w="15" w:type="dxa"/>
              <w:right w:w="15" w:type="dxa"/>
            </w:tcMar>
            <w:vAlign w:val="center"/>
          </w:tcPr>
          <w:p w14:paraId="54D672B7">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(2023年度)</w:t>
            </w:r>
          </w:p>
        </w:tc>
        <w:tc>
          <w:tcPr>
            <w:tcW w:w="633" w:type="dxa"/>
            <w:gridSpan w:val="2"/>
            <w:tcBorders>
              <w:top w:val="nil"/>
              <w:left w:val="nil"/>
              <w:bottom w:val="nil"/>
              <w:right w:val="nil"/>
            </w:tcBorders>
            <w:shd w:val="clear" w:color="auto" w:fill="auto"/>
            <w:tcMar>
              <w:top w:w="15" w:type="dxa"/>
              <w:left w:w="15" w:type="dxa"/>
              <w:right w:w="15" w:type="dxa"/>
            </w:tcMar>
            <w:vAlign w:val="center"/>
          </w:tcPr>
          <w:p w14:paraId="14CCC636">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p>
        </w:tc>
      </w:tr>
      <w:tr w14:paraId="475553FC">
        <w:tblPrEx>
          <w:shd w:val="clear" w:color="auto" w:fill="auto"/>
          <w:tblCellMar>
            <w:top w:w="0" w:type="dxa"/>
            <w:left w:w="0" w:type="dxa"/>
            <w:bottom w:w="0" w:type="dxa"/>
            <w:right w:w="0" w:type="dxa"/>
          </w:tblCellMar>
        </w:tblPrEx>
        <w:trPr>
          <w:gridAfter w:val="1"/>
          <w:wAfter w:w="2" w:type="dxa"/>
          <w:trHeight w:val="270" w:hRule="atLeast"/>
        </w:trPr>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B844C">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项目名称</w:t>
            </w:r>
          </w:p>
        </w:tc>
        <w:tc>
          <w:tcPr>
            <w:tcW w:w="6775" w:type="dxa"/>
            <w:gridSpan w:val="1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DB11D">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中央疫情防控财力补助资金--防疫物资</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698B26">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p>
        </w:tc>
      </w:tr>
      <w:tr w14:paraId="1C75A6CD">
        <w:tblPrEx>
          <w:shd w:val="clear" w:color="auto" w:fill="auto"/>
          <w:tblCellMar>
            <w:top w:w="0" w:type="dxa"/>
            <w:left w:w="0" w:type="dxa"/>
            <w:bottom w:w="0" w:type="dxa"/>
            <w:right w:w="0" w:type="dxa"/>
          </w:tblCellMar>
        </w:tblPrEx>
        <w:trPr>
          <w:gridAfter w:val="1"/>
          <w:wAfter w:w="2" w:type="dxa"/>
          <w:trHeight w:val="270" w:hRule="atLeast"/>
        </w:trPr>
        <w:tc>
          <w:tcPr>
            <w:tcW w:w="1266"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C076B">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主管部门</w:t>
            </w:r>
          </w:p>
        </w:tc>
        <w:tc>
          <w:tcPr>
            <w:tcW w:w="3102"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49E24E">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奇台县妇幼保健计划生育服务中心</w:t>
            </w:r>
          </w:p>
        </w:tc>
        <w:tc>
          <w:tcPr>
            <w:tcW w:w="12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E9BA3">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实施单位</w:t>
            </w:r>
          </w:p>
        </w:tc>
        <w:tc>
          <w:tcPr>
            <w:tcW w:w="238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A6E4A5">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奇台县妇幼保健计划生育服务中心</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7FEA86">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p>
        </w:tc>
      </w:tr>
      <w:tr w14:paraId="79984062">
        <w:tblPrEx>
          <w:tblCellMar>
            <w:top w:w="0" w:type="dxa"/>
            <w:left w:w="0" w:type="dxa"/>
            <w:bottom w:w="0" w:type="dxa"/>
            <w:right w:w="0" w:type="dxa"/>
          </w:tblCellMar>
        </w:tblPrEx>
        <w:trPr>
          <w:gridAfter w:val="1"/>
          <w:wAfter w:w="2" w:type="dxa"/>
          <w:trHeight w:val="480" w:hRule="atLeast"/>
        </w:trPr>
        <w:tc>
          <w:tcPr>
            <w:tcW w:w="126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565679">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项目资金</w:t>
            </w:r>
            <w:r>
              <w:rPr>
                <w:rFonts w:hint="eastAsia" w:ascii="宋体" w:hAnsi="宋体" w:eastAsia="宋体" w:cs="宋体"/>
                <w:i w:val="0"/>
                <w:color w:val="auto"/>
                <w:kern w:val="0"/>
                <w:sz w:val="20"/>
                <w:szCs w:val="20"/>
                <w:highlight w:val="none"/>
                <w:u w:val="none"/>
                <w:lang w:val="en-US" w:eastAsia="zh-CN" w:bidi="ar"/>
              </w:rPr>
              <w:br w:type="textWrapping"/>
            </w:r>
            <w:r>
              <w:rPr>
                <w:rFonts w:hint="eastAsia" w:ascii="宋体" w:hAnsi="宋体" w:eastAsia="宋体" w:cs="宋体"/>
                <w:i w:val="0"/>
                <w:color w:val="auto"/>
                <w:kern w:val="0"/>
                <w:sz w:val="20"/>
                <w:szCs w:val="20"/>
                <w:highlight w:val="none"/>
                <w:u w:val="none"/>
                <w:lang w:val="en-US" w:eastAsia="zh-CN" w:bidi="ar"/>
              </w:rPr>
              <w:t>（万元）</w:t>
            </w:r>
          </w:p>
        </w:tc>
        <w:tc>
          <w:tcPr>
            <w:tcW w:w="12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2D87B6">
            <w:pPr>
              <w:jc w:val="center"/>
              <w:rPr>
                <w:rFonts w:hint="eastAsia" w:ascii="宋体" w:hAnsi="宋体" w:eastAsia="宋体" w:cs="宋体"/>
                <w:i w:val="0"/>
                <w:color w:val="auto"/>
                <w:sz w:val="20"/>
                <w:szCs w:val="20"/>
                <w:highlight w:val="none"/>
                <w:u w:val="none"/>
              </w:rPr>
            </w:pPr>
          </w:p>
        </w:tc>
        <w:tc>
          <w:tcPr>
            <w:tcW w:w="5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1D501B">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年初预算数</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96DA7">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全年预算数</w:t>
            </w:r>
          </w:p>
        </w:tc>
        <w:tc>
          <w:tcPr>
            <w:tcW w:w="12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59F46">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全年执行数</w:t>
            </w:r>
          </w:p>
        </w:tc>
        <w:tc>
          <w:tcPr>
            <w:tcW w:w="9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D9226E">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分值</w:t>
            </w:r>
          </w:p>
        </w:tc>
        <w:tc>
          <w:tcPr>
            <w:tcW w:w="7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72D88D">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执行率</w:t>
            </w: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54324">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得分</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1FC7B9">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p>
        </w:tc>
      </w:tr>
      <w:tr w14:paraId="4ACC8035">
        <w:tblPrEx>
          <w:tblCellMar>
            <w:top w:w="0" w:type="dxa"/>
            <w:left w:w="0" w:type="dxa"/>
            <w:bottom w:w="0" w:type="dxa"/>
            <w:right w:w="0" w:type="dxa"/>
          </w:tblCellMar>
        </w:tblPrEx>
        <w:trPr>
          <w:gridAfter w:val="1"/>
          <w:wAfter w:w="2" w:type="dxa"/>
          <w:trHeight w:val="440" w:hRule="atLeast"/>
        </w:trPr>
        <w:tc>
          <w:tcPr>
            <w:tcW w:w="12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7584D4">
            <w:pPr>
              <w:jc w:val="center"/>
              <w:rPr>
                <w:rFonts w:hint="eastAsia" w:ascii="宋体" w:hAnsi="宋体" w:eastAsia="宋体" w:cs="宋体"/>
                <w:i w:val="0"/>
                <w:color w:val="auto"/>
                <w:sz w:val="20"/>
                <w:szCs w:val="20"/>
                <w:highlight w:val="none"/>
                <w:u w:val="none"/>
              </w:rPr>
            </w:pPr>
          </w:p>
        </w:tc>
        <w:tc>
          <w:tcPr>
            <w:tcW w:w="12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DFF3CA">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年度资金总额</w:t>
            </w:r>
          </w:p>
        </w:tc>
        <w:tc>
          <w:tcPr>
            <w:tcW w:w="5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10789">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3.03</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42D0F2">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4.39</w:t>
            </w:r>
          </w:p>
        </w:tc>
        <w:tc>
          <w:tcPr>
            <w:tcW w:w="12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E8D34A">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4.39</w:t>
            </w:r>
          </w:p>
        </w:tc>
        <w:tc>
          <w:tcPr>
            <w:tcW w:w="9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407B91">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7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7994AD">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100.00%</w:t>
            </w: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86B185">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10.00分</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858C38">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p>
        </w:tc>
      </w:tr>
      <w:tr w14:paraId="550A29B1">
        <w:tblPrEx>
          <w:tblCellMar>
            <w:top w:w="0" w:type="dxa"/>
            <w:left w:w="0" w:type="dxa"/>
            <w:bottom w:w="0" w:type="dxa"/>
            <w:right w:w="0" w:type="dxa"/>
          </w:tblCellMar>
        </w:tblPrEx>
        <w:trPr>
          <w:gridAfter w:val="1"/>
          <w:wAfter w:w="2" w:type="dxa"/>
          <w:trHeight w:val="440" w:hRule="atLeast"/>
        </w:trPr>
        <w:tc>
          <w:tcPr>
            <w:tcW w:w="12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1520E0">
            <w:pPr>
              <w:jc w:val="center"/>
              <w:rPr>
                <w:rFonts w:hint="eastAsia" w:ascii="宋体" w:hAnsi="宋体" w:eastAsia="宋体" w:cs="宋体"/>
                <w:i w:val="0"/>
                <w:color w:val="auto"/>
                <w:sz w:val="20"/>
                <w:szCs w:val="20"/>
                <w:highlight w:val="none"/>
                <w:u w:val="none"/>
              </w:rPr>
            </w:pPr>
          </w:p>
        </w:tc>
        <w:tc>
          <w:tcPr>
            <w:tcW w:w="12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F84BA3">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其中：当年财政拨款</w:t>
            </w:r>
          </w:p>
        </w:tc>
        <w:tc>
          <w:tcPr>
            <w:tcW w:w="5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316BAC">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3.03</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0FF696">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4.39</w:t>
            </w:r>
          </w:p>
        </w:tc>
        <w:tc>
          <w:tcPr>
            <w:tcW w:w="12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F0A94EA">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4.39</w:t>
            </w:r>
          </w:p>
        </w:tc>
        <w:tc>
          <w:tcPr>
            <w:tcW w:w="9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B87F79">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7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8C2472">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15A42D">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AC2A79">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p>
        </w:tc>
      </w:tr>
      <w:tr w14:paraId="792C9543">
        <w:tblPrEx>
          <w:tblCellMar>
            <w:top w:w="0" w:type="dxa"/>
            <w:left w:w="0" w:type="dxa"/>
            <w:bottom w:w="0" w:type="dxa"/>
            <w:right w:w="0" w:type="dxa"/>
          </w:tblCellMar>
        </w:tblPrEx>
        <w:trPr>
          <w:gridAfter w:val="1"/>
          <w:wAfter w:w="2" w:type="dxa"/>
          <w:trHeight w:val="440" w:hRule="atLeast"/>
        </w:trPr>
        <w:tc>
          <w:tcPr>
            <w:tcW w:w="12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1A748CB">
            <w:pPr>
              <w:jc w:val="center"/>
              <w:rPr>
                <w:rFonts w:hint="eastAsia" w:ascii="宋体" w:hAnsi="宋体" w:eastAsia="宋体" w:cs="宋体"/>
                <w:i w:val="0"/>
                <w:color w:val="auto"/>
                <w:sz w:val="20"/>
                <w:szCs w:val="20"/>
                <w:highlight w:val="none"/>
                <w:u w:val="none"/>
              </w:rPr>
            </w:pPr>
          </w:p>
        </w:tc>
        <w:tc>
          <w:tcPr>
            <w:tcW w:w="12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43803">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 xml:space="preserve">      上年结转资金</w:t>
            </w:r>
          </w:p>
        </w:tc>
        <w:tc>
          <w:tcPr>
            <w:tcW w:w="5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EAB3DD">
            <w:pPr>
              <w:jc w:val="center"/>
              <w:rPr>
                <w:rFonts w:hint="eastAsia" w:ascii="宋体" w:hAnsi="宋体" w:eastAsia="宋体" w:cs="宋体"/>
                <w:i w:val="0"/>
                <w:color w:val="auto"/>
                <w:sz w:val="20"/>
                <w:szCs w:val="20"/>
                <w:highlight w:val="none"/>
                <w:u w:val="none"/>
              </w:rPr>
            </w:pP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D99966">
            <w:pPr>
              <w:jc w:val="center"/>
              <w:rPr>
                <w:rFonts w:hint="eastAsia" w:ascii="宋体" w:hAnsi="宋体" w:eastAsia="宋体" w:cs="宋体"/>
                <w:i w:val="0"/>
                <w:color w:val="auto"/>
                <w:sz w:val="20"/>
                <w:szCs w:val="20"/>
                <w:highlight w:val="none"/>
                <w:u w:val="none"/>
              </w:rPr>
            </w:pPr>
          </w:p>
        </w:tc>
        <w:tc>
          <w:tcPr>
            <w:tcW w:w="12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3396A4">
            <w:pPr>
              <w:jc w:val="center"/>
              <w:rPr>
                <w:rFonts w:hint="eastAsia" w:ascii="宋体" w:hAnsi="宋体" w:eastAsia="宋体" w:cs="宋体"/>
                <w:i w:val="0"/>
                <w:color w:val="auto"/>
                <w:sz w:val="20"/>
                <w:szCs w:val="20"/>
                <w:highlight w:val="none"/>
                <w:u w:val="none"/>
              </w:rPr>
            </w:pPr>
          </w:p>
        </w:tc>
        <w:tc>
          <w:tcPr>
            <w:tcW w:w="9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6741F">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7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AAD7E6">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ED046">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3C423">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p>
        </w:tc>
      </w:tr>
      <w:tr w14:paraId="17209CF3">
        <w:tblPrEx>
          <w:shd w:val="clear" w:color="auto" w:fill="auto"/>
          <w:tblCellMar>
            <w:top w:w="0" w:type="dxa"/>
            <w:left w:w="0" w:type="dxa"/>
            <w:bottom w:w="0" w:type="dxa"/>
            <w:right w:w="0" w:type="dxa"/>
          </w:tblCellMar>
        </w:tblPrEx>
        <w:trPr>
          <w:gridAfter w:val="1"/>
          <w:wAfter w:w="2" w:type="dxa"/>
          <w:trHeight w:val="440" w:hRule="atLeast"/>
        </w:trPr>
        <w:tc>
          <w:tcPr>
            <w:tcW w:w="126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83DB12">
            <w:pPr>
              <w:jc w:val="center"/>
              <w:rPr>
                <w:rFonts w:hint="eastAsia" w:ascii="宋体" w:hAnsi="宋体" w:eastAsia="宋体" w:cs="宋体"/>
                <w:i w:val="0"/>
                <w:color w:val="auto"/>
                <w:sz w:val="20"/>
                <w:szCs w:val="20"/>
                <w:highlight w:val="none"/>
                <w:u w:val="none"/>
              </w:rPr>
            </w:pPr>
          </w:p>
        </w:tc>
        <w:tc>
          <w:tcPr>
            <w:tcW w:w="12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AE402">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 xml:space="preserve">  其他资金</w:t>
            </w:r>
          </w:p>
        </w:tc>
        <w:tc>
          <w:tcPr>
            <w:tcW w:w="589"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597059">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0</w:t>
            </w:r>
          </w:p>
        </w:tc>
        <w:tc>
          <w:tcPr>
            <w:tcW w:w="124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B885FF">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0</w:t>
            </w:r>
          </w:p>
        </w:tc>
        <w:tc>
          <w:tcPr>
            <w:tcW w:w="1292"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06A89">
            <w:pPr>
              <w:jc w:val="center"/>
              <w:rPr>
                <w:rFonts w:hint="eastAsia" w:ascii="宋体" w:hAnsi="宋体" w:eastAsia="宋体" w:cs="宋体"/>
                <w:i w:val="0"/>
                <w:color w:val="auto"/>
                <w:sz w:val="20"/>
                <w:szCs w:val="20"/>
                <w:highlight w:val="none"/>
                <w:u w:val="none"/>
              </w:rPr>
            </w:pPr>
          </w:p>
        </w:tc>
        <w:tc>
          <w:tcPr>
            <w:tcW w:w="97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EB0351">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77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2A8F30">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CD47C3">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CFF1B3">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p>
        </w:tc>
      </w:tr>
      <w:tr w14:paraId="47B03D87">
        <w:tblPrEx>
          <w:tblCellMar>
            <w:top w:w="0" w:type="dxa"/>
            <w:left w:w="0" w:type="dxa"/>
            <w:bottom w:w="0" w:type="dxa"/>
            <w:right w:w="0" w:type="dxa"/>
          </w:tblCellMar>
        </w:tblPrEx>
        <w:trPr>
          <w:gridAfter w:val="1"/>
          <w:wAfter w:w="2" w:type="dxa"/>
          <w:trHeight w:val="270" w:hRule="atLeast"/>
        </w:trPr>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810CE9">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年度总体目标</w:t>
            </w:r>
          </w:p>
        </w:tc>
        <w:tc>
          <w:tcPr>
            <w:tcW w:w="373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EB7E72">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预期目标</w:t>
            </w:r>
          </w:p>
        </w:tc>
        <w:tc>
          <w:tcPr>
            <w:tcW w:w="367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2E4227F">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实际完成情况</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55ADE3">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p>
        </w:tc>
      </w:tr>
      <w:tr w14:paraId="6C4F5A89">
        <w:tblPrEx>
          <w:shd w:val="clear" w:color="auto" w:fill="auto"/>
          <w:tblCellMar>
            <w:top w:w="0" w:type="dxa"/>
            <w:left w:w="0" w:type="dxa"/>
            <w:bottom w:w="0" w:type="dxa"/>
            <w:right w:w="0" w:type="dxa"/>
          </w:tblCellMar>
        </w:tblPrEx>
        <w:trPr>
          <w:gridAfter w:val="1"/>
          <w:wAfter w:w="2" w:type="dxa"/>
          <w:trHeight w:val="540" w:hRule="atLeast"/>
        </w:trPr>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19CA38">
            <w:pPr>
              <w:jc w:val="center"/>
              <w:rPr>
                <w:rFonts w:hint="eastAsia" w:ascii="宋体" w:hAnsi="宋体" w:eastAsia="宋体" w:cs="宋体"/>
                <w:i w:val="0"/>
                <w:color w:val="auto"/>
                <w:sz w:val="20"/>
                <w:szCs w:val="20"/>
                <w:highlight w:val="none"/>
                <w:u w:val="none"/>
              </w:rPr>
            </w:pPr>
          </w:p>
        </w:tc>
        <w:tc>
          <w:tcPr>
            <w:tcW w:w="373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761A104E">
            <w:pPr>
              <w:keepNext w:val="0"/>
              <w:keepLines w:val="0"/>
              <w:widowControl/>
              <w:suppressLineNumbers w:val="0"/>
              <w:jc w:val="left"/>
              <w:textAlignment w:val="top"/>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本项目投入4.39万元用于将古城乡卫生院、奇台县妇计中心改造为黄码医院，主要内容为维修改造铁皮围挡、入口垫钢板项目，维修改造合格率达到100%以上，改造后及时投入使用率达到100%以上，维修改造成本控制在4.39万元以内，通过本项目的实施，切实做好疫情防控工作，有效提升疫情防控能力，降低社会疫情影响，保障公众健康，提高医疗卫生服务质量。门诊患者满意度达到90%以上。</w:t>
            </w:r>
          </w:p>
        </w:tc>
        <w:tc>
          <w:tcPr>
            <w:tcW w:w="3673"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036E5FCD">
            <w:pPr>
              <w:keepNext w:val="0"/>
              <w:keepLines w:val="0"/>
              <w:widowControl/>
              <w:suppressLineNumbers w:val="0"/>
              <w:jc w:val="left"/>
              <w:textAlignment w:val="top"/>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2023年度本项目投入4.39万元用于将古城乡卫生院、奇台县妇计中心改造为黄码医院，主要内容为维修改造铁皮围挡、入口垫钢板项目，维修改造合格率100%，改造后及时投入使用率100%，维修改造成本4.39万元，通过本项目的实施，切实做好疫情防控工作，有效提升了疫情防控能力，降低了社会疫情影响，保障了公众健康，提高了医疗卫生服务质量。门诊患者满意度达到92%。</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14:paraId="62B46A15">
            <w:pPr>
              <w:keepNext w:val="0"/>
              <w:keepLines w:val="0"/>
              <w:widowControl/>
              <w:suppressLineNumbers w:val="0"/>
              <w:jc w:val="left"/>
              <w:textAlignment w:val="top"/>
              <w:rPr>
                <w:rFonts w:hint="eastAsia" w:ascii="宋体" w:hAnsi="宋体" w:eastAsia="宋体" w:cs="宋体"/>
                <w:i w:val="0"/>
                <w:color w:val="auto"/>
                <w:kern w:val="0"/>
                <w:sz w:val="20"/>
                <w:szCs w:val="20"/>
                <w:highlight w:val="none"/>
                <w:u w:val="none"/>
                <w:lang w:val="en-US" w:eastAsia="zh-CN" w:bidi="ar"/>
              </w:rPr>
            </w:pPr>
          </w:p>
        </w:tc>
      </w:tr>
      <w:tr w14:paraId="328E0DF0">
        <w:tblPrEx>
          <w:tblCellMar>
            <w:top w:w="0" w:type="dxa"/>
            <w:left w:w="0" w:type="dxa"/>
            <w:bottom w:w="0" w:type="dxa"/>
            <w:right w:w="0" w:type="dxa"/>
          </w:tblCellMar>
        </w:tblPrEx>
        <w:trPr>
          <w:trHeight w:val="270" w:hRule="atLeast"/>
        </w:trPr>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820B941">
            <w:pPr>
              <w:jc w:val="center"/>
              <w:rPr>
                <w:rFonts w:hint="eastAsia" w:ascii="宋体" w:hAnsi="宋体" w:eastAsia="宋体" w:cs="宋体"/>
                <w:i w:val="0"/>
                <w:color w:val="auto"/>
                <w:sz w:val="20"/>
                <w:szCs w:val="20"/>
                <w:highlight w:val="none"/>
                <w:u w:val="none"/>
              </w:rPr>
            </w:pP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41E8CC">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一级指标</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DF541D">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二级指标</w:t>
            </w:r>
          </w:p>
        </w:tc>
        <w:tc>
          <w:tcPr>
            <w:tcW w:w="15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6AD736">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三级指标</w:t>
            </w:r>
          </w:p>
        </w:tc>
        <w:tc>
          <w:tcPr>
            <w:tcW w:w="87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88BFE68">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年度指标值</w:t>
            </w:r>
          </w:p>
        </w:tc>
        <w:tc>
          <w:tcPr>
            <w:tcW w:w="78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8222E6">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实际完成值</w:t>
            </w:r>
          </w:p>
        </w:tc>
        <w:tc>
          <w:tcPr>
            <w:tcW w:w="96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967A95">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分值</w:t>
            </w:r>
          </w:p>
        </w:tc>
        <w:tc>
          <w:tcPr>
            <w:tcW w:w="879"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96270D">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得分</w:t>
            </w:r>
          </w:p>
        </w:tc>
        <w:tc>
          <w:tcPr>
            <w:tcW w:w="104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4C338D">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偏差原因分析及改进措施</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413755">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p>
        </w:tc>
      </w:tr>
      <w:tr w14:paraId="5FEF59E1">
        <w:tblPrEx>
          <w:shd w:val="clear" w:color="auto" w:fill="auto"/>
          <w:tblCellMar>
            <w:top w:w="0" w:type="dxa"/>
            <w:left w:w="0" w:type="dxa"/>
            <w:bottom w:w="0" w:type="dxa"/>
            <w:right w:w="0" w:type="dxa"/>
          </w:tblCellMar>
        </w:tblPrEx>
        <w:trPr>
          <w:trHeight w:val="270" w:hRule="atLeast"/>
        </w:trPr>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F4FBDA">
            <w:pPr>
              <w:jc w:val="center"/>
              <w:rPr>
                <w:rFonts w:hint="eastAsia" w:ascii="宋体" w:hAnsi="宋体" w:eastAsia="宋体" w:cs="宋体"/>
                <w:i w:val="0"/>
                <w:color w:val="auto"/>
                <w:sz w:val="20"/>
                <w:szCs w:val="20"/>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F973B1">
            <w:pPr>
              <w:jc w:val="center"/>
              <w:rPr>
                <w:rFonts w:hint="eastAsia" w:ascii="宋体" w:hAnsi="宋体" w:eastAsia="宋体" w:cs="宋体"/>
                <w:i w:val="0"/>
                <w:color w:val="auto"/>
                <w:sz w:val="20"/>
                <w:szCs w:val="20"/>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46F425">
            <w:pPr>
              <w:jc w:val="center"/>
              <w:rPr>
                <w:rFonts w:hint="eastAsia" w:ascii="宋体" w:hAnsi="宋体" w:eastAsia="宋体" w:cs="宋体"/>
                <w:i w:val="0"/>
                <w:color w:val="auto"/>
                <w:sz w:val="20"/>
                <w:szCs w:val="20"/>
                <w:highlight w:val="none"/>
                <w:u w:val="none"/>
              </w:rPr>
            </w:pPr>
          </w:p>
        </w:tc>
        <w:tc>
          <w:tcPr>
            <w:tcW w:w="15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2577B8">
            <w:pPr>
              <w:jc w:val="center"/>
              <w:rPr>
                <w:rFonts w:hint="eastAsia" w:ascii="宋体" w:hAnsi="宋体" w:eastAsia="宋体" w:cs="宋体"/>
                <w:i w:val="0"/>
                <w:color w:val="auto"/>
                <w:sz w:val="20"/>
                <w:szCs w:val="20"/>
                <w:highlight w:val="none"/>
                <w:u w:val="none"/>
              </w:rPr>
            </w:pPr>
          </w:p>
        </w:tc>
        <w:tc>
          <w:tcPr>
            <w:tcW w:w="87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1394CC">
            <w:pPr>
              <w:jc w:val="center"/>
              <w:rPr>
                <w:rFonts w:hint="eastAsia" w:ascii="宋体" w:hAnsi="宋体" w:eastAsia="宋体" w:cs="宋体"/>
                <w:i w:val="0"/>
                <w:color w:val="auto"/>
                <w:sz w:val="20"/>
                <w:szCs w:val="20"/>
                <w:highlight w:val="none"/>
                <w:u w:val="none"/>
              </w:rPr>
            </w:pPr>
          </w:p>
        </w:tc>
        <w:tc>
          <w:tcPr>
            <w:tcW w:w="78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15728C">
            <w:pPr>
              <w:jc w:val="center"/>
              <w:rPr>
                <w:rFonts w:hint="eastAsia" w:ascii="宋体" w:hAnsi="宋体" w:eastAsia="宋体" w:cs="宋体"/>
                <w:i w:val="0"/>
                <w:color w:val="auto"/>
                <w:sz w:val="20"/>
                <w:szCs w:val="20"/>
                <w:highlight w:val="none"/>
                <w:u w:val="none"/>
              </w:rPr>
            </w:pPr>
          </w:p>
        </w:tc>
        <w:tc>
          <w:tcPr>
            <w:tcW w:w="96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BDBBAFA">
            <w:pPr>
              <w:jc w:val="center"/>
              <w:rPr>
                <w:rFonts w:hint="eastAsia" w:ascii="宋体" w:hAnsi="宋体" w:eastAsia="宋体" w:cs="宋体"/>
                <w:i w:val="0"/>
                <w:color w:val="auto"/>
                <w:sz w:val="20"/>
                <w:szCs w:val="20"/>
                <w:highlight w:val="none"/>
                <w:u w:val="none"/>
              </w:rPr>
            </w:pPr>
          </w:p>
        </w:tc>
        <w:tc>
          <w:tcPr>
            <w:tcW w:w="879"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21CDCA">
            <w:pPr>
              <w:jc w:val="center"/>
              <w:rPr>
                <w:rFonts w:hint="eastAsia" w:ascii="宋体" w:hAnsi="宋体" w:eastAsia="宋体" w:cs="宋体"/>
                <w:i w:val="0"/>
                <w:color w:val="auto"/>
                <w:sz w:val="20"/>
                <w:szCs w:val="20"/>
                <w:highlight w:val="none"/>
                <w:u w:val="none"/>
              </w:rPr>
            </w:pPr>
          </w:p>
        </w:tc>
        <w:tc>
          <w:tcPr>
            <w:tcW w:w="104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29A0B3">
            <w:pPr>
              <w:jc w:val="center"/>
              <w:rPr>
                <w:rFonts w:hint="eastAsia" w:ascii="宋体" w:hAnsi="宋体" w:eastAsia="宋体" w:cs="宋体"/>
                <w:i w:val="0"/>
                <w:color w:val="auto"/>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E9C886">
            <w:pPr>
              <w:jc w:val="center"/>
              <w:rPr>
                <w:rFonts w:hint="eastAsia" w:ascii="宋体" w:hAnsi="宋体" w:eastAsia="宋体" w:cs="宋体"/>
                <w:i w:val="0"/>
                <w:color w:val="auto"/>
                <w:sz w:val="20"/>
                <w:szCs w:val="20"/>
                <w:highlight w:val="none"/>
                <w:u w:val="none"/>
              </w:rPr>
            </w:pPr>
          </w:p>
        </w:tc>
      </w:tr>
      <w:tr w14:paraId="02117AEC">
        <w:tblPrEx>
          <w:tblCellMar>
            <w:top w:w="0" w:type="dxa"/>
            <w:left w:w="0" w:type="dxa"/>
            <w:bottom w:w="0" w:type="dxa"/>
            <w:right w:w="0" w:type="dxa"/>
          </w:tblCellMar>
        </w:tblPrEx>
        <w:trPr>
          <w:trHeight w:val="400" w:hRule="atLeast"/>
        </w:trPr>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93F582">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年度绩效指标完成情况</w:t>
            </w: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2F77ED">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产出指标</w:t>
            </w: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829B13">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数量指标</w:t>
            </w:r>
          </w:p>
        </w:tc>
        <w:tc>
          <w:tcPr>
            <w:tcW w:w="15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014C2516">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维修改造面积</w:t>
            </w:r>
          </w:p>
        </w:tc>
        <w:tc>
          <w:tcPr>
            <w:tcW w:w="8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9099AB">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&gt;=1000平方米</w:t>
            </w: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59473A">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=1000平方米</w:t>
            </w:r>
          </w:p>
        </w:tc>
        <w:tc>
          <w:tcPr>
            <w:tcW w:w="9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65DA65">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6AB89F">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0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868D39">
            <w:pPr>
              <w:jc w:val="center"/>
              <w:rPr>
                <w:rFonts w:hint="eastAsia" w:ascii="宋体" w:hAnsi="宋体" w:eastAsia="宋体" w:cs="宋体"/>
                <w:i w:val="0"/>
                <w:color w:val="auto"/>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FB50E7">
            <w:pPr>
              <w:jc w:val="center"/>
              <w:rPr>
                <w:rFonts w:hint="eastAsia" w:ascii="宋体" w:hAnsi="宋体" w:eastAsia="宋体" w:cs="宋体"/>
                <w:i w:val="0"/>
                <w:color w:val="auto"/>
                <w:sz w:val="20"/>
                <w:szCs w:val="20"/>
                <w:highlight w:val="none"/>
                <w:u w:val="none"/>
              </w:rPr>
            </w:pPr>
          </w:p>
        </w:tc>
      </w:tr>
      <w:tr w14:paraId="5972AAF2">
        <w:tblPrEx>
          <w:shd w:val="clear" w:color="auto" w:fill="auto"/>
          <w:tblCellMar>
            <w:top w:w="0" w:type="dxa"/>
            <w:left w:w="0" w:type="dxa"/>
            <w:bottom w:w="0" w:type="dxa"/>
            <w:right w:w="0" w:type="dxa"/>
          </w:tblCellMar>
        </w:tblPrEx>
        <w:trPr>
          <w:trHeight w:val="400" w:hRule="atLeast"/>
        </w:trPr>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5DC882">
            <w:pPr>
              <w:jc w:val="center"/>
              <w:rPr>
                <w:rFonts w:hint="eastAsia" w:ascii="宋体" w:hAnsi="宋体" w:eastAsia="宋体" w:cs="宋体"/>
                <w:i w:val="0"/>
                <w:color w:val="auto"/>
                <w:sz w:val="20"/>
                <w:szCs w:val="20"/>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8686AA">
            <w:pPr>
              <w:jc w:val="center"/>
              <w:rPr>
                <w:rFonts w:hint="eastAsia" w:ascii="宋体" w:hAnsi="宋体" w:eastAsia="宋体" w:cs="宋体"/>
                <w:i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49E906">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质量指标</w:t>
            </w:r>
          </w:p>
        </w:tc>
        <w:tc>
          <w:tcPr>
            <w:tcW w:w="15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CF7B090">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维修改造项目合格率</w:t>
            </w:r>
          </w:p>
        </w:tc>
        <w:tc>
          <w:tcPr>
            <w:tcW w:w="8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856F84">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&gt;=100%</w:t>
            </w: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597C3">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w:t>
            </w:r>
          </w:p>
        </w:tc>
        <w:tc>
          <w:tcPr>
            <w:tcW w:w="9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3F020B">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D40C64">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0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83BFC6">
            <w:pPr>
              <w:jc w:val="center"/>
              <w:rPr>
                <w:rFonts w:hint="eastAsia" w:ascii="宋体" w:hAnsi="宋体" w:eastAsia="宋体" w:cs="宋体"/>
                <w:i w:val="0"/>
                <w:color w:val="auto"/>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A7556F">
            <w:pPr>
              <w:jc w:val="center"/>
              <w:rPr>
                <w:rFonts w:hint="eastAsia" w:ascii="宋体" w:hAnsi="宋体" w:eastAsia="宋体" w:cs="宋体"/>
                <w:i w:val="0"/>
                <w:color w:val="auto"/>
                <w:sz w:val="20"/>
                <w:szCs w:val="20"/>
                <w:highlight w:val="none"/>
                <w:u w:val="none"/>
              </w:rPr>
            </w:pPr>
          </w:p>
        </w:tc>
      </w:tr>
      <w:tr w14:paraId="1B20351F">
        <w:tblPrEx>
          <w:shd w:val="clear" w:color="auto" w:fill="auto"/>
          <w:tblCellMar>
            <w:top w:w="0" w:type="dxa"/>
            <w:left w:w="0" w:type="dxa"/>
            <w:bottom w:w="0" w:type="dxa"/>
            <w:right w:w="0" w:type="dxa"/>
          </w:tblCellMar>
        </w:tblPrEx>
        <w:trPr>
          <w:trHeight w:val="400" w:hRule="atLeast"/>
        </w:trPr>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510A92">
            <w:pPr>
              <w:jc w:val="center"/>
              <w:rPr>
                <w:rFonts w:hint="eastAsia" w:ascii="宋体" w:hAnsi="宋体" w:eastAsia="宋体" w:cs="宋体"/>
                <w:i w:val="0"/>
                <w:color w:val="auto"/>
                <w:sz w:val="20"/>
                <w:szCs w:val="20"/>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22163E">
            <w:pPr>
              <w:jc w:val="center"/>
              <w:rPr>
                <w:rFonts w:hint="eastAsia" w:ascii="宋体" w:hAnsi="宋体" w:eastAsia="宋体" w:cs="宋体"/>
                <w:i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2A63FC2">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时效指标</w:t>
            </w:r>
          </w:p>
        </w:tc>
        <w:tc>
          <w:tcPr>
            <w:tcW w:w="15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26BB418">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维修改造项目完工时间</w:t>
            </w:r>
          </w:p>
        </w:tc>
        <w:tc>
          <w:tcPr>
            <w:tcW w:w="8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706BBB">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2022年8月31日</w:t>
            </w: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8075F">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=2022年8月31日</w:t>
            </w:r>
          </w:p>
        </w:tc>
        <w:tc>
          <w:tcPr>
            <w:tcW w:w="9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14D01A">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CDBE15">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0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971AF3">
            <w:pPr>
              <w:jc w:val="center"/>
              <w:rPr>
                <w:rFonts w:hint="eastAsia" w:ascii="宋体" w:hAnsi="宋体" w:eastAsia="宋体" w:cs="宋体"/>
                <w:i w:val="0"/>
                <w:color w:val="auto"/>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4D5993F">
            <w:pPr>
              <w:jc w:val="center"/>
              <w:rPr>
                <w:rFonts w:hint="eastAsia" w:ascii="宋体" w:hAnsi="宋体" w:eastAsia="宋体" w:cs="宋体"/>
                <w:i w:val="0"/>
                <w:color w:val="auto"/>
                <w:sz w:val="20"/>
                <w:szCs w:val="20"/>
                <w:highlight w:val="none"/>
                <w:u w:val="none"/>
              </w:rPr>
            </w:pPr>
          </w:p>
        </w:tc>
      </w:tr>
      <w:tr w14:paraId="09949BD7">
        <w:tblPrEx>
          <w:shd w:val="clear" w:color="auto" w:fill="auto"/>
          <w:tblCellMar>
            <w:top w:w="0" w:type="dxa"/>
            <w:left w:w="0" w:type="dxa"/>
            <w:bottom w:w="0" w:type="dxa"/>
            <w:right w:w="0" w:type="dxa"/>
          </w:tblCellMar>
        </w:tblPrEx>
        <w:trPr>
          <w:trHeight w:val="400" w:hRule="atLeast"/>
        </w:trPr>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196CD7">
            <w:pPr>
              <w:jc w:val="center"/>
              <w:rPr>
                <w:rFonts w:hint="eastAsia" w:ascii="宋体" w:hAnsi="宋体" w:eastAsia="宋体" w:cs="宋体"/>
                <w:i w:val="0"/>
                <w:color w:val="auto"/>
                <w:sz w:val="20"/>
                <w:szCs w:val="20"/>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B0D44E5">
            <w:pPr>
              <w:jc w:val="center"/>
              <w:rPr>
                <w:rFonts w:hint="eastAsia" w:ascii="宋体" w:hAnsi="宋体" w:eastAsia="宋体" w:cs="宋体"/>
                <w:i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E88606">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时效指标</w:t>
            </w:r>
          </w:p>
        </w:tc>
        <w:tc>
          <w:tcPr>
            <w:tcW w:w="15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1F48C71">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项目开工时间</w:t>
            </w:r>
          </w:p>
        </w:tc>
        <w:tc>
          <w:tcPr>
            <w:tcW w:w="8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19CC6A">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2022年8月27日</w:t>
            </w: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7D874B">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=2022年8月27日</w:t>
            </w:r>
          </w:p>
        </w:tc>
        <w:tc>
          <w:tcPr>
            <w:tcW w:w="9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C40DFC">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01345F">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0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A69D0">
            <w:pPr>
              <w:jc w:val="center"/>
              <w:rPr>
                <w:rFonts w:hint="eastAsia" w:ascii="宋体" w:hAnsi="宋体" w:eastAsia="宋体" w:cs="宋体"/>
                <w:i w:val="0"/>
                <w:color w:val="auto"/>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98ED2C0">
            <w:pPr>
              <w:jc w:val="center"/>
              <w:rPr>
                <w:rFonts w:hint="eastAsia" w:ascii="宋体" w:hAnsi="宋体" w:eastAsia="宋体" w:cs="宋体"/>
                <w:i w:val="0"/>
                <w:color w:val="auto"/>
                <w:sz w:val="20"/>
                <w:szCs w:val="20"/>
                <w:highlight w:val="none"/>
                <w:u w:val="none"/>
              </w:rPr>
            </w:pPr>
          </w:p>
        </w:tc>
      </w:tr>
      <w:tr w14:paraId="0D6B8BD3">
        <w:tblPrEx>
          <w:shd w:val="clear" w:color="auto" w:fill="auto"/>
          <w:tblCellMar>
            <w:top w:w="0" w:type="dxa"/>
            <w:left w:w="0" w:type="dxa"/>
            <w:bottom w:w="0" w:type="dxa"/>
            <w:right w:w="0" w:type="dxa"/>
          </w:tblCellMar>
        </w:tblPrEx>
        <w:trPr>
          <w:trHeight w:val="400" w:hRule="atLeast"/>
        </w:trPr>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F8E05D">
            <w:pPr>
              <w:jc w:val="center"/>
              <w:rPr>
                <w:rFonts w:hint="eastAsia" w:ascii="宋体" w:hAnsi="宋体" w:eastAsia="宋体" w:cs="宋体"/>
                <w:i w:val="0"/>
                <w:color w:val="auto"/>
                <w:sz w:val="20"/>
                <w:szCs w:val="20"/>
                <w:highlight w:val="none"/>
                <w:u w:val="none"/>
              </w:rPr>
            </w:pP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C7133F">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成本指标</w:t>
            </w: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76FF87">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经济成本指标</w:t>
            </w:r>
          </w:p>
        </w:tc>
        <w:tc>
          <w:tcPr>
            <w:tcW w:w="15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4B77603">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项目预算控制率</w:t>
            </w:r>
          </w:p>
        </w:tc>
        <w:tc>
          <w:tcPr>
            <w:tcW w:w="8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7DE5909">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&lt;=100%</w:t>
            </w: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6E2DF9">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w:t>
            </w:r>
          </w:p>
        </w:tc>
        <w:tc>
          <w:tcPr>
            <w:tcW w:w="9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E76CE1">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w:t>
            </w:r>
          </w:p>
        </w:tc>
        <w:tc>
          <w:tcPr>
            <w:tcW w:w="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031FB3">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w:t>
            </w:r>
          </w:p>
        </w:tc>
        <w:tc>
          <w:tcPr>
            <w:tcW w:w="10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8ED933">
            <w:pPr>
              <w:jc w:val="center"/>
              <w:rPr>
                <w:rFonts w:hint="eastAsia" w:ascii="宋体" w:hAnsi="宋体" w:eastAsia="宋体" w:cs="宋体"/>
                <w:i w:val="0"/>
                <w:color w:val="auto"/>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B6D936">
            <w:pPr>
              <w:jc w:val="center"/>
              <w:rPr>
                <w:rFonts w:hint="eastAsia" w:ascii="宋体" w:hAnsi="宋体" w:eastAsia="宋体" w:cs="宋体"/>
                <w:i w:val="0"/>
                <w:color w:val="auto"/>
                <w:sz w:val="20"/>
                <w:szCs w:val="20"/>
                <w:highlight w:val="none"/>
                <w:u w:val="none"/>
              </w:rPr>
            </w:pPr>
          </w:p>
        </w:tc>
      </w:tr>
      <w:tr w14:paraId="0E2CE064">
        <w:tblPrEx>
          <w:shd w:val="clear" w:color="auto" w:fill="auto"/>
          <w:tblCellMar>
            <w:top w:w="0" w:type="dxa"/>
            <w:left w:w="0" w:type="dxa"/>
            <w:bottom w:w="0" w:type="dxa"/>
            <w:right w:w="0" w:type="dxa"/>
          </w:tblCellMar>
        </w:tblPrEx>
        <w:trPr>
          <w:trHeight w:val="400" w:hRule="atLeast"/>
        </w:trPr>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AB1ABF">
            <w:pPr>
              <w:jc w:val="center"/>
              <w:rPr>
                <w:rFonts w:hint="eastAsia" w:ascii="宋体" w:hAnsi="宋体" w:eastAsia="宋体" w:cs="宋体"/>
                <w:i w:val="0"/>
                <w:color w:val="auto"/>
                <w:sz w:val="20"/>
                <w:szCs w:val="20"/>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CE335D">
            <w:pPr>
              <w:jc w:val="center"/>
              <w:rPr>
                <w:rFonts w:hint="eastAsia" w:ascii="宋体" w:hAnsi="宋体" w:eastAsia="宋体" w:cs="宋体"/>
                <w:i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7AB534">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社会成本指标</w:t>
            </w:r>
          </w:p>
        </w:tc>
        <w:tc>
          <w:tcPr>
            <w:tcW w:w="15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72A33D90">
            <w:pPr>
              <w:jc w:val="left"/>
              <w:rPr>
                <w:rFonts w:hint="eastAsia" w:ascii="宋体" w:hAnsi="宋体" w:eastAsia="宋体" w:cs="宋体"/>
                <w:i w:val="0"/>
                <w:color w:val="auto"/>
                <w:sz w:val="20"/>
                <w:szCs w:val="20"/>
                <w:highlight w:val="none"/>
                <w:u w:val="none"/>
              </w:rPr>
            </w:pPr>
          </w:p>
        </w:tc>
        <w:tc>
          <w:tcPr>
            <w:tcW w:w="8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14DBF6">
            <w:pPr>
              <w:jc w:val="center"/>
              <w:rPr>
                <w:rFonts w:hint="eastAsia" w:ascii="宋体" w:hAnsi="宋体" w:eastAsia="宋体" w:cs="宋体"/>
                <w:i w:val="0"/>
                <w:color w:val="auto"/>
                <w:sz w:val="20"/>
                <w:szCs w:val="20"/>
                <w:highlight w:val="none"/>
                <w:u w:val="none"/>
              </w:rPr>
            </w:pP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9A3AFC3">
            <w:pPr>
              <w:jc w:val="center"/>
              <w:rPr>
                <w:rFonts w:hint="eastAsia" w:ascii="宋体" w:hAnsi="宋体" w:eastAsia="宋体" w:cs="宋体"/>
                <w:i w:val="0"/>
                <w:color w:val="auto"/>
                <w:sz w:val="20"/>
                <w:szCs w:val="20"/>
                <w:highlight w:val="none"/>
                <w:u w:val="none"/>
              </w:rPr>
            </w:pPr>
          </w:p>
        </w:tc>
        <w:tc>
          <w:tcPr>
            <w:tcW w:w="9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98461D1">
            <w:pPr>
              <w:jc w:val="center"/>
              <w:rPr>
                <w:rFonts w:hint="eastAsia" w:ascii="宋体" w:hAnsi="宋体" w:eastAsia="宋体" w:cs="宋体"/>
                <w:i w:val="0"/>
                <w:color w:val="auto"/>
                <w:sz w:val="20"/>
                <w:szCs w:val="20"/>
                <w:highlight w:val="none"/>
                <w:u w:val="none"/>
              </w:rPr>
            </w:pPr>
          </w:p>
        </w:tc>
        <w:tc>
          <w:tcPr>
            <w:tcW w:w="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BAF08FD">
            <w:pPr>
              <w:jc w:val="center"/>
              <w:rPr>
                <w:rFonts w:hint="eastAsia" w:ascii="宋体" w:hAnsi="宋体" w:eastAsia="宋体" w:cs="宋体"/>
                <w:i w:val="0"/>
                <w:color w:val="auto"/>
                <w:sz w:val="20"/>
                <w:szCs w:val="20"/>
                <w:highlight w:val="none"/>
                <w:u w:val="none"/>
              </w:rPr>
            </w:pPr>
          </w:p>
        </w:tc>
        <w:tc>
          <w:tcPr>
            <w:tcW w:w="10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92FC0B">
            <w:pPr>
              <w:jc w:val="center"/>
              <w:rPr>
                <w:rFonts w:hint="eastAsia" w:ascii="宋体" w:hAnsi="宋体" w:eastAsia="宋体" w:cs="宋体"/>
                <w:i w:val="0"/>
                <w:color w:val="auto"/>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82E7B0">
            <w:pPr>
              <w:jc w:val="center"/>
              <w:rPr>
                <w:rFonts w:hint="eastAsia" w:ascii="宋体" w:hAnsi="宋体" w:eastAsia="宋体" w:cs="宋体"/>
                <w:i w:val="0"/>
                <w:color w:val="auto"/>
                <w:sz w:val="20"/>
                <w:szCs w:val="20"/>
                <w:highlight w:val="none"/>
                <w:u w:val="none"/>
              </w:rPr>
            </w:pPr>
          </w:p>
        </w:tc>
      </w:tr>
      <w:tr w14:paraId="78D56A33">
        <w:tblPrEx>
          <w:shd w:val="clear" w:color="auto" w:fill="auto"/>
          <w:tblCellMar>
            <w:top w:w="0" w:type="dxa"/>
            <w:left w:w="0" w:type="dxa"/>
            <w:bottom w:w="0" w:type="dxa"/>
            <w:right w:w="0" w:type="dxa"/>
          </w:tblCellMar>
        </w:tblPrEx>
        <w:trPr>
          <w:trHeight w:val="400" w:hRule="atLeast"/>
        </w:trPr>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D35A10">
            <w:pPr>
              <w:jc w:val="center"/>
              <w:rPr>
                <w:rFonts w:hint="eastAsia" w:ascii="宋体" w:hAnsi="宋体" w:eastAsia="宋体" w:cs="宋体"/>
                <w:i w:val="0"/>
                <w:color w:val="auto"/>
                <w:sz w:val="20"/>
                <w:szCs w:val="20"/>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D686DB">
            <w:pPr>
              <w:jc w:val="center"/>
              <w:rPr>
                <w:rFonts w:hint="eastAsia" w:ascii="宋体" w:hAnsi="宋体" w:eastAsia="宋体" w:cs="宋体"/>
                <w:i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7A79C1">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生态环境成本指标</w:t>
            </w:r>
          </w:p>
        </w:tc>
        <w:tc>
          <w:tcPr>
            <w:tcW w:w="15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4FBCDCF">
            <w:pPr>
              <w:jc w:val="left"/>
              <w:rPr>
                <w:rFonts w:hint="eastAsia" w:ascii="宋体" w:hAnsi="宋体" w:eastAsia="宋体" w:cs="宋体"/>
                <w:i w:val="0"/>
                <w:color w:val="auto"/>
                <w:sz w:val="20"/>
                <w:szCs w:val="20"/>
                <w:highlight w:val="none"/>
                <w:u w:val="none"/>
              </w:rPr>
            </w:pPr>
          </w:p>
        </w:tc>
        <w:tc>
          <w:tcPr>
            <w:tcW w:w="8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44818D">
            <w:pPr>
              <w:jc w:val="center"/>
              <w:rPr>
                <w:rFonts w:hint="eastAsia" w:ascii="宋体" w:hAnsi="宋体" w:eastAsia="宋体" w:cs="宋体"/>
                <w:i w:val="0"/>
                <w:color w:val="auto"/>
                <w:sz w:val="20"/>
                <w:szCs w:val="20"/>
                <w:highlight w:val="none"/>
                <w:u w:val="none"/>
              </w:rPr>
            </w:pP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FF6B6E">
            <w:pPr>
              <w:jc w:val="center"/>
              <w:rPr>
                <w:rFonts w:hint="eastAsia" w:ascii="宋体" w:hAnsi="宋体" w:eastAsia="宋体" w:cs="宋体"/>
                <w:i w:val="0"/>
                <w:color w:val="auto"/>
                <w:sz w:val="20"/>
                <w:szCs w:val="20"/>
                <w:highlight w:val="none"/>
                <w:u w:val="none"/>
              </w:rPr>
            </w:pPr>
          </w:p>
        </w:tc>
        <w:tc>
          <w:tcPr>
            <w:tcW w:w="9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11D21D">
            <w:pPr>
              <w:jc w:val="center"/>
              <w:rPr>
                <w:rFonts w:hint="eastAsia" w:ascii="宋体" w:hAnsi="宋体" w:eastAsia="宋体" w:cs="宋体"/>
                <w:i w:val="0"/>
                <w:color w:val="auto"/>
                <w:sz w:val="20"/>
                <w:szCs w:val="20"/>
                <w:highlight w:val="none"/>
                <w:u w:val="none"/>
              </w:rPr>
            </w:pPr>
          </w:p>
        </w:tc>
        <w:tc>
          <w:tcPr>
            <w:tcW w:w="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B1C375">
            <w:pPr>
              <w:jc w:val="center"/>
              <w:rPr>
                <w:rFonts w:hint="eastAsia" w:ascii="宋体" w:hAnsi="宋体" w:eastAsia="宋体" w:cs="宋体"/>
                <w:i w:val="0"/>
                <w:color w:val="auto"/>
                <w:sz w:val="20"/>
                <w:szCs w:val="20"/>
                <w:highlight w:val="none"/>
                <w:u w:val="none"/>
              </w:rPr>
            </w:pPr>
          </w:p>
        </w:tc>
        <w:tc>
          <w:tcPr>
            <w:tcW w:w="10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DE6612">
            <w:pPr>
              <w:jc w:val="center"/>
              <w:rPr>
                <w:rFonts w:hint="eastAsia" w:ascii="宋体" w:hAnsi="宋体" w:eastAsia="宋体" w:cs="宋体"/>
                <w:i w:val="0"/>
                <w:color w:val="auto"/>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70C878">
            <w:pPr>
              <w:jc w:val="center"/>
              <w:rPr>
                <w:rFonts w:hint="eastAsia" w:ascii="宋体" w:hAnsi="宋体" w:eastAsia="宋体" w:cs="宋体"/>
                <w:i w:val="0"/>
                <w:color w:val="auto"/>
                <w:sz w:val="20"/>
                <w:szCs w:val="20"/>
                <w:highlight w:val="none"/>
                <w:u w:val="none"/>
              </w:rPr>
            </w:pPr>
          </w:p>
        </w:tc>
      </w:tr>
      <w:tr w14:paraId="116FA1C5">
        <w:tblPrEx>
          <w:tblCellMar>
            <w:top w:w="0" w:type="dxa"/>
            <w:left w:w="0" w:type="dxa"/>
            <w:bottom w:w="0" w:type="dxa"/>
            <w:right w:w="0" w:type="dxa"/>
          </w:tblCellMar>
        </w:tblPrEx>
        <w:trPr>
          <w:trHeight w:val="400" w:hRule="atLeast"/>
        </w:trPr>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4A0593">
            <w:pPr>
              <w:jc w:val="center"/>
              <w:rPr>
                <w:rFonts w:hint="eastAsia" w:ascii="宋体" w:hAnsi="宋体" w:eastAsia="宋体" w:cs="宋体"/>
                <w:i w:val="0"/>
                <w:color w:val="auto"/>
                <w:sz w:val="20"/>
                <w:szCs w:val="20"/>
                <w:highlight w:val="none"/>
                <w:u w:val="none"/>
              </w:rPr>
            </w:pPr>
          </w:p>
        </w:tc>
        <w:tc>
          <w:tcPr>
            <w:tcW w:w="63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6B20DD2">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效益指标</w:t>
            </w: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015799E">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经济效益指标</w:t>
            </w:r>
          </w:p>
        </w:tc>
        <w:tc>
          <w:tcPr>
            <w:tcW w:w="15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7B49BD0">
            <w:pPr>
              <w:jc w:val="left"/>
              <w:rPr>
                <w:rFonts w:hint="eastAsia" w:ascii="宋体" w:hAnsi="宋体" w:eastAsia="宋体" w:cs="宋体"/>
                <w:i w:val="0"/>
                <w:color w:val="auto"/>
                <w:sz w:val="20"/>
                <w:szCs w:val="20"/>
                <w:highlight w:val="none"/>
                <w:u w:val="none"/>
              </w:rPr>
            </w:pPr>
          </w:p>
        </w:tc>
        <w:tc>
          <w:tcPr>
            <w:tcW w:w="8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FD1542">
            <w:pPr>
              <w:jc w:val="center"/>
              <w:rPr>
                <w:rFonts w:hint="eastAsia" w:ascii="宋体" w:hAnsi="宋体" w:eastAsia="宋体" w:cs="宋体"/>
                <w:i w:val="0"/>
                <w:color w:val="auto"/>
                <w:sz w:val="20"/>
                <w:szCs w:val="20"/>
                <w:highlight w:val="none"/>
                <w:u w:val="none"/>
              </w:rPr>
            </w:pP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C8EF0C">
            <w:pPr>
              <w:jc w:val="center"/>
              <w:rPr>
                <w:rFonts w:hint="eastAsia" w:ascii="宋体" w:hAnsi="宋体" w:eastAsia="宋体" w:cs="宋体"/>
                <w:i w:val="0"/>
                <w:color w:val="auto"/>
                <w:sz w:val="20"/>
                <w:szCs w:val="20"/>
                <w:highlight w:val="none"/>
                <w:u w:val="none"/>
              </w:rPr>
            </w:pPr>
          </w:p>
        </w:tc>
        <w:tc>
          <w:tcPr>
            <w:tcW w:w="9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C3271A">
            <w:pPr>
              <w:jc w:val="center"/>
              <w:rPr>
                <w:rFonts w:hint="eastAsia" w:ascii="宋体" w:hAnsi="宋体" w:eastAsia="宋体" w:cs="宋体"/>
                <w:i w:val="0"/>
                <w:color w:val="auto"/>
                <w:sz w:val="20"/>
                <w:szCs w:val="20"/>
                <w:highlight w:val="none"/>
                <w:u w:val="none"/>
              </w:rPr>
            </w:pPr>
          </w:p>
        </w:tc>
        <w:tc>
          <w:tcPr>
            <w:tcW w:w="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B26543">
            <w:pPr>
              <w:jc w:val="center"/>
              <w:rPr>
                <w:rFonts w:hint="eastAsia" w:ascii="宋体" w:hAnsi="宋体" w:eastAsia="宋体" w:cs="宋体"/>
                <w:i w:val="0"/>
                <w:color w:val="auto"/>
                <w:sz w:val="20"/>
                <w:szCs w:val="20"/>
                <w:highlight w:val="none"/>
                <w:u w:val="none"/>
              </w:rPr>
            </w:pPr>
          </w:p>
        </w:tc>
        <w:tc>
          <w:tcPr>
            <w:tcW w:w="10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DFB3577">
            <w:pPr>
              <w:jc w:val="center"/>
              <w:rPr>
                <w:rFonts w:hint="eastAsia" w:ascii="宋体" w:hAnsi="宋体" w:eastAsia="宋体" w:cs="宋体"/>
                <w:i w:val="0"/>
                <w:color w:val="auto"/>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3073599">
            <w:pPr>
              <w:jc w:val="center"/>
              <w:rPr>
                <w:rFonts w:hint="eastAsia" w:ascii="宋体" w:hAnsi="宋体" w:eastAsia="宋体" w:cs="宋体"/>
                <w:i w:val="0"/>
                <w:color w:val="auto"/>
                <w:sz w:val="20"/>
                <w:szCs w:val="20"/>
                <w:highlight w:val="none"/>
                <w:u w:val="none"/>
              </w:rPr>
            </w:pPr>
          </w:p>
        </w:tc>
      </w:tr>
      <w:tr w14:paraId="1353DB2B">
        <w:tblPrEx>
          <w:shd w:val="clear" w:color="auto" w:fill="auto"/>
          <w:tblCellMar>
            <w:top w:w="0" w:type="dxa"/>
            <w:left w:w="0" w:type="dxa"/>
            <w:bottom w:w="0" w:type="dxa"/>
            <w:right w:w="0" w:type="dxa"/>
          </w:tblCellMar>
        </w:tblPrEx>
        <w:trPr>
          <w:trHeight w:val="400" w:hRule="atLeast"/>
        </w:trPr>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9A877C">
            <w:pPr>
              <w:jc w:val="center"/>
              <w:rPr>
                <w:rFonts w:hint="eastAsia" w:ascii="宋体" w:hAnsi="宋体" w:eastAsia="宋体" w:cs="宋体"/>
                <w:i w:val="0"/>
                <w:color w:val="auto"/>
                <w:sz w:val="20"/>
                <w:szCs w:val="20"/>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F71092">
            <w:pPr>
              <w:jc w:val="center"/>
              <w:rPr>
                <w:rFonts w:hint="eastAsia" w:ascii="宋体" w:hAnsi="宋体" w:eastAsia="宋体" w:cs="宋体"/>
                <w:i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B7E252">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社会效益指标</w:t>
            </w:r>
          </w:p>
        </w:tc>
        <w:tc>
          <w:tcPr>
            <w:tcW w:w="15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7BFE8AF">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有效提升疫情防控能力</w:t>
            </w:r>
          </w:p>
        </w:tc>
        <w:tc>
          <w:tcPr>
            <w:tcW w:w="8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CB4BBF">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有效提升</w:t>
            </w: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0DDB65">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有所提升</w:t>
            </w:r>
          </w:p>
        </w:tc>
        <w:tc>
          <w:tcPr>
            <w:tcW w:w="9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3E2617A">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w:t>
            </w:r>
          </w:p>
        </w:tc>
        <w:tc>
          <w:tcPr>
            <w:tcW w:w="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4BB2C40">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w:t>
            </w:r>
          </w:p>
        </w:tc>
        <w:tc>
          <w:tcPr>
            <w:tcW w:w="10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2105D3">
            <w:pPr>
              <w:jc w:val="center"/>
              <w:rPr>
                <w:rFonts w:hint="eastAsia" w:ascii="宋体" w:hAnsi="宋体" w:eastAsia="宋体" w:cs="宋体"/>
                <w:i w:val="0"/>
                <w:color w:val="auto"/>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3D33A70">
            <w:pPr>
              <w:jc w:val="center"/>
              <w:rPr>
                <w:rFonts w:hint="eastAsia" w:ascii="宋体" w:hAnsi="宋体" w:eastAsia="宋体" w:cs="宋体"/>
                <w:i w:val="0"/>
                <w:color w:val="auto"/>
                <w:sz w:val="20"/>
                <w:szCs w:val="20"/>
                <w:highlight w:val="none"/>
                <w:u w:val="none"/>
              </w:rPr>
            </w:pPr>
          </w:p>
        </w:tc>
      </w:tr>
      <w:tr w14:paraId="5FD3E173">
        <w:tblPrEx>
          <w:shd w:val="clear" w:color="auto" w:fill="auto"/>
          <w:tblCellMar>
            <w:top w:w="0" w:type="dxa"/>
            <w:left w:w="0" w:type="dxa"/>
            <w:bottom w:w="0" w:type="dxa"/>
            <w:right w:w="0" w:type="dxa"/>
          </w:tblCellMar>
        </w:tblPrEx>
        <w:trPr>
          <w:trHeight w:val="400" w:hRule="atLeast"/>
        </w:trPr>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149F0A7">
            <w:pPr>
              <w:jc w:val="center"/>
              <w:rPr>
                <w:rFonts w:hint="eastAsia" w:ascii="宋体" w:hAnsi="宋体" w:eastAsia="宋体" w:cs="宋体"/>
                <w:i w:val="0"/>
                <w:color w:val="auto"/>
                <w:sz w:val="20"/>
                <w:szCs w:val="20"/>
                <w:highlight w:val="none"/>
                <w:u w:val="none"/>
              </w:rPr>
            </w:pPr>
          </w:p>
        </w:tc>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5BAFA5">
            <w:pPr>
              <w:jc w:val="center"/>
              <w:rPr>
                <w:rFonts w:hint="eastAsia" w:ascii="宋体" w:hAnsi="宋体" w:eastAsia="宋体" w:cs="宋体"/>
                <w:i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D6BBD3E">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生态效益指标</w:t>
            </w:r>
          </w:p>
        </w:tc>
        <w:tc>
          <w:tcPr>
            <w:tcW w:w="15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4C9D25">
            <w:pPr>
              <w:jc w:val="left"/>
              <w:rPr>
                <w:rFonts w:hint="eastAsia" w:ascii="宋体" w:hAnsi="宋体" w:eastAsia="宋体" w:cs="宋体"/>
                <w:i w:val="0"/>
                <w:color w:val="auto"/>
                <w:sz w:val="20"/>
                <w:szCs w:val="20"/>
                <w:highlight w:val="none"/>
                <w:u w:val="none"/>
              </w:rPr>
            </w:pPr>
          </w:p>
        </w:tc>
        <w:tc>
          <w:tcPr>
            <w:tcW w:w="8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A0F1FA7">
            <w:pPr>
              <w:jc w:val="center"/>
              <w:rPr>
                <w:rFonts w:hint="eastAsia" w:ascii="宋体" w:hAnsi="宋体" w:eastAsia="宋体" w:cs="宋体"/>
                <w:i w:val="0"/>
                <w:color w:val="auto"/>
                <w:sz w:val="20"/>
                <w:szCs w:val="20"/>
                <w:highlight w:val="none"/>
                <w:u w:val="none"/>
              </w:rPr>
            </w:pP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B16C9C">
            <w:pPr>
              <w:jc w:val="center"/>
              <w:rPr>
                <w:rFonts w:hint="eastAsia" w:ascii="宋体" w:hAnsi="宋体" w:eastAsia="宋体" w:cs="宋体"/>
                <w:i w:val="0"/>
                <w:color w:val="auto"/>
                <w:sz w:val="20"/>
                <w:szCs w:val="20"/>
                <w:highlight w:val="none"/>
                <w:u w:val="none"/>
              </w:rPr>
            </w:pPr>
          </w:p>
        </w:tc>
        <w:tc>
          <w:tcPr>
            <w:tcW w:w="9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2415C04">
            <w:pPr>
              <w:jc w:val="center"/>
              <w:rPr>
                <w:rFonts w:hint="eastAsia" w:ascii="宋体" w:hAnsi="宋体" w:eastAsia="宋体" w:cs="宋体"/>
                <w:i w:val="0"/>
                <w:color w:val="auto"/>
                <w:sz w:val="20"/>
                <w:szCs w:val="20"/>
                <w:highlight w:val="none"/>
                <w:u w:val="none"/>
              </w:rPr>
            </w:pPr>
          </w:p>
        </w:tc>
        <w:tc>
          <w:tcPr>
            <w:tcW w:w="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E6E5B81">
            <w:pPr>
              <w:jc w:val="center"/>
              <w:rPr>
                <w:rFonts w:hint="eastAsia" w:ascii="宋体" w:hAnsi="宋体" w:eastAsia="宋体" w:cs="宋体"/>
                <w:i w:val="0"/>
                <w:color w:val="auto"/>
                <w:sz w:val="20"/>
                <w:szCs w:val="20"/>
                <w:highlight w:val="none"/>
                <w:u w:val="none"/>
              </w:rPr>
            </w:pPr>
          </w:p>
        </w:tc>
        <w:tc>
          <w:tcPr>
            <w:tcW w:w="10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3129E8F">
            <w:pPr>
              <w:jc w:val="center"/>
              <w:rPr>
                <w:rFonts w:hint="eastAsia" w:ascii="宋体" w:hAnsi="宋体" w:eastAsia="宋体" w:cs="宋体"/>
                <w:i w:val="0"/>
                <w:color w:val="auto"/>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155E547">
            <w:pPr>
              <w:jc w:val="center"/>
              <w:rPr>
                <w:rFonts w:hint="eastAsia" w:ascii="宋体" w:hAnsi="宋体" w:eastAsia="宋体" w:cs="宋体"/>
                <w:i w:val="0"/>
                <w:color w:val="auto"/>
                <w:sz w:val="20"/>
                <w:szCs w:val="20"/>
                <w:highlight w:val="none"/>
                <w:u w:val="none"/>
              </w:rPr>
            </w:pPr>
          </w:p>
        </w:tc>
      </w:tr>
      <w:tr w14:paraId="70CB08CB">
        <w:tblPrEx>
          <w:shd w:val="clear" w:color="auto" w:fill="auto"/>
          <w:tblCellMar>
            <w:top w:w="0" w:type="dxa"/>
            <w:left w:w="0" w:type="dxa"/>
            <w:bottom w:w="0" w:type="dxa"/>
            <w:right w:w="0" w:type="dxa"/>
          </w:tblCellMar>
        </w:tblPrEx>
        <w:trPr>
          <w:trHeight w:val="400" w:hRule="atLeast"/>
        </w:trPr>
        <w:tc>
          <w:tcPr>
            <w:tcW w:w="63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6F1F3B">
            <w:pPr>
              <w:jc w:val="center"/>
              <w:rPr>
                <w:rFonts w:hint="eastAsia" w:ascii="宋体" w:hAnsi="宋体" w:eastAsia="宋体" w:cs="宋体"/>
                <w:i w:val="0"/>
                <w:color w:val="auto"/>
                <w:sz w:val="20"/>
                <w:szCs w:val="20"/>
                <w:highlight w:val="none"/>
                <w:u w:val="none"/>
              </w:rPr>
            </w:pP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F9DBC6">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满意度指标</w:t>
            </w:r>
          </w:p>
        </w:tc>
        <w:tc>
          <w:tcPr>
            <w:tcW w:w="63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7668BD">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满意度指标</w:t>
            </w:r>
          </w:p>
        </w:tc>
        <w:tc>
          <w:tcPr>
            <w:tcW w:w="1591"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10DEEEE8">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门诊患者满意度</w:t>
            </w:r>
          </w:p>
        </w:tc>
        <w:tc>
          <w:tcPr>
            <w:tcW w:w="87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5C8D0B">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&gt;=90%</w:t>
            </w:r>
          </w:p>
        </w:tc>
        <w:tc>
          <w:tcPr>
            <w:tcW w:w="7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5537C8C">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=92%</w:t>
            </w:r>
          </w:p>
        </w:tc>
        <w:tc>
          <w:tcPr>
            <w:tcW w:w="9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564FCB">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E4B2AE">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0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1642D3">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门诊患者对服务较为满意，故存在偏差。改进措施：下年度合理填报目标值。</w:t>
            </w: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78C2A5">
            <w:pPr>
              <w:keepNext w:val="0"/>
              <w:keepLines w:val="0"/>
              <w:widowControl/>
              <w:suppressLineNumbers w:val="0"/>
              <w:jc w:val="center"/>
              <w:textAlignment w:val="center"/>
              <w:rPr>
                <w:rFonts w:hint="eastAsia" w:ascii="宋体" w:hAnsi="宋体" w:eastAsia="宋体" w:cs="宋体"/>
                <w:i w:val="0"/>
                <w:color w:val="auto"/>
                <w:kern w:val="0"/>
                <w:sz w:val="20"/>
                <w:szCs w:val="20"/>
                <w:highlight w:val="none"/>
                <w:u w:val="none"/>
                <w:lang w:val="en-US" w:eastAsia="zh-CN" w:bidi="ar"/>
              </w:rPr>
            </w:pPr>
          </w:p>
        </w:tc>
      </w:tr>
      <w:tr w14:paraId="0F181721">
        <w:tblPrEx>
          <w:tblCellMar>
            <w:top w:w="0" w:type="dxa"/>
            <w:left w:w="0" w:type="dxa"/>
            <w:bottom w:w="0" w:type="dxa"/>
            <w:right w:w="0" w:type="dxa"/>
          </w:tblCellMar>
        </w:tblPrEx>
        <w:trPr>
          <w:gridAfter w:val="1"/>
          <w:wAfter w:w="2" w:type="dxa"/>
          <w:trHeight w:val="270" w:hRule="atLeast"/>
        </w:trPr>
        <w:tc>
          <w:tcPr>
            <w:tcW w:w="5149"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4FDAE4">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总分</w:t>
            </w:r>
          </w:p>
        </w:tc>
        <w:tc>
          <w:tcPr>
            <w:tcW w:w="967"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645294">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w:t>
            </w:r>
          </w:p>
        </w:tc>
        <w:tc>
          <w:tcPr>
            <w:tcW w:w="879"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080FC0">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100.00分</w:t>
            </w:r>
          </w:p>
        </w:tc>
        <w:tc>
          <w:tcPr>
            <w:tcW w:w="104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795C6F">
            <w:pPr>
              <w:jc w:val="center"/>
              <w:rPr>
                <w:rFonts w:hint="eastAsia" w:ascii="宋体" w:hAnsi="宋体" w:eastAsia="宋体" w:cs="宋体"/>
                <w:i w:val="0"/>
                <w:color w:val="auto"/>
                <w:sz w:val="20"/>
                <w:szCs w:val="20"/>
                <w:highlight w:val="none"/>
                <w:u w:val="none"/>
              </w:rPr>
            </w:pPr>
          </w:p>
        </w:tc>
        <w:tc>
          <w:tcPr>
            <w:tcW w:w="63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02D64F">
            <w:pPr>
              <w:jc w:val="center"/>
              <w:rPr>
                <w:rFonts w:hint="eastAsia" w:ascii="宋体" w:hAnsi="宋体" w:eastAsia="宋体" w:cs="宋体"/>
                <w:i w:val="0"/>
                <w:color w:val="auto"/>
                <w:sz w:val="20"/>
                <w:szCs w:val="20"/>
                <w:highlight w:val="none"/>
                <w:u w:val="none"/>
              </w:rPr>
            </w:pPr>
          </w:p>
        </w:tc>
      </w:tr>
    </w:tbl>
    <w:p w14:paraId="4486B242">
      <w:pPr>
        <w:pStyle w:val="2"/>
        <w:rPr>
          <w:color w:val="auto"/>
          <w:highlight w:val="none"/>
        </w:rPr>
        <w:sectPr>
          <w:footerReference r:id="rId3" w:type="default"/>
          <w:pgSz w:w="11906" w:h="16838"/>
          <w:pgMar w:top="1440" w:right="1558" w:bottom="1440" w:left="1800" w:header="851" w:footer="992" w:gutter="0"/>
          <w:cols w:space="425" w:num="1"/>
          <w:docGrid w:type="lines" w:linePitch="312" w:charSpace="0"/>
        </w:sectPr>
      </w:pPr>
    </w:p>
    <w:p w14:paraId="00CB0E3D">
      <w:pPr>
        <w:spacing w:line="600" w:lineRule="exact"/>
        <w:rPr>
          <w:rFonts w:hint="eastAsia" w:ascii="黑体" w:hAnsi="黑体" w:eastAsia="黑体" w:cs="黑体"/>
          <w:color w:val="auto"/>
          <w:highlight w:val="none"/>
        </w:rPr>
      </w:pPr>
      <w:r>
        <w:rPr>
          <w:rFonts w:hint="eastAsia" w:ascii="黑体" w:hAnsi="黑体" w:eastAsia="黑体" w:cs="黑体"/>
          <w:bCs/>
          <w:color w:val="auto"/>
          <w:sz w:val="32"/>
          <w:szCs w:val="32"/>
          <w:highlight w:val="none"/>
        </w:rPr>
        <w:t>附件1</w:t>
      </w:r>
    </w:p>
    <w:p w14:paraId="456312FC">
      <w:pPr>
        <w:pStyle w:val="19"/>
        <w:ind w:firstLine="562"/>
        <w:jc w:val="center"/>
        <w:rPr>
          <w:color w:val="auto"/>
          <w:sz w:val="28"/>
          <w:szCs w:val="40"/>
          <w:highlight w:val="none"/>
        </w:rPr>
      </w:pPr>
      <w:bookmarkStart w:id="7" w:name="_Toc26499_WPSOffice_Level2"/>
      <w:bookmarkStart w:id="8" w:name="_Toc30064_WPSOffice_Level1"/>
      <w:r>
        <w:rPr>
          <w:rFonts w:hint="eastAsia"/>
          <w:b/>
          <w:bCs/>
          <w:color w:val="auto"/>
          <w:sz w:val="28"/>
          <w:szCs w:val="40"/>
          <w:highlight w:val="none"/>
          <w:lang w:val="en-US" w:eastAsia="zh-CN"/>
        </w:rPr>
        <w:t>中央疫情防控财力补助资金--防疫物资</w:t>
      </w:r>
      <w:r>
        <w:rPr>
          <w:rFonts w:hint="eastAsia"/>
          <w:b/>
          <w:bCs/>
          <w:color w:val="auto"/>
          <w:sz w:val="28"/>
          <w:szCs w:val="40"/>
          <w:highlight w:val="none"/>
        </w:rPr>
        <w:t>项目绩效评价指标体系及综合评分表</w:t>
      </w:r>
      <w:bookmarkEnd w:id="7"/>
      <w:bookmarkEnd w:id="8"/>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19282B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49424A57">
            <w:pPr>
              <w:widowControl/>
              <w:spacing w:line="0" w:lineRule="atLeast"/>
              <w:jc w:val="center"/>
              <w:rPr>
                <w:b/>
                <w:bCs/>
                <w:color w:val="auto"/>
                <w:kern w:val="0"/>
                <w:sz w:val="22"/>
                <w:szCs w:val="22"/>
                <w:highlight w:val="none"/>
              </w:rPr>
            </w:pPr>
            <w:r>
              <w:rPr>
                <w:b/>
                <w:bCs/>
                <w:color w:val="auto"/>
                <w:kern w:val="0"/>
                <w:sz w:val="22"/>
                <w:szCs w:val="22"/>
                <w:highlight w:val="none"/>
              </w:rPr>
              <w:t>一级指标</w:t>
            </w:r>
          </w:p>
        </w:tc>
        <w:tc>
          <w:tcPr>
            <w:tcW w:w="764" w:type="dxa"/>
            <w:shd w:val="clear" w:color="auto" w:fill="FFFFFF"/>
            <w:vAlign w:val="center"/>
          </w:tcPr>
          <w:p w14:paraId="6AE448D6">
            <w:pPr>
              <w:widowControl/>
              <w:spacing w:line="0" w:lineRule="atLeast"/>
              <w:jc w:val="center"/>
              <w:rPr>
                <w:b/>
                <w:bCs/>
                <w:color w:val="auto"/>
                <w:kern w:val="0"/>
                <w:sz w:val="22"/>
                <w:szCs w:val="22"/>
                <w:highlight w:val="none"/>
              </w:rPr>
            </w:pPr>
            <w:r>
              <w:rPr>
                <w:b/>
                <w:bCs/>
                <w:color w:val="auto"/>
                <w:kern w:val="0"/>
                <w:sz w:val="22"/>
                <w:szCs w:val="22"/>
                <w:highlight w:val="none"/>
              </w:rPr>
              <w:t>二级指标</w:t>
            </w:r>
          </w:p>
        </w:tc>
        <w:tc>
          <w:tcPr>
            <w:tcW w:w="873" w:type="dxa"/>
            <w:shd w:val="clear" w:color="auto" w:fill="FFFFFF"/>
            <w:vAlign w:val="center"/>
          </w:tcPr>
          <w:p w14:paraId="2A6A4F49">
            <w:pPr>
              <w:widowControl/>
              <w:spacing w:line="0" w:lineRule="atLeast"/>
              <w:jc w:val="center"/>
              <w:rPr>
                <w:b/>
                <w:bCs/>
                <w:color w:val="auto"/>
                <w:kern w:val="0"/>
                <w:sz w:val="22"/>
                <w:szCs w:val="22"/>
                <w:highlight w:val="none"/>
              </w:rPr>
            </w:pPr>
            <w:r>
              <w:rPr>
                <w:b/>
                <w:bCs/>
                <w:color w:val="auto"/>
                <w:kern w:val="0"/>
                <w:sz w:val="22"/>
                <w:szCs w:val="22"/>
                <w:highlight w:val="none"/>
              </w:rPr>
              <w:t>三级指标</w:t>
            </w:r>
          </w:p>
        </w:tc>
        <w:tc>
          <w:tcPr>
            <w:tcW w:w="2353" w:type="dxa"/>
            <w:shd w:val="clear" w:color="auto" w:fill="FFFFFF"/>
            <w:vAlign w:val="center"/>
          </w:tcPr>
          <w:p w14:paraId="6F8F7D88">
            <w:pPr>
              <w:widowControl/>
              <w:spacing w:line="0" w:lineRule="atLeast"/>
              <w:jc w:val="center"/>
              <w:rPr>
                <w:b/>
                <w:bCs/>
                <w:color w:val="auto"/>
                <w:kern w:val="0"/>
                <w:sz w:val="22"/>
                <w:szCs w:val="22"/>
                <w:highlight w:val="none"/>
              </w:rPr>
            </w:pPr>
            <w:r>
              <w:rPr>
                <w:b/>
                <w:bCs/>
                <w:color w:val="auto"/>
                <w:kern w:val="0"/>
                <w:sz w:val="22"/>
                <w:szCs w:val="22"/>
                <w:highlight w:val="none"/>
              </w:rPr>
              <w:t>指标解释</w:t>
            </w:r>
          </w:p>
        </w:tc>
        <w:tc>
          <w:tcPr>
            <w:tcW w:w="5198" w:type="dxa"/>
            <w:shd w:val="clear" w:color="auto" w:fill="FFFFFF"/>
            <w:vAlign w:val="center"/>
          </w:tcPr>
          <w:p w14:paraId="2FB78159">
            <w:pPr>
              <w:widowControl/>
              <w:spacing w:line="0" w:lineRule="atLeast"/>
              <w:jc w:val="center"/>
              <w:rPr>
                <w:b/>
                <w:bCs/>
                <w:color w:val="auto"/>
                <w:kern w:val="0"/>
                <w:sz w:val="22"/>
                <w:szCs w:val="22"/>
                <w:highlight w:val="none"/>
              </w:rPr>
            </w:pPr>
            <w:r>
              <w:rPr>
                <w:b/>
                <w:bCs/>
                <w:color w:val="auto"/>
                <w:kern w:val="0"/>
                <w:sz w:val="22"/>
                <w:szCs w:val="22"/>
                <w:highlight w:val="none"/>
              </w:rPr>
              <w:t>指标说明</w:t>
            </w:r>
          </w:p>
        </w:tc>
        <w:tc>
          <w:tcPr>
            <w:tcW w:w="1300" w:type="dxa"/>
            <w:shd w:val="clear" w:color="auto" w:fill="FFFFFF"/>
            <w:vAlign w:val="center"/>
          </w:tcPr>
          <w:p w14:paraId="0B41B6E5">
            <w:pPr>
              <w:widowControl/>
              <w:spacing w:line="0" w:lineRule="atLeast"/>
              <w:jc w:val="center"/>
              <w:rPr>
                <w:b/>
                <w:bCs/>
                <w:color w:val="auto"/>
                <w:kern w:val="0"/>
                <w:sz w:val="22"/>
                <w:szCs w:val="22"/>
                <w:highlight w:val="none"/>
              </w:rPr>
            </w:pPr>
            <w:r>
              <w:rPr>
                <w:b/>
                <w:bCs/>
                <w:color w:val="auto"/>
                <w:kern w:val="0"/>
                <w:sz w:val="22"/>
                <w:szCs w:val="22"/>
                <w:highlight w:val="none"/>
              </w:rPr>
              <w:t>权重</w:t>
            </w:r>
          </w:p>
        </w:tc>
        <w:tc>
          <w:tcPr>
            <w:tcW w:w="1363" w:type="dxa"/>
            <w:shd w:val="clear" w:color="auto" w:fill="FFFFFF"/>
            <w:vAlign w:val="center"/>
          </w:tcPr>
          <w:p w14:paraId="26CB43DA">
            <w:pPr>
              <w:widowControl/>
              <w:spacing w:line="0" w:lineRule="atLeast"/>
              <w:jc w:val="center"/>
              <w:rPr>
                <w:b/>
                <w:bCs/>
                <w:color w:val="auto"/>
                <w:kern w:val="0"/>
                <w:sz w:val="22"/>
                <w:szCs w:val="22"/>
                <w:highlight w:val="none"/>
              </w:rPr>
            </w:pPr>
            <w:r>
              <w:rPr>
                <w:b/>
                <w:bCs/>
                <w:color w:val="auto"/>
                <w:kern w:val="0"/>
                <w:sz w:val="22"/>
                <w:szCs w:val="22"/>
                <w:highlight w:val="none"/>
              </w:rPr>
              <w:t>得分</w:t>
            </w:r>
          </w:p>
        </w:tc>
      </w:tr>
      <w:tr w14:paraId="6155D3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38AFF448">
            <w:pPr>
              <w:widowControl/>
              <w:spacing w:line="0" w:lineRule="atLeast"/>
              <w:jc w:val="center"/>
              <w:rPr>
                <w:color w:val="auto"/>
                <w:kern w:val="0"/>
                <w:sz w:val="22"/>
                <w:szCs w:val="22"/>
                <w:highlight w:val="none"/>
              </w:rPr>
            </w:pPr>
          </w:p>
          <w:p w14:paraId="265D7681">
            <w:pPr>
              <w:widowControl/>
              <w:spacing w:line="0" w:lineRule="atLeast"/>
              <w:jc w:val="center"/>
              <w:rPr>
                <w:color w:val="auto"/>
                <w:kern w:val="0"/>
                <w:sz w:val="22"/>
                <w:szCs w:val="22"/>
                <w:highlight w:val="none"/>
              </w:rPr>
            </w:pPr>
          </w:p>
          <w:p w14:paraId="725809B3">
            <w:pPr>
              <w:widowControl/>
              <w:spacing w:line="0" w:lineRule="atLeast"/>
              <w:jc w:val="center"/>
              <w:rPr>
                <w:color w:val="auto"/>
                <w:kern w:val="0"/>
                <w:sz w:val="22"/>
                <w:szCs w:val="22"/>
                <w:highlight w:val="none"/>
              </w:rPr>
            </w:pPr>
          </w:p>
          <w:p w14:paraId="753FBB50">
            <w:pPr>
              <w:widowControl/>
              <w:spacing w:line="0" w:lineRule="atLeast"/>
              <w:jc w:val="center"/>
              <w:rPr>
                <w:color w:val="auto"/>
                <w:kern w:val="0"/>
                <w:sz w:val="22"/>
                <w:szCs w:val="22"/>
                <w:highlight w:val="none"/>
              </w:rPr>
            </w:pPr>
          </w:p>
          <w:p w14:paraId="54A9C6F2">
            <w:pPr>
              <w:widowControl/>
              <w:spacing w:line="0" w:lineRule="atLeast"/>
              <w:jc w:val="center"/>
              <w:rPr>
                <w:color w:val="auto"/>
                <w:kern w:val="0"/>
                <w:sz w:val="22"/>
                <w:szCs w:val="22"/>
                <w:highlight w:val="none"/>
              </w:rPr>
            </w:pPr>
          </w:p>
          <w:p w14:paraId="038522F3">
            <w:pPr>
              <w:widowControl/>
              <w:spacing w:line="0" w:lineRule="atLeast"/>
              <w:jc w:val="center"/>
              <w:rPr>
                <w:color w:val="auto"/>
                <w:kern w:val="0"/>
                <w:sz w:val="22"/>
                <w:szCs w:val="22"/>
                <w:highlight w:val="none"/>
              </w:rPr>
            </w:pPr>
          </w:p>
          <w:p w14:paraId="54099016">
            <w:pPr>
              <w:widowControl/>
              <w:spacing w:line="0" w:lineRule="atLeast"/>
              <w:jc w:val="center"/>
              <w:rPr>
                <w:color w:val="auto"/>
                <w:kern w:val="0"/>
                <w:sz w:val="22"/>
                <w:szCs w:val="22"/>
                <w:highlight w:val="none"/>
              </w:rPr>
            </w:pPr>
            <w:r>
              <w:rPr>
                <w:color w:val="auto"/>
                <w:kern w:val="0"/>
                <w:sz w:val="22"/>
                <w:szCs w:val="22"/>
                <w:highlight w:val="none"/>
              </w:rPr>
              <w:t>决策　</w:t>
            </w:r>
          </w:p>
        </w:tc>
        <w:tc>
          <w:tcPr>
            <w:tcW w:w="764" w:type="dxa"/>
            <w:vMerge w:val="restart"/>
            <w:shd w:val="clear" w:color="auto" w:fill="FFFFFF"/>
            <w:vAlign w:val="center"/>
          </w:tcPr>
          <w:p w14:paraId="2DC32C4D">
            <w:pPr>
              <w:widowControl/>
              <w:spacing w:line="0" w:lineRule="atLeast"/>
              <w:jc w:val="center"/>
              <w:rPr>
                <w:color w:val="auto"/>
                <w:kern w:val="0"/>
                <w:sz w:val="22"/>
                <w:szCs w:val="22"/>
                <w:highlight w:val="none"/>
              </w:rPr>
            </w:pPr>
            <w:r>
              <w:rPr>
                <w:color w:val="auto"/>
                <w:kern w:val="0"/>
                <w:sz w:val="22"/>
                <w:szCs w:val="22"/>
                <w:highlight w:val="none"/>
              </w:rPr>
              <w:t>项目立项　</w:t>
            </w:r>
          </w:p>
        </w:tc>
        <w:tc>
          <w:tcPr>
            <w:tcW w:w="873" w:type="dxa"/>
            <w:shd w:val="clear" w:color="auto" w:fill="FFFFFF"/>
            <w:vAlign w:val="center"/>
          </w:tcPr>
          <w:p w14:paraId="6A203CB8">
            <w:pPr>
              <w:widowControl/>
              <w:spacing w:line="0" w:lineRule="atLeast"/>
              <w:jc w:val="center"/>
              <w:rPr>
                <w:color w:val="auto"/>
                <w:kern w:val="0"/>
                <w:sz w:val="22"/>
                <w:szCs w:val="22"/>
                <w:highlight w:val="none"/>
              </w:rPr>
            </w:pPr>
            <w:r>
              <w:rPr>
                <w:color w:val="auto"/>
                <w:kern w:val="0"/>
                <w:sz w:val="22"/>
                <w:szCs w:val="22"/>
                <w:highlight w:val="none"/>
              </w:rPr>
              <w:t>立项依据</w:t>
            </w:r>
          </w:p>
          <w:p w14:paraId="4E32854F">
            <w:pPr>
              <w:widowControl/>
              <w:spacing w:line="0" w:lineRule="atLeast"/>
              <w:jc w:val="center"/>
              <w:rPr>
                <w:color w:val="auto"/>
                <w:kern w:val="0"/>
                <w:sz w:val="22"/>
                <w:szCs w:val="22"/>
                <w:highlight w:val="none"/>
              </w:rPr>
            </w:pPr>
            <w:r>
              <w:rPr>
                <w:color w:val="auto"/>
                <w:kern w:val="0"/>
                <w:sz w:val="22"/>
                <w:szCs w:val="22"/>
                <w:highlight w:val="none"/>
              </w:rPr>
              <w:t>充分性</w:t>
            </w:r>
          </w:p>
        </w:tc>
        <w:tc>
          <w:tcPr>
            <w:tcW w:w="2353" w:type="dxa"/>
            <w:shd w:val="clear" w:color="auto" w:fill="FFFFFF"/>
            <w:vAlign w:val="center"/>
          </w:tcPr>
          <w:p w14:paraId="5B99C41F">
            <w:pPr>
              <w:widowControl/>
              <w:spacing w:line="0" w:lineRule="atLeast"/>
              <w:rPr>
                <w:color w:val="auto"/>
                <w:kern w:val="0"/>
                <w:sz w:val="22"/>
                <w:szCs w:val="22"/>
                <w:highlight w:val="none"/>
              </w:rPr>
            </w:pPr>
            <w:r>
              <w:rPr>
                <w:color w:val="auto"/>
                <w:kern w:val="0"/>
                <w:sz w:val="22"/>
                <w:szCs w:val="22"/>
                <w:highlight w:val="none"/>
              </w:rPr>
              <w:t>项目立项是否符合法律法规、相关政策、发展规划以及部门职责，用以反映和考核项目立项依据情况。</w:t>
            </w:r>
          </w:p>
        </w:tc>
        <w:tc>
          <w:tcPr>
            <w:tcW w:w="5198" w:type="dxa"/>
            <w:shd w:val="clear" w:color="auto" w:fill="FFFFFF"/>
            <w:vAlign w:val="center"/>
          </w:tcPr>
          <w:p w14:paraId="358AE624">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①项目立项是否符合国家法律法规、国民经济发展规划和相关政策；</w:t>
            </w:r>
            <w:r>
              <w:rPr>
                <w:color w:val="auto"/>
                <w:kern w:val="0"/>
                <w:sz w:val="22"/>
                <w:szCs w:val="22"/>
                <w:highlight w:val="none"/>
              </w:rPr>
              <w:br w:type="textWrapping"/>
            </w:r>
            <w:r>
              <w:rPr>
                <w:color w:val="auto"/>
                <w:kern w:val="0"/>
                <w:sz w:val="22"/>
                <w:szCs w:val="22"/>
                <w:highlight w:val="none"/>
              </w:rPr>
              <w:t>②项目立项是否符合行业发展规划和政策要求；</w:t>
            </w:r>
            <w:r>
              <w:rPr>
                <w:color w:val="auto"/>
                <w:kern w:val="0"/>
                <w:sz w:val="22"/>
                <w:szCs w:val="22"/>
                <w:highlight w:val="none"/>
              </w:rPr>
              <w:br w:type="textWrapping"/>
            </w:r>
            <w:r>
              <w:rPr>
                <w:color w:val="auto"/>
                <w:kern w:val="0"/>
                <w:sz w:val="22"/>
                <w:szCs w:val="22"/>
                <w:highlight w:val="none"/>
              </w:rPr>
              <w:t>③项目立项是否与部门职责范围相符，属于部门履职所需；</w:t>
            </w:r>
            <w:r>
              <w:rPr>
                <w:color w:val="auto"/>
                <w:kern w:val="0"/>
                <w:sz w:val="22"/>
                <w:szCs w:val="22"/>
                <w:highlight w:val="none"/>
              </w:rPr>
              <w:br w:type="textWrapping"/>
            </w:r>
            <w:r>
              <w:rPr>
                <w:color w:val="auto"/>
                <w:kern w:val="0"/>
                <w:sz w:val="22"/>
                <w:szCs w:val="22"/>
                <w:highlight w:val="none"/>
              </w:rPr>
              <w:t>④项目是否属于公共财政支持范围，是否符合中央、地方事权支出责任划分原则；</w:t>
            </w:r>
            <w:r>
              <w:rPr>
                <w:color w:val="auto"/>
                <w:kern w:val="0"/>
                <w:sz w:val="22"/>
                <w:szCs w:val="22"/>
                <w:highlight w:val="none"/>
              </w:rPr>
              <w:br w:type="textWrapping"/>
            </w:r>
            <w:r>
              <w:rPr>
                <w:color w:val="auto"/>
                <w:kern w:val="0"/>
                <w:sz w:val="22"/>
                <w:szCs w:val="22"/>
                <w:highlight w:val="none"/>
              </w:rPr>
              <w:t>⑤项目是否与相关部门同类项目或部门内部相关项目重复。</w:t>
            </w:r>
          </w:p>
        </w:tc>
        <w:tc>
          <w:tcPr>
            <w:tcW w:w="1300" w:type="dxa"/>
            <w:shd w:val="clear" w:color="auto" w:fill="FFFFFF"/>
            <w:vAlign w:val="center"/>
          </w:tcPr>
          <w:p w14:paraId="36B8F7CD">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363" w:type="dxa"/>
            <w:shd w:val="clear" w:color="auto" w:fill="FFFFFF"/>
            <w:vAlign w:val="center"/>
          </w:tcPr>
          <w:p w14:paraId="6A3702D2">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3</w:t>
            </w:r>
          </w:p>
        </w:tc>
      </w:tr>
      <w:tr w14:paraId="073A69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70218B43">
            <w:pPr>
              <w:spacing w:line="0" w:lineRule="atLeast"/>
              <w:jc w:val="center"/>
              <w:rPr>
                <w:color w:val="auto"/>
                <w:kern w:val="0"/>
                <w:sz w:val="22"/>
                <w:szCs w:val="22"/>
                <w:highlight w:val="none"/>
              </w:rPr>
            </w:pPr>
          </w:p>
        </w:tc>
        <w:tc>
          <w:tcPr>
            <w:tcW w:w="764" w:type="dxa"/>
            <w:vMerge w:val="continue"/>
            <w:shd w:val="clear" w:color="auto" w:fill="FFFFFF"/>
            <w:vAlign w:val="center"/>
          </w:tcPr>
          <w:p w14:paraId="3EE84FFB">
            <w:pPr>
              <w:widowControl/>
              <w:spacing w:line="0" w:lineRule="atLeast"/>
              <w:jc w:val="center"/>
              <w:rPr>
                <w:color w:val="auto"/>
                <w:kern w:val="0"/>
                <w:sz w:val="22"/>
                <w:szCs w:val="22"/>
                <w:highlight w:val="none"/>
              </w:rPr>
            </w:pPr>
          </w:p>
        </w:tc>
        <w:tc>
          <w:tcPr>
            <w:tcW w:w="873" w:type="dxa"/>
            <w:shd w:val="clear" w:color="auto" w:fill="FFFFFF"/>
            <w:vAlign w:val="center"/>
          </w:tcPr>
          <w:p w14:paraId="409AFD18">
            <w:pPr>
              <w:widowControl/>
              <w:spacing w:line="0" w:lineRule="atLeast"/>
              <w:jc w:val="center"/>
              <w:rPr>
                <w:color w:val="auto"/>
                <w:kern w:val="0"/>
                <w:sz w:val="22"/>
                <w:szCs w:val="22"/>
                <w:highlight w:val="none"/>
              </w:rPr>
            </w:pPr>
            <w:r>
              <w:rPr>
                <w:color w:val="auto"/>
                <w:kern w:val="0"/>
                <w:sz w:val="22"/>
                <w:szCs w:val="22"/>
                <w:highlight w:val="none"/>
              </w:rPr>
              <w:t>立项程序</w:t>
            </w:r>
          </w:p>
          <w:p w14:paraId="694C5D44">
            <w:pPr>
              <w:widowControl/>
              <w:spacing w:line="0" w:lineRule="atLeast"/>
              <w:jc w:val="center"/>
              <w:rPr>
                <w:color w:val="auto"/>
                <w:kern w:val="0"/>
                <w:sz w:val="22"/>
                <w:szCs w:val="22"/>
                <w:highlight w:val="none"/>
              </w:rPr>
            </w:pPr>
            <w:r>
              <w:rPr>
                <w:color w:val="auto"/>
                <w:kern w:val="0"/>
                <w:sz w:val="22"/>
                <w:szCs w:val="22"/>
                <w:highlight w:val="none"/>
              </w:rPr>
              <w:t>规范性</w:t>
            </w:r>
          </w:p>
        </w:tc>
        <w:tc>
          <w:tcPr>
            <w:tcW w:w="2353" w:type="dxa"/>
            <w:shd w:val="clear" w:color="auto" w:fill="FFFFFF"/>
            <w:vAlign w:val="center"/>
          </w:tcPr>
          <w:p w14:paraId="6AB7668C">
            <w:pPr>
              <w:widowControl/>
              <w:spacing w:line="0" w:lineRule="atLeast"/>
              <w:rPr>
                <w:color w:val="auto"/>
                <w:kern w:val="0"/>
                <w:sz w:val="22"/>
                <w:szCs w:val="22"/>
                <w:highlight w:val="none"/>
              </w:rPr>
            </w:pPr>
            <w:r>
              <w:rPr>
                <w:color w:val="auto"/>
                <w:kern w:val="0"/>
                <w:sz w:val="22"/>
                <w:szCs w:val="22"/>
                <w:highlight w:val="none"/>
              </w:rPr>
              <w:t>项目申请、设立过程是否符合相关要求，用以反映和考核项目立项的规范情况。</w:t>
            </w:r>
          </w:p>
        </w:tc>
        <w:tc>
          <w:tcPr>
            <w:tcW w:w="5198" w:type="dxa"/>
            <w:shd w:val="clear" w:color="auto" w:fill="FFFFFF"/>
            <w:vAlign w:val="center"/>
          </w:tcPr>
          <w:p w14:paraId="4A942589">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①项目是否按照规定的程序申请设立；</w:t>
            </w:r>
            <w:r>
              <w:rPr>
                <w:color w:val="auto"/>
                <w:kern w:val="0"/>
                <w:sz w:val="22"/>
                <w:szCs w:val="22"/>
                <w:highlight w:val="none"/>
              </w:rPr>
              <w:br w:type="textWrapping"/>
            </w:r>
            <w:r>
              <w:rPr>
                <w:color w:val="auto"/>
                <w:kern w:val="0"/>
                <w:sz w:val="22"/>
                <w:szCs w:val="22"/>
                <w:highlight w:val="none"/>
              </w:rPr>
              <w:t>②审批文件、材料是否符合相关要求；</w:t>
            </w:r>
            <w:r>
              <w:rPr>
                <w:color w:val="auto"/>
                <w:kern w:val="0"/>
                <w:sz w:val="22"/>
                <w:szCs w:val="22"/>
                <w:highlight w:val="none"/>
              </w:rPr>
              <w:br w:type="textWrapping"/>
            </w:r>
            <w:r>
              <w:rPr>
                <w:color w:val="auto"/>
                <w:kern w:val="0"/>
                <w:sz w:val="22"/>
                <w:szCs w:val="22"/>
                <w:highlight w:val="none"/>
              </w:rPr>
              <w:t>③事前是否已经过必要的可行性研究、专家论证、风险评估、绩效评估、集体决策。</w:t>
            </w:r>
          </w:p>
        </w:tc>
        <w:tc>
          <w:tcPr>
            <w:tcW w:w="1300" w:type="dxa"/>
            <w:shd w:val="clear" w:color="auto" w:fill="FFFFFF"/>
            <w:vAlign w:val="center"/>
          </w:tcPr>
          <w:p w14:paraId="31D3D3A3">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363" w:type="dxa"/>
            <w:shd w:val="clear" w:color="auto" w:fill="FFFFFF"/>
            <w:vAlign w:val="center"/>
          </w:tcPr>
          <w:p w14:paraId="7CF92F0F">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3</w:t>
            </w:r>
          </w:p>
        </w:tc>
      </w:tr>
      <w:tr w14:paraId="5DD8FB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22CD8FB7">
            <w:pPr>
              <w:spacing w:line="0" w:lineRule="atLeast"/>
              <w:jc w:val="center"/>
              <w:rPr>
                <w:color w:val="auto"/>
                <w:kern w:val="0"/>
                <w:sz w:val="22"/>
                <w:szCs w:val="22"/>
                <w:highlight w:val="none"/>
              </w:rPr>
            </w:pPr>
          </w:p>
        </w:tc>
        <w:tc>
          <w:tcPr>
            <w:tcW w:w="764" w:type="dxa"/>
            <w:vMerge w:val="restart"/>
            <w:shd w:val="clear" w:color="auto" w:fill="FFFFFF"/>
            <w:vAlign w:val="center"/>
          </w:tcPr>
          <w:p w14:paraId="6D86E95D">
            <w:pPr>
              <w:widowControl/>
              <w:spacing w:line="0" w:lineRule="atLeast"/>
              <w:jc w:val="center"/>
              <w:rPr>
                <w:color w:val="auto"/>
                <w:kern w:val="0"/>
                <w:sz w:val="22"/>
                <w:szCs w:val="22"/>
                <w:highlight w:val="none"/>
              </w:rPr>
            </w:pPr>
            <w:r>
              <w:rPr>
                <w:color w:val="auto"/>
                <w:kern w:val="0"/>
                <w:sz w:val="22"/>
                <w:szCs w:val="22"/>
                <w:highlight w:val="none"/>
              </w:rPr>
              <w:t>绩效目标　</w:t>
            </w:r>
          </w:p>
        </w:tc>
        <w:tc>
          <w:tcPr>
            <w:tcW w:w="873" w:type="dxa"/>
            <w:shd w:val="clear" w:color="auto" w:fill="FFFFFF"/>
            <w:vAlign w:val="center"/>
          </w:tcPr>
          <w:p w14:paraId="695638B5">
            <w:pPr>
              <w:widowControl/>
              <w:spacing w:line="0" w:lineRule="atLeast"/>
              <w:jc w:val="center"/>
              <w:rPr>
                <w:color w:val="auto"/>
                <w:kern w:val="0"/>
                <w:sz w:val="22"/>
                <w:szCs w:val="22"/>
                <w:highlight w:val="none"/>
              </w:rPr>
            </w:pPr>
            <w:r>
              <w:rPr>
                <w:color w:val="auto"/>
                <w:kern w:val="0"/>
                <w:sz w:val="22"/>
                <w:szCs w:val="22"/>
                <w:highlight w:val="none"/>
              </w:rPr>
              <w:t>绩效目标</w:t>
            </w:r>
          </w:p>
          <w:p w14:paraId="0564173D">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2353" w:type="dxa"/>
            <w:shd w:val="clear" w:color="000000" w:fill="FFFFFF"/>
            <w:vAlign w:val="center"/>
          </w:tcPr>
          <w:p w14:paraId="2B1662EE">
            <w:pPr>
              <w:widowControl/>
              <w:spacing w:line="0" w:lineRule="atLeast"/>
              <w:rPr>
                <w:color w:val="auto"/>
                <w:kern w:val="0"/>
                <w:sz w:val="22"/>
                <w:szCs w:val="22"/>
                <w:highlight w:val="none"/>
              </w:rPr>
            </w:pPr>
            <w:r>
              <w:rPr>
                <w:color w:val="auto"/>
                <w:kern w:val="0"/>
                <w:sz w:val="22"/>
                <w:szCs w:val="22"/>
                <w:highlight w:val="none"/>
              </w:rPr>
              <w:t>项目所设定的绩效目标是否依据充分，是否符合客观实际，用以反映和考核项目绩效目标与项目实施的相符情况。</w:t>
            </w:r>
          </w:p>
        </w:tc>
        <w:tc>
          <w:tcPr>
            <w:tcW w:w="5198" w:type="dxa"/>
            <w:shd w:val="clear" w:color="000000" w:fill="FFFFFF"/>
            <w:vAlign w:val="center"/>
          </w:tcPr>
          <w:p w14:paraId="15C7E0DF">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（如未设定预算绩效目标，也可考核其他工作任务目标）</w:t>
            </w:r>
            <w:r>
              <w:rPr>
                <w:color w:val="auto"/>
                <w:kern w:val="0"/>
                <w:sz w:val="22"/>
                <w:szCs w:val="22"/>
                <w:highlight w:val="none"/>
              </w:rPr>
              <w:br w:type="textWrapping"/>
            </w:r>
            <w:r>
              <w:rPr>
                <w:color w:val="auto"/>
                <w:kern w:val="0"/>
                <w:sz w:val="22"/>
                <w:szCs w:val="22"/>
                <w:highlight w:val="none"/>
              </w:rPr>
              <w:t>①项目是否有绩效目标；</w:t>
            </w:r>
            <w:r>
              <w:rPr>
                <w:color w:val="auto"/>
                <w:kern w:val="0"/>
                <w:sz w:val="22"/>
                <w:szCs w:val="22"/>
                <w:highlight w:val="none"/>
              </w:rPr>
              <w:br w:type="textWrapping"/>
            </w:r>
            <w:r>
              <w:rPr>
                <w:color w:val="auto"/>
                <w:kern w:val="0"/>
                <w:sz w:val="22"/>
                <w:szCs w:val="22"/>
                <w:highlight w:val="none"/>
              </w:rPr>
              <w:t>②项目绩效目标与实际工作内容是否具有相关性；</w:t>
            </w:r>
            <w:r>
              <w:rPr>
                <w:color w:val="auto"/>
                <w:kern w:val="0"/>
                <w:sz w:val="22"/>
                <w:szCs w:val="22"/>
                <w:highlight w:val="none"/>
              </w:rPr>
              <w:br w:type="textWrapping"/>
            </w:r>
            <w:r>
              <w:rPr>
                <w:color w:val="auto"/>
                <w:kern w:val="0"/>
                <w:sz w:val="22"/>
                <w:szCs w:val="22"/>
                <w:highlight w:val="none"/>
              </w:rPr>
              <w:t>③项目预期产出效益和效果是否符合正常的业绩水平；</w:t>
            </w:r>
          </w:p>
          <w:p w14:paraId="6EB767E7">
            <w:pPr>
              <w:widowControl/>
              <w:spacing w:line="0" w:lineRule="atLeast"/>
              <w:jc w:val="left"/>
              <w:rPr>
                <w:color w:val="auto"/>
                <w:kern w:val="0"/>
                <w:sz w:val="22"/>
                <w:szCs w:val="22"/>
                <w:highlight w:val="none"/>
              </w:rPr>
            </w:pPr>
            <w:r>
              <w:rPr>
                <w:color w:val="auto"/>
                <w:kern w:val="0"/>
                <w:sz w:val="22"/>
                <w:szCs w:val="22"/>
                <w:highlight w:val="none"/>
              </w:rPr>
              <w:t>④是否与预算确定的项目投资额或资金量相匹配。</w:t>
            </w:r>
          </w:p>
        </w:tc>
        <w:tc>
          <w:tcPr>
            <w:tcW w:w="1300" w:type="dxa"/>
            <w:shd w:val="clear" w:color="000000" w:fill="FFFFFF"/>
            <w:vAlign w:val="center"/>
          </w:tcPr>
          <w:p w14:paraId="3BF346E3">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363" w:type="dxa"/>
            <w:shd w:val="clear" w:color="000000" w:fill="FFFFFF"/>
            <w:vAlign w:val="center"/>
          </w:tcPr>
          <w:p w14:paraId="5397CD39">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3</w:t>
            </w:r>
          </w:p>
        </w:tc>
      </w:tr>
      <w:tr w14:paraId="324365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64F75D95">
            <w:pPr>
              <w:widowControl/>
              <w:spacing w:line="0" w:lineRule="atLeast"/>
              <w:jc w:val="center"/>
              <w:rPr>
                <w:color w:val="auto"/>
                <w:kern w:val="0"/>
                <w:sz w:val="22"/>
                <w:szCs w:val="22"/>
                <w:highlight w:val="none"/>
              </w:rPr>
            </w:pPr>
          </w:p>
        </w:tc>
        <w:tc>
          <w:tcPr>
            <w:tcW w:w="764" w:type="dxa"/>
            <w:vMerge w:val="continue"/>
            <w:shd w:val="clear" w:color="auto" w:fill="FFFFFF"/>
            <w:vAlign w:val="center"/>
          </w:tcPr>
          <w:p w14:paraId="5C938B60">
            <w:pPr>
              <w:widowControl/>
              <w:spacing w:line="0" w:lineRule="atLeast"/>
              <w:jc w:val="center"/>
              <w:rPr>
                <w:color w:val="auto"/>
                <w:kern w:val="0"/>
                <w:sz w:val="22"/>
                <w:szCs w:val="22"/>
                <w:highlight w:val="none"/>
              </w:rPr>
            </w:pPr>
          </w:p>
        </w:tc>
        <w:tc>
          <w:tcPr>
            <w:tcW w:w="873" w:type="dxa"/>
            <w:shd w:val="clear" w:color="auto" w:fill="FFFFFF"/>
            <w:vAlign w:val="center"/>
          </w:tcPr>
          <w:p w14:paraId="4FC329EE">
            <w:pPr>
              <w:widowControl/>
              <w:spacing w:line="0" w:lineRule="atLeast"/>
              <w:jc w:val="center"/>
              <w:rPr>
                <w:color w:val="auto"/>
                <w:kern w:val="0"/>
                <w:sz w:val="22"/>
                <w:szCs w:val="22"/>
                <w:highlight w:val="none"/>
              </w:rPr>
            </w:pPr>
            <w:r>
              <w:rPr>
                <w:color w:val="auto"/>
                <w:kern w:val="0"/>
                <w:sz w:val="22"/>
                <w:szCs w:val="22"/>
                <w:highlight w:val="none"/>
              </w:rPr>
              <w:t>绩效指标</w:t>
            </w:r>
          </w:p>
          <w:p w14:paraId="6602D64E">
            <w:pPr>
              <w:widowControl/>
              <w:spacing w:line="0" w:lineRule="atLeast"/>
              <w:jc w:val="center"/>
              <w:rPr>
                <w:color w:val="auto"/>
                <w:kern w:val="0"/>
                <w:sz w:val="22"/>
                <w:szCs w:val="22"/>
                <w:highlight w:val="none"/>
              </w:rPr>
            </w:pPr>
            <w:r>
              <w:rPr>
                <w:color w:val="auto"/>
                <w:kern w:val="0"/>
                <w:sz w:val="22"/>
                <w:szCs w:val="22"/>
                <w:highlight w:val="none"/>
              </w:rPr>
              <w:t>明确性</w:t>
            </w:r>
          </w:p>
        </w:tc>
        <w:tc>
          <w:tcPr>
            <w:tcW w:w="2353" w:type="dxa"/>
            <w:shd w:val="clear" w:color="000000" w:fill="FFFFFF"/>
            <w:vAlign w:val="center"/>
          </w:tcPr>
          <w:p w14:paraId="448430A3">
            <w:pPr>
              <w:widowControl/>
              <w:spacing w:line="0" w:lineRule="atLeast"/>
              <w:rPr>
                <w:color w:val="auto"/>
                <w:kern w:val="0"/>
                <w:sz w:val="22"/>
                <w:szCs w:val="22"/>
                <w:highlight w:val="none"/>
              </w:rPr>
            </w:pPr>
            <w:r>
              <w:rPr>
                <w:color w:val="auto"/>
                <w:kern w:val="0"/>
                <w:sz w:val="22"/>
                <w:szCs w:val="22"/>
                <w:highlight w:val="none"/>
              </w:rPr>
              <w:t>依据绩效目标设定的绩效指标是否清晰、细化、可衡量等，用以反映和考核项目绩效目标的明细化情况。</w:t>
            </w:r>
          </w:p>
        </w:tc>
        <w:tc>
          <w:tcPr>
            <w:tcW w:w="5198" w:type="dxa"/>
            <w:shd w:val="clear" w:color="000000" w:fill="FFFFFF"/>
            <w:vAlign w:val="center"/>
          </w:tcPr>
          <w:p w14:paraId="66BDD578">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①是否将项目绩效目标细化分解为具体的绩效指标；</w:t>
            </w:r>
            <w:r>
              <w:rPr>
                <w:color w:val="auto"/>
                <w:kern w:val="0"/>
                <w:sz w:val="22"/>
                <w:szCs w:val="22"/>
                <w:highlight w:val="none"/>
              </w:rPr>
              <w:br w:type="textWrapping"/>
            </w:r>
            <w:r>
              <w:rPr>
                <w:color w:val="auto"/>
                <w:kern w:val="0"/>
                <w:sz w:val="22"/>
                <w:szCs w:val="22"/>
                <w:highlight w:val="none"/>
              </w:rPr>
              <w:t>②是否通过清晰、可衡量的指标值予以体现；</w:t>
            </w:r>
            <w:r>
              <w:rPr>
                <w:color w:val="auto"/>
                <w:kern w:val="0"/>
                <w:sz w:val="22"/>
                <w:szCs w:val="22"/>
                <w:highlight w:val="none"/>
              </w:rPr>
              <w:br w:type="textWrapping"/>
            </w:r>
            <w:r>
              <w:rPr>
                <w:color w:val="auto"/>
                <w:kern w:val="0"/>
                <w:sz w:val="22"/>
                <w:szCs w:val="22"/>
                <w:highlight w:val="none"/>
              </w:rPr>
              <w:t>③是否与项目目标任务数或计划数相对应。</w:t>
            </w:r>
            <w:r>
              <w:rPr>
                <w:color w:val="auto"/>
                <w:kern w:val="0"/>
                <w:sz w:val="22"/>
                <w:szCs w:val="22"/>
                <w:highlight w:val="none"/>
              </w:rPr>
              <w:br w:type="textWrapping"/>
            </w:r>
          </w:p>
        </w:tc>
        <w:tc>
          <w:tcPr>
            <w:tcW w:w="1300" w:type="dxa"/>
            <w:shd w:val="clear" w:color="000000" w:fill="FFFFFF"/>
            <w:vAlign w:val="center"/>
          </w:tcPr>
          <w:p w14:paraId="58E2727D">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363" w:type="dxa"/>
            <w:shd w:val="clear" w:color="000000" w:fill="FFFFFF"/>
            <w:vAlign w:val="center"/>
          </w:tcPr>
          <w:p w14:paraId="1EC7688B">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3</w:t>
            </w:r>
          </w:p>
        </w:tc>
      </w:tr>
      <w:tr w14:paraId="00E49E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5171DB25">
            <w:pPr>
              <w:spacing w:line="0" w:lineRule="atLeast"/>
              <w:jc w:val="center"/>
              <w:rPr>
                <w:color w:val="auto"/>
                <w:kern w:val="0"/>
                <w:sz w:val="22"/>
                <w:szCs w:val="22"/>
                <w:highlight w:val="none"/>
              </w:rPr>
            </w:pPr>
          </w:p>
        </w:tc>
        <w:tc>
          <w:tcPr>
            <w:tcW w:w="764" w:type="dxa"/>
            <w:vMerge w:val="restart"/>
            <w:shd w:val="clear" w:color="auto" w:fill="FFFFFF"/>
            <w:vAlign w:val="center"/>
          </w:tcPr>
          <w:p w14:paraId="7D18FF5D">
            <w:pPr>
              <w:widowControl/>
              <w:spacing w:line="0" w:lineRule="atLeast"/>
              <w:jc w:val="center"/>
              <w:rPr>
                <w:color w:val="auto"/>
                <w:kern w:val="0"/>
                <w:sz w:val="22"/>
                <w:szCs w:val="22"/>
                <w:highlight w:val="none"/>
              </w:rPr>
            </w:pPr>
            <w:r>
              <w:rPr>
                <w:color w:val="auto"/>
                <w:kern w:val="0"/>
                <w:sz w:val="22"/>
                <w:szCs w:val="22"/>
                <w:highlight w:val="none"/>
              </w:rPr>
              <w:t>资金投入</w:t>
            </w:r>
          </w:p>
          <w:p w14:paraId="7E2F77E6">
            <w:pPr>
              <w:spacing w:line="0" w:lineRule="atLeast"/>
              <w:jc w:val="center"/>
              <w:rPr>
                <w:color w:val="auto"/>
                <w:kern w:val="0"/>
                <w:sz w:val="22"/>
                <w:szCs w:val="22"/>
                <w:highlight w:val="none"/>
              </w:rPr>
            </w:pPr>
            <w:r>
              <w:rPr>
                <w:color w:val="auto"/>
                <w:kern w:val="0"/>
                <w:sz w:val="22"/>
                <w:szCs w:val="22"/>
                <w:highlight w:val="none"/>
              </w:rPr>
              <w:t>　</w:t>
            </w:r>
          </w:p>
        </w:tc>
        <w:tc>
          <w:tcPr>
            <w:tcW w:w="873" w:type="dxa"/>
            <w:shd w:val="clear" w:color="auto" w:fill="FFFFFF"/>
            <w:vAlign w:val="center"/>
          </w:tcPr>
          <w:p w14:paraId="0E2FCBF3">
            <w:pPr>
              <w:widowControl/>
              <w:spacing w:line="0" w:lineRule="atLeast"/>
              <w:jc w:val="center"/>
              <w:rPr>
                <w:color w:val="auto"/>
                <w:kern w:val="0"/>
                <w:sz w:val="22"/>
                <w:szCs w:val="22"/>
                <w:highlight w:val="none"/>
              </w:rPr>
            </w:pPr>
            <w:r>
              <w:rPr>
                <w:color w:val="auto"/>
                <w:kern w:val="0"/>
                <w:sz w:val="22"/>
                <w:szCs w:val="22"/>
                <w:highlight w:val="none"/>
              </w:rPr>
              <w:t>预算编制</w:t>
            </w:r>
          </w:p>
          <w:p w14:paraId="35896477">
            <w:pPr>
              <w:widowControl/>
              <w:spacing w:line="0" w:lineRule="atLeast"/>
              <w:jc w:val="center"/>
              <w:rPr>
                <w:color w:val="auto"/>
                <w:kern w:val="0"/>
                <w:sz w:val="22"/>
                <w:szCs w:val="22"/>
                <w:highlight w:val="none"/>
              </w:rPr>
            </w:pPr>
            <w:r>
              <w:rPr>
                <w:color w:val="auto"/>
                <w:kern w:val="0"/>
                <w:sz w:val="22"/>
                <w:szCs w:val="22"/>
                <w:highlight w:val="none"/>
              </w:rPr>
              <w:t>科学性</w:t>
            </w:r>
          </w:p>
        </w:tc>
        <w:tc>
          <w:tcPr>
            <w:tcW w:w="2353" w:type="dxa"/>
            <w:shd w:val="clear" w:color="auto" w:fill="FFFFFF"/>
            <w:vAlign w:val="center"/>
          </w:tcPr>
          <w:p w14:paraId="7349B151">
            <w:pPr>
              <w:widowControl/>
              <w:spacing w:line="0" w:lineRule="atLeast"/>
              <w:rPr>
                <w:color w:val="auto"/>
                <w:kern w:val="0"/>
                <w:sz w:val="22"/>
                <w:szCs w:val="22"/>
                <w:highlight w:val="none"/>
              </w:rPr>
            </w:pPr>
            <w:r>
              <w:rPr>
                <w:color w:val="auto"/>
                <w:kern w:val="0"/>
                <w:sz w:val="22"/>
                <w:szCs w:val="22"/>
                <w:highlight w:val="none"/>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7E854F7B">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①预算编制是否经过科学论证；</w:t>
            </w:r>
            <w:r>
              <w:rPr>
                <w:color w:val="auto"/>
                <w:kern w:val="0"/>
                <w:sz w:val="22"/>
                <w:szCs w:val="22"/>
                <w:highlight w:val="none"/>
              </w:rPr>
              <w:br w:type="textWrapping"/>
            </w:r>
            <w:r>
              <w:rPr>
                <w:color w:val="auto"/>
                <w:kern w:val="0"/>
                <w:sz w:val="22"/>
                <w:szCs w:val="22"/>
                <w:highlight w:val="none"/>
              </w:rPr>
              <w:t>②预算内容与项目内容是否匹配；</w:t>
            </w:r>
            <w:r>
              <w:rPr>
                <w:color w:val="auto"/>
                <w:kern w:val="0"/>
                <w:sz w:val="22"/>
                <w:szCs w:val="22"/>
                <w:highlight w:val="none"/>
              </w:rPr>
              <w:br w:type="textWrapping"/>
            </w:r>
            <w:r>
              <w:rPr>
                <w:color w:val="auto"/>
                <w:kern w:val="0"/>
                <w:sz w:val="22"/>
                <w:szCs w:val="22"/>
                <w:highlight w:val="none"/>
              </w:rPr>
              <w:t>③预算额度测算依据是否充分，是否按照标准编制；</w:t>
            </w:r>
            <w:r>
              <w:rPr>
                <w:color w:val="auto"/>
                <w:kern w:val="0"/>
                <w:sz w:val="22"/>
                <w:szCs w:val="22"/>
                <w:highlight w:val="none"/>
              </w:rPr>
              <w:br w:type="textWrapping"/>
            </w:r>
            <w:r>
              <w:rPr>
                <w:color w:val="auto"/>
                <w:kern w:val="0"/>
                <w:sz w:val="22"/>
                <w:szCs w:val="22"/>
                <w:highlight w:val="none"/>
              </w:rPr>
              <w:t>④预算确定的项目投资额或资金量是否与工作任务相匹配。</w:t>
            </w:r>
          </w:p>
        </w:tc>
        <w:tc>
          <w:tcPr>
            <w:tcW w:w="1300" w:type="dxa"/>
            <w:shd w:val="clear" w:color="auto" w:fill="FFFFFF"/>
            <w:vAlign w:val="center"/>
          </w:tcPr>
          <w:p w14:paraId="4AF6CD16">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auto" w:fill="FFFFFF"/>
            <w:vAlign w:val="center"/>
          </w:tcPr>
          <w:p w14:paraId="6B16B2A0">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4</w:t>
            </w:r>
          </w:p>
        </w:tc>
      </w:tr>
      <w:tr w14:paraId="1DB708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74D3F3EF">
            <w:pPr>
              <w:widowControl/>
              <w:spacing w:line="0" w:lineRule="atLeast"/>
              <w:jc w:val="center"/>
              <w:rPr>
                <w:color w:val="auto"/>
                <w:kern w:val="0"/>
                <w:sz w:val="22"/>
                <w:szCs w:val="22"/>
                <w:highlight w:val="none"/>
              </w:rPr>
            </w:pPr>
          </w:p>
        </w:tc>
        <w:tc>
          <w:tcPr>
            <w:tcW w:w="764" w:type="dxa"/>
            <w:vMerge w:val="continue"/>
            <w:shd w:val="clear" w:color="auto" w:fill="FFFFFF"/>
            <w:vAlign w:val="center"/>
          </w:tcPr>
          <w:p w14:paraId="04E8228E">
            <w:pPr>
              <w:widowControl/>
              <w:spacing w:line="0" w:lineRule="atLeast"/>
              <w:jc w:val="center"/>
              <w:rPr>
                <w:color w:val="auto"/>
                <w:kern w:val="0"/>
                <w:sz w:val="22"/>
                <w:szCs w:val="22"/>
                <w:highlight w:val="none"/>
              </w:rPr>
            </w:pPr>
          </w:p>
        </w:tc>
        <w:tc>
          <w:tcPr>
            <w:tcW w:w="873" w:type="dxa"/>
            <w:shd w:val="clear" w:color="auto" w:fill="FFFFFF"/>
            <w:vAlign w:val="center"/>
          </w:tcPr>
          <w:p w14:paraId="141A0E10">
            <w:pPr>
              <w:widowControl/>
              <w:spacing w:line="0" w:lineRule="atLeast"/>
              <w:jc w:val="center"/>
              <w:rPr>
                <w:color w:val="auto"/>
                <w:kern w:val="0"/>
                <w:sz w:val="22"/>
                <w:szCs w:val="22"/>
                <w:highlight w:val="none"/>
              </w:rPr>
            </w:pPr>
            <w:r>
              <w:rPr>
                <w:color w:val="auto"/>
                <w:kern w:val="0"/>
                <w:sz w:val="22"/>
                <w:szCs w:val="22"/>
                <w:highlight w:val="none"/>
              </w:rPr>
              <w:t>资金分配</w:t>
            </w:r>
          </w:p>
          <w:p w14:paraId="36226279">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2353" w:type="dxa"/>
            <w:shd w:val="clear" w:color="auto" w:fill="FFFFFF"/>
            <w:vAlign w:val="center"/>
          </w:tcPr>
          <w:p w14:paraId="71FD13A2">
            <w:pPr>
              <w:widowControl/>
              <w:spacing w:line="0" w:lineRule="atLeast"/>
              <w:rPr>
                <w:color w:val="auto"/>
                <w:kern w:val="0"/>
                <w:sz w:val="22"/>
                <w:szCs w:val="22"/>
                <w:highlight w:val="none"/>
              </w:rPr>
            </w:pPr>
            <w:r>
              <w:rPr>
                <w:color w:val="auto"/>
                <w:kern w:val="0"/>
                <w:sz w:val="22"/>
                <w:szCs w:val="22"/>
                <w:highlight w:val="none"/>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72839826">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①预算资金分配依据是否充分；</w:t>
            </w:r>
            <w:r>
              <w:rPr>
                <w:color w:val="auto"/>
                <w:kern w:val="0"/>
                <w:sz w:val="22"/>
                <w:szCs w:val="22"/>
                <w:highlight w:val="none"/>
              </w:rPr>
              <w:br w:type="textWrapping"/>
            </w:r>
            <w:r>
              <w:rPr>
                <w:color w:val="auto"/>
                <w:kern w:val="0"/>
                <w:sz w:val="22"/>
                <w:szCs w:val="22"/>
                <w:highlight w:val="none"/>
              </w:rPr>
              <w:t>②资金分配额度是否合理，与项目单位或地方实际是否相适应。</w:t>
            </w:r>
          </w:p>
        </w:tc>
        <w:tc>
          <w:tcPr>
            <w:tcW w:w="1300" w:type="dxa"/>
            <w:shd w:val="clear" w:color="auto" w:fill="FFFFFF"/>
            <w:vAlign w:val="center"/>
          </w:tcPr>
          <w:p w14:paraId="366437ED">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auto" w:fill="FFFFFF"/>
            <w:vAlign w:val="center"/>
          </w:tcPr>
          <w:p w14:paraId="7487B485">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4</w:t>
            </w:r>
          </w:p>
        </w:tc>
      </w:tr>
      <w:tr w14:paraId="6994B7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3F9C269D">
            <w:pPr>
              <w:spacing w:line="0" w:lineRule="atLeast"/>
              <w:jc w:val="center"/>
              <w:rPr>
                <w:color w:val="auto"/>
                <w:kern w:val="0"/>
                <w:sz w:val="22"/>
                <w:szCs w:val="22"/>
                <w:highlight w:val="none"/>
              </w:rPr>
            </w:pPr>
          </w:p>
          <w:p w14:paraId="651EA1EE">
            <w:pPr>
              <w:spacing w:line="0" w:lineRule="atLeast"/>
              <w:jc w:val="center"/>
              <w:rPr>
                <w:color w:val="auto"/>
                <w:kern w:val="0"/>
                <w:sz w:val="22"/>
                <w:szCs w:val="22"/>
                <w:highlight w:val="none"/>
              </w:rPr>
            </w:pPr>
          </w:p>
          <w:p w14:paraId="5F755CEE">
            <w:pPr>
              <w:spacing w:line="0" w:lineRule="atLeast"/>
              <w:jc w:val="center"/>
              <w:rPr>
                <w:color w:val="auto"/>
                <w:kern w:val="0"/>
                <w:sz w:val="22"/>
                <w:szCs w:val="22"/>
                <w:highlight w:val="none"/>
              </w:rPr>
            </w:pPr>
          </w:p>
          <w:p w14:paraId="40D36E4A">
            <w:pPr>
              <w:spacing w:line="0" w:lineRule="atLeast"/>
              <w:jc w:val="center"/>
              <w:rPr>
                <w:color w:val="auto"/>
                <w:kern w:val="0"/>
                <w:sz w:val="22"/>
                <w:szCs w:val="22"/>
                <w:highlight w:val="none"/>
              </w:rPr>
            </w:pPr>
          </w:p>
          <w:p w14:paraId="49BBF952">
            <w:pPr>
              <w:spacing w:line="0" w:lineRule="atLeast"/>
              <w:jc w:val="center"/>
              <w:rPr>
                <w:color w:val="auto"/>
                <w:kern w:val="0"/>
                <w:sz w:val="22"/>
                <w:szCs w:val="22"/>
                <w:highlight w:val="none"/>
              </w:rPr>
            </w:pPr>
          </w:p>
          <w:p w14:paraId="037A7AED">
            <w:pPr>
              <w:spacing w:line="0" w:lineRule="atLeast"/>
              <w:jc w:val="center"/>
              <w:rPr>
                <w:color w:val="auto"/>
                <w:kern w:val="0"/>
                <w:sz w:val="22"/>
                <w:szCs w:val="22"/>
                <w:highlight w:val="none"/>
              </w:rPr>
            </w:pPr>
          </w:p>
          <w:p w14:paraId="4EAE3474">
            <w:pPr>
              <w:spacing w:line="0" w:lineRule="atLeast"/>
              <w:jc w:val="center"/>
              <w:rPr>
                <w:color w:val="auto"/>
                <w:kern w:val="0"/>
                <w:sz w:val="22"/>
                <w:szCs w:val="22"/>
                <w:highlight w:val="none"/>
              </w:rPr>
            </w:pPr>
          </w:p>
          <w:p w14:paraId="0D3F2C41">
            <w:pPr>
              <w:spacing w:line="0" w:lineRule="atLeast"/>
              <w:jc w:val="center"/>
              <w:rPr>
                <w:color w:val="auto"/>
                <w:kern w:val="0"/>
                <w:sz w:val="22"/>
                <w:szCs w:val="22"/>
                <w:highlight w:val="none"/>
              </w:rPr>
            </w:pPr>
          </w:p>
          <w:p w14:paraId="34EA09B4">
            <w:pPr>
              <w:spacing w:line="0" w:lineRule="atLeast"/>
              <w:jc w:val="center"/>
              <w:rPr>
                <w:color w:val="auto"/>
                <w:kern w:val="0"/>
                <w:sz w:val="22"/>
                <w:szCs w:val="22"/>
                <w:highlight w:val="none"/>
              </w:rPr>
            </w:pPr>
          </w:p>
          <w:p w14:paraId="17CB28AC">
            <w:pPr>
              <w:spacing w:line="0" w:lineRule="atLeast"/>
              <w:jc w:val="center"/>
              <w:rPr>
                <w:color w:val="auto"/>
                <w:kern w:val="0"/>
                <w:sz w:val="22"/>
                <w:szCs w:val="22"/>
                <w:highlight w:val="none"/>
              </w:rPr>
            </w:pPr>
          </w:p>
          <w:p w14:paraId="6CBE597B">
            <w:pPr>
              <w:spacing w:line="0" w:lineRule="atLeast"/>
              <w:jc w:val="center"/>
              <w:rPr>
                <w:color w:val="auto"/>
                <w:kern w:val="0"/>
                <w:sz w:val="22"/>
                <w:szCs w:val="22"/>
                <w:highlight w:val="none"/>
              </w:rPr>
            </w:pPr>
          </w:p>
          <w:p w14:paraId="6ECB10D6">
            <w:pPr>
              <w:spacing w:line="0" w:lineRule="atLeast"/>
              <w:jc w:val="center"/>
              <w:rPr>
                <w:color w:val="auto"/>
                <w:kern w:val="0"/>
                <w:sz w:val="22"/>
                <w:szCs w:val="22"/>
                <w:highlight w:val="none"/>
              </w:rPr>
            </w:pPr>
          </w:p>
          <w:p w14:paraId="790121CA">
            <w:pPr>
              <w:spacing w:line="0" w:lineRule="atLeast"/>
              <w:jc w:val="center"/>
              <w:rPr>
                <w:color w:val="auto"/>
                <w:kern w:val="0"/>
                <w:sz w:val="22"/>
                <w:szCs w:val="22"/>
                <w:highlight w:val="none"/>
              </w:rPr>
            </w:pPr>
          </w:p>
          <w:p w14:paraId="25E7911E">
            <w:pPr>
              <w:spacing w:line="0" w:lineRule="atLeast"/>
              <w:jc w:val="center"/>
              <w:rPr>
                <w:color w:val="auto"/>
                <w:kern w:val="0"/>
                <w:sz w:val="22"/>
                <w:szCs w:val="22"/>
                <w:highlight w:val="none"/>
              </w:rPr>
            </w:pPr>
          </w:p>
          <w:p w14:paraId="3C51DA81">
            <w:pPr>
              <w:spacing w:line="0" w:lineRule="atLeast"/>
              <w:jc w:val="center"/>
              <w:rPr>
                <w:color w:val="auto"/>
                <w:kern w:val="0"/>
                <w:sz w:val="22"/>
                <w:szCs w:val="22"/>
                <w:highlight w:val="none"/>
              </w:rPr>
            </w:pPr>
          </w:p>
          <w:p w14:paraId="68A20B37">
            <w:pPr>
              <w:spacing w:line="0" w:lineRule="atLeast"/>
              <w:jc w:val="center"/>
              <w:rPr>
                <w:color w:val="auto"/>
                <w:kern w:val="0"/>
                <w:sz w:val="22"/>
                <w:szCs w:val="22"/>
                <w:highlight w:val="none"/>
              </w:rPr>
            </w:pPr>
            <w:r>
              <w:rPr>
                <w:color w:val="auto"/>
                <w:kern w:val="0"/>
                <w:sz w:val="22"/>
                <w:szCs w:val="22"/>
                <w:highlight w:val="none"/>
              </w:rPr>
              <w:t>过程</w:t>
            </w:r>
          </w:p>
          <w:p w14:paraId="65C67539">
            <w:pPr>
              <w:widowControl/>
              <w:spacing w:line="0" w:lineRule="atLeast"/>
              <w:jc w:val="center"/>
              <w:rPr>
                <w:color w:val="auto"/>
                <w:kern w:val="0"/>
                <w:sz w:val="22"/>
                <w:szCs w:val="22"/>
                <w:highlight w:val="none"/>
              </w:rPr>
            </w:pPr>
            <w:r>
              <w:rPr>
                <w:color w:val="auto"/>
                <w:kern w:val="0"/>
                <w:sz w:val="22"/>
                <w:szCs w:val="22"/>
                <w:highlight w:val="none"/>
              </w:rPr>
              <w:t>　　</w:t>
            </w:r>
          </w:p>
        </w:tc>
        <w:tc>
          <w:tcPr>
            <w:tcW w:w="764" w:type="dxa"/>
            <w:vMerge w:val="restart"/>
            <w:shd w:val="clear" w:color="auto" w:fill="FFFFFF"/>
            <w:vAlign w:val="center"/>
          </w:tcPr>
          <w:p w14:paraId="7B961D32">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873" w:type="dxa"/>
            <w:shd w:val="clear" w:color="auto" w:fill="FFFFFF"/>
            <w:vAlign w:val="center"/>
          </w:tcPr>
          <w:p w14:paraId="7ABBE654">
            <w:pPr>
              <w:widowControl/>
              <w:spacing w:line="0" w:lineRule="atLeast"/>
              <w:jc w:val="center"/>
              <w:rPr>
                <w:color w:val="auto"/>
                <w:kern w:val="0"/>
                <w:sz w:val="22"/>
                <w:szCs w:val="22"/>
                <w:highlight w:val="none"/>
              </w:rPr>
            </w:pPr>
            <w:r>
              <w:rPr>
                <w:color w:val="auto"/>
                <w:kern w:val="0"/>
                <w:sz w:val="22"/>
                <w:szCs w:val="22"/>
                <w:highlight w:val="none"/>
              </w:rPr>
              <w:t>资金到位率</w:t>
            </w:r>
          </w:p>
        </w:tc>
        <w:tc>
          <w:tcPr>
            <w:tcW w:w="2353" w:type="dxa"/>
            <w:shd w:val="clear" w:color="000000" w:fill="FFFFFF"/>
            <w:vAlign w:val="center"/>
          </w:tcPr>
          <w:p w14:paraId="621EB118">
            <w:pPr>
              <w:widowControl/>
              <w:spacing w:line="0" w:lineRule="atLeast"/>
              <w:rPr>
                <w:color w:val="auto"/>
                <w:kern w:val="0"/>
                <w:sz w:val="22"/>
                <w:szCs w:val="22"/>
                <w:highlight w:val="none"/>
              </w:rPr>
            </w:pPr>
            <w:r>
              <w:rPr>
                <w:color w:val="auto"/>
                <w:kern w:val="0"/>
                <w:sz w:val="22"/>
                <w:szCs w:val="22"/>
                <w:highlight w:val="none"/>
              </w:rPr>
              <w:t>实际到位资金与预算资金的比率，用以反映和考核资金落实情况对项目实施的总体保障程度。</w:t>
            </w:r>
          </w:p>
        </w:tc>
        <w:tc>
          <w:tcPr>
            <w:tcW w:w="5198" w:type="dxa"/>
            <w:shd w:val="clear" w:color="000000" w:fill="FFFFFF"/>
            <w:vAlign w:val="center"/>
          </w:tcPr>
          <w:p w14:paraId="22C02407">
            <w:pPr>
              <w:widowControl/>
              <w:spacing w:line="0" w:lineRule="atLeast"/>
              <w:rPr>
                <w:color w:val="auto"/>
                <w:kern w:val="0"/>
                <w:sz w:val="22"/>
                <w:szCs w:val="22"/>
                <w:highlight w:val="none"/>
              </w:rPr>
            </w:pPr>
            <w:r>
              <w:rPr>
                <w:color w:val="auto"/>
                <w:kern w:val="0"/>
                <w:sz w:val="22"/>
                <w:szCs w:val="22"/>
                <w:highlight w:val="none"/>
              </w:rPr>
              <w:t>资金到位率=（实际到位资金/预算资金）×100%。</w:t>
            </w:r>
          </w:p>
          <w:p w14:paraId="0EF3632D">
            <w:pPr>
              <w:widowControl/>
              <w:spacing w:line="0" w:lineRule="atLeast"/>
              <w:rPr>
                <w:color w:val="auto"/>
                <w:kern w:val="0"/>
                <w:sz w:val="22"/>
                <w:szCs w:val="22"/>
                <w:highlight w:val="none"/>
              </w:rPr>
            </w:pPr>
            <w:r>
              <w:rPr>
                <w:color w:val="auto"/>
                <w:kern w:val="0"/>
                <w:sz w:val="22"/>
                <w:szCs w:val="22"/>
                <w:highlight w:val="none"/>
              </w:rPr>
              <w:t>实际到位资金：一定时期（本年度或项目期）内落实到具体项目的资金。</w:t>
            </w:r>
          </w:p>
          <w:p w14:paraId="6D14BF2D">
            <w:pPr>
              <w:widowControl/>
              <w:spacing w:line="0" w:lineRule="atLeast"/>
              <w:rPr>
                <w:color w:val="auto"/>
                <w:kern w:val="0"/>
                <w:sz w:val="22"/>
                <w:szCs w:val="22"/>
                <w:highlight w:val="none"/>
              </w:rPr>
            </w:pPr>
            <w:r>
              <w:rPr>
                <w:color w:val="auto"/>
                <w:kern w:val="0"/>
                <w:sz w:val="22"/>
                <w:szCs w:val="22"/>
                <w:highlight w:val="none"/>
              </w:rPr>
              <w:t>预算资金：一定时期（本年度或项目期）内预算安排到具体项目的资金。</w:t>
            </w:r>
          </w:p>
        </w:tc>
        <w:tc>
          <w:tcPr>
            <w:tcW w:w="1300" w:type="dxa"/>
            <w:shd w:val="clear" w:color="000000" w:fill="FFFFFF"/>
            <w:vAlign w:val="center"/>
          </w:tcPr>
          <w:p w14:paraId="7334A38B">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000000" w:fill="FFFFFF"/>
            <w:vAlign w:val="center"/>
          </w:tcPr>
          <w:p w14:paraId="52FCA47A">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4</w:t>
            </w:r>
          </w:p>
        </w:tc>
      </w:tr>
      <w:tr w14:paraId="6E8151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3D8789CD">
            <w:pPr>
              <w:spacing w:line="0" w:lineRule="atLeast"/>
              <w:jc w:val="center"/>
              <w:rPr>
                <w:color w:val="auto"/>
                <w:kern w:val="0"/>
                <w:sz w:val="22"/>
                <w:szCs w:val="22"/>
                <w:highlight w:val="none"/>
              </w:rPr>
            </w:pPr>
          </w:p>
        </w:tc>
        <w:tc>
          <w:tcPr>
            <w:tcW w:w="764" w:type="dxa"/>
            <w:vMerge w:val="continue"/>
            <w:shd w:val="clear" w:color="auto" w:fill="FFFFFF"/>
            <w:vAlign w:val="center"/>
          </w:tcPr>
          <w:p w14:paraId="13F24BE4">
            <w:pPr>
              <w:spacing w:line="0" w:lineRule="atLeast"/>
              <w:jc w:val="center"/>
              <w:rPr>
                <w:color w:val="auto"/>
                <w:kern w:val="0"/>
                <w:sz w:val="22"/>
                <w:szCs w:val="22"/>
                <w:highlight w:val="none"/>
              </w:rPr>
            </w:pPr>
          </w:p>
        </w:tc>
        <w:tc>
          <w:tcPr>
            <w:tcW w:w="873" w:type="dxa"/>
            <w:shd w:val="clear" w:color="auto" w:fill="FFFFFF"/>
            <w:vAlign w:val="center"/>
          </w:tcPr>
          <w:p w14:paraId="06FB03E7">
            <w:pPr>
              <w:widowControl/>
              <w:spacing w:line="0" w:lineRule="atLeast"/>
              <w:jc w:val="center"/>
              <w:rPr>
                <w:color w:val="auto"/>
                <w:kern w:val="0"/>
                <w:sz w:val="22"/>
                <w:szCs w:val="22"/>
                <w:highlight w:val="none"/>
              </w:rPr>
            </w:pPr>
            <w:r>
              <w:rPr>
                <w:color w:val="auto"/>
                <w:kern w:val="0"/>
                <w:sz w:val="22"/>
                <w:szCs w:val="22"/>
                <w:highlight w:val="none"/>
              </w:rPr>
              <w:t>预算执行率</w:t>
            </w:r>
          </w:p>
        </w:tc>
        <w:tc>
          <w:tcPr>
            <w:tcW w:w="2353" w:type="dxa"/>
            <w:shd w:val="clear" w:color="auto" w:fill="FFFFFF"/>
            <w:vAlign w:val="center"/>
          </w:tcPr>
          <w:p w14:paraId="76130EB0">
            <w:pPr>
              <w:widowControl/>
              <w:spacing w:line="0" w:lineRule="atLeast"/>
              <w:rPr>
                <w:color w:val="auto"/>
                <w:kern w:val="0"/>
                <w:sz w:val="22"/>
                <w:szCs w:val="22"/>
                <w:highlight w:val="none"/>
              </w:rPr>
            </w:pPr>
            <w:r>
              <w:rPr>
                <w:color w:val="auto"/>
                <w:kern w:val="0"/>
                <w:sz w:val="22"/>
                <w:szCs w:val="22"/>
                <w:highlight w:val="none"/>
              </w:rPr>
              <w:t>项目预算资金是否按照计划执行，用以反映或考核项目预算执行情况。</w:t>
            </w:r>
          </w:p>
        </w:tc>
        <w:tc>
          <w:tcPr>
            <w:tcW w:w="5198" w:type="dxa"/>
            <w:shd w:val="clear" w:color="auto" w:fill="FFFFFF"/>
            <w:vAlign w:val="center"/>
          </w:tcPr>
          <w:p w14:paraId="5246956B">
            <w:pPr>
              <w:widowControl/>
              <w:spacing w:line="0" w:lineRule="atLeast"/>
              <w:rPr>
                <w:color w:val="auto"/>
                <w:kern w:val="0"/>
                <w:sz w:val="22"/>
                <w:szCs w:val="22"/>
                <w:highlight w:val="none"/>
              </w:rPr>
            </w:pPr>
            <w:r>
              <w:rPr>
                <w:color w:val="auto"/>
                <w:kern w:val="0"/>
                <w:sz w:val="22"/>
                <w:szCs w:val="22"/>
                <w:highlight w:val="none"/>
              </w:rPr>
              <w:t>预算执行率=（实际支出资金/实际到位资金）×100%。</w:t>
            </w:r>
            <w:r>
              <w:rPr>
                <w:color w:val="auto"/>
                <w:kern w:val="0"/>
                <w:sz w:val="22"/>
                <w:szCs w:val="22"/>
                <w:highlight w:val="none"/>
              </w:rPr>
              <w:br w:type="textWrapping"/>
            </w:r>
            <w:r>
              <w:rPr>
                <w:color w:val="auto"/>
                <w:kern w:val="0"/>
                <w:sz w:val="22"/>
                <w:szCs w:val="22"/>
                <w:highlight w:val="none"/>
              </w:rPr>
              <w:t>实际支出资金：一定时期（本年度或项目期）内项目实际拨付的资金。</w:t>
            </w:r>
          </w:p>
        </w:tc>
        <w:tc>
          <w:tcPr>
            <w:tcW w:w="1300" w:type="dxa"/>
            <w:shd w:val="clear" w:color="auto" w:fill="FFFFFF"/>
            <w:vAlign w:val="center"/>
          </w:tcPr>
          <w:p w14:paraId="25694A9B">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auto" w:fill="FFFFFF"/>
            <w:vAlign w:val="center"/>
          </w:tcPr>
          <w:p w14:paraId="165CCFCD">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4</w:t>
            </w:r>
          </w:p>
        </w:tc>
      </w:tr>
      <w:tr w14:paraId="66DEF2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32C1BDEB">
            <w:pPr>
              <w:spacing w:line="0" w:lineRule="atLeast"/>
              <w:jc w:val="center"/>
              <w:rPr>
                <w:color w:val="auto"/>
                <w:kern w:val="0"/>
                <w:sz w:val="22"/>
                <w:szCs w:val="22"/>
                <w:highlight w:val="none"/>
              </w:rPr>
            </w:pPr>
          </w:p>
        </w:tc>
        <w:tc>
          <w:tcPr>
            <w:tcW w:w="764" w:type="dxa"/>
            <w:shd w:val="clear" w:color="auto" w:fill="FFFFFF"/>
            <w:vAlign w:val="center"/>
          </w:tcPr>
          <w:p w14:paraId="7E78E9CB">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873" w:type="dxa"/>
            <w:shd w:val="clear" w:color="auto" w:fill="FFFFFF"/>
            <w:vAlign w:val="center"/>
          </w:tcPr>
          <w:p w14:paraId="67F687DA">
            <w:pPr>
              <w:widowControl/>
              <w:spacing w:line="0" w:lineRule="atLeast"/>
              <w:jc w:val="center"/>
              <w:rPr>
                <w:color w:val="auto"/>
                <w:kern w:val="0"/>
                <w:sz w:val="22"/>
                <w:szCs w:val="22"/>
                <w:highlight w:val="none"/>
              </w:rPr>
            </w:pPr>
            <w:r>
              <w:rPr>
                <w:color w:val="auto"/>
                <w:kern w:val="0"/>
                <w:sz w:val="22"/>
                <w:szCs w:val="22"/>
                <w:highlight w:val="none"/>
              </w:rPr>
              <w:t>资金使用</w:t>
            </w:r>
          </w:p>
          <w:p w14:paraId="0C337112">
            <w:pPr>
              <w:widowControl/>
              <w:spacing w:line="0" w:lineRule="atLeast"/>
              <w:jc w:val="center"/>
              <w:rPr>
                <w:color w:val="auto"/>
                <w:kern w:val="0"/>
                <w:sz w:val="22"/>
                <w:szCs w:val="22"/>
                <w:highlight w:val="none"/>
              </w:rPr>
            </w:pPr>
            <w:r>
              <w:rPr>
                <w:color w:val="auto"/>
                <w:kern w:val="0"/>
                <w:sz w:val="22"/>
                <w:szCs w:val="22"/>
                <w:highlight w:val="none"/>
              </w:rPr>
              <w:t>合规性</w:t>
            </w:r>
          </w:p>
        </w:tc>
        <w:tc>
          <w:tcPr>
            <w:tcW w:w="2353" w:type="dxa"/>
            <w:shd w:val="clear" w:color="000000" w:fill="FFFFFF"/>
            <w:vAlign w:val="center"/>
          </w:tcPr>
          <w:p w14:paraId="2CFA436A">
            <w:pPr>
              <w:widowControl/>
              <w:spacing w:line="0" w:lineRule="atLeast"/>
              <w:rPr>
                <w:color w:val="auto"/>
                <w:kern w:val="0"/>
                <w:sz w:val="22"/>
                <w:szCs w:val="22"/>
                <w:highlight w:val="none"/>
              </w:rPr>
            </w:pPr>
            <w:r>
              <w:rPr>
                <w:color w:val="auto"/>
                <w:kern w:val="0"/>
                <w:sz w:val="22"/>
                <w:szCs w:val="22"/>
                <w:highlight w:val="none"/>
              </w:rPr>
              <w:t>项目资金使用是否符合相关的财务管理制度规定，用以反映和考核项目资金的规范运行情况。</w:t>
            </w:r>
          </w:p>
        </w:tc>
        <w:tc>
          <w:tcPr>
            <w:tcW w:w="5198" w:type="dxa"/>
            <w:shd w:val="clear" w:color="000000" w:fill="FFFFFF"/>
            <w:vAlign w:val="center"/>
          </w:tcPr>
          <w:p w14:paraId="3A50551D">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①是否符合国家财经法规和财务管理制度以及有关专项资金管理办法的规定；</w:t>
            </w:r>
            <w:r>
              <w:rPr>
                <w:color w:val="auto"/>
                <w:kern w:val="0"/>
                <w:sz w:val="22"/>
                <w:szCs w:val="22"/>
                <w:highlight w:val="none"/>
              </w:rPr>
              <w:br w:type="textWrapping"/>
            </w:r>
            <w:r>
              <w:rPr>
                <w:color w:val="auto"/>
                <w:kern w:val="0"/>
                <w:sz w:val="22"/>
                <w:szCs w:val="22"/>
                <w:highlight w:val="none"/>
              </w:rPr>
              <w:t>②资金的拨付是否有完整的审批程序和手续；</w:t>
            </w:r>
            <w:r>
              <w:rPr>
                <w:color w:val="auto"/>
                <w:kern w:val="0"/>
                <w:sz w:val="22"/>
                <w:szCs w:val="22"/>
                <w:highlight w:val="none"/>
              </w:rPr>
              <w:br w:type="textWrapping"/>
            </w:r>
            <w:r>
              <w:rPr>
                <w:color w:val="auto"/>
                <w:kern w:val="0"/>
                <w:sz w:val="22"/>
                <w:szCs w:val="22"/>
                <w:highlight w:val="none"/>
              </w:rPr>
              <w:t>③是否符合项目预算批复或合同规定的用途；</w:t>
            </w:r>
            <w:r>
              <w:rPr>
                <w:color w:val="auto"/>
                <w:kern w:val="0"/>
                <w:sz w:val="22"/>
                <w:szCs w:val="22"/>
                <w:highlight w:val="none"/>
              </w:rPr>
              <w:br w:type="textWrapping"/>
            </w:r>
            <w:r>
              <w:rPr>
                <w:color w:val="auto"/>
                <w:kern w:val="0"/>
                <w:sz w:val="22"/>
                <w:szCs w:val="22"/>
                <w:highlight w:val="none"/>
              </w:rPr>
              <w:t>④是否存在截留、挤占、挪用、虚列支出等情况。</w:t>
            </w:r>
          </w:p>
        </w:tc>
        <w:tc>
          <w:tcPr>
            <w:tcW w:w="1300" w:type="dxa"/>
            <w:shd w:val="clear" w:color="000000" w:fill="FFFFFF"/>
            <w:vAlign w:val="center"/>
          </w:tcPr>
          <w:p w14:paraId="65C6012D">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000000" w:fill="FFFFFF"/>
            <w:vAlign w:val="center"/>
          </w:tcPr>
          <w:p w14:paraId="222C287A">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4</w:t>
            </w:r>
          </w:p>
        </w:tc>
      </w:tr>
      <w:tr w14:paraId="49B781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261B2E21">
            <w:pPr>
              <w:spacing w:line="0" w:lineRule="atLeast"/>
              <w:jc w:val="center"/>
              <w:rPr>
                <w:color w:val="auto"/>
                <w:kern w:val="0"/>
                <w:sz w:val="22"/>
                <w:szCs w:val="22"/>
                <w:highlight w:val="none"/>
              </w:rPr>
            </w:pPr>
          </w:p>
        </w:tc>
        <w:tc>
          <w:tcPr>
            <w:tcW w:w="764" w:type="dxa"/>
            <w:vMerge w:val="restart"/>
            <w:shd w:val="clear" w:color="auto" w:fill="FFFFFF"/>
            <w:vAlign w:val="center"/>
          </w:tcPr>
          <w:p w14:paraId="2AFC86B4">
            <w:pPr>
              <w:widowControl/>
              <w:spacing w:line="0" w:lineRule="atLeast"/>
              <w:jc w:val="center"/>
              <w:rPr>
                <w:color w:val="auto"/>
                <w:kern w:val="0"/>
                <w:sz w:val="22"/>
                <w:szCs w:val="22"/>
                <w:highlight w:val="none"/>
              </w:rPr>
            </w:pPr>
            <w:r>
              <w:rPr>
                <w:color w:val="auto"/>
                <w:kern w:val="0"/>
                <w:sz w:val="22"/>
                <w:szCs w:val="22"/>
                <w:highlight w:val="none"/>
              </w:rPr>
              <w:t>组织实施</w:t>
            </w:r>
          </w:p>
          <w:p w14:paraId="462790CE">
            <w:pPr>
              <w:spacing w:line="0" w:lineRule="atLeast"/>
              <w:jc w:val="center"/>
              <w:rPr>
                <w:color w:val="auto"/>
                <w:kern w:val="0"/>
                <w:sz w:val="22"/>
                <w:szCs w:val="22"/>
                <w:highlight w:val="none"/>
              </w:rPr>
            </w:pPr>
            <w:r>
              <w:rPr>
                <w:color w:val="auto"/>
                <w:kern w:val="0"/>
                <w:sz w:val="22"/>
                <w:szCs w:val="22"/>
                <w:highlight w:val="none"/>
              </w:rPr>
              <w:t>　</w:t>
            </w:r>
          </w:p>
        </w:tc>
        <w:tc>
          <w:tcPr>
            <w:tcW w:w="873" w:type="dxa"/>
            <w:shd w:val="clear" w:color="auto" w:fill="FFFFFF"/>
            <w:vAlign w:val="center"/>
          </w:tcPr>
          <w:p w14:paraId="0D99376A">
            <w:pPr>
              <w:widowControl/>
              <w:spacing w:line="0" w:lineRule="atLeast"/>
              <w:jc w:val="center"/>
              <w:rPr>
                <w:color w:val="auto"/>
                <w:kern w:val="0"/>
                <w:sz w:val="22"/>
                <w:szCs w:val="22"/>
                <w:highlight w:val="none"/>
              </w:rPr>
            </w:pPr>
            <w:r>
              <w:rPr>
                <w:color w:val="auto"/>
                <w:kern w:val="0"/>
                <w:sz w:val="22"/>
                <w:szCs w:val="22"/>
                <w:highlight w:val="none"/>
              </w:rPr>
              <w:t>管理制度</w:t>
            </w:r>
          </w:p>
          <w:p w14:paraId="4F79412A">
            <w:pPr>
              <w:widowControl/>
              <w:spacing w:line="0" w:lineRule="atLeast"/>
              <w:jc w:val="center"/>
              <w:rPr>
                <w:color w:val="auto"/>
                <w:kern w:val="0"/>
                <w:sz w:val="22"/>
                <w:szCs w:val="22"/>
                <w:highlight w:val="none"/>
              </w:rPr>
            </w:pPr>
            <w:r>
              <w:rPr>
                <w:color w:val="auto"/>
                <w:kern w:val="0"/>
                <w:sz w:val="22"/>
                <w:szCs w:val="22"/>
                <w:highlight w:val="none"/>
              </w:rPr>
              <w:t>健全性</w:t>
            </w:r>
          </w:p>
        </w:tc>
        <w:tc>
          <w:tcPr>
            <w:tcW w:w="2353" w:type="dxa"/>
            <w:shd w:val="clear" w:color="000000" w:fill="FFFFFF"/>
            <w:vAlign w:val="center"/>
          </w:tcPr>
          <w:p w14:paraId="3A113A6B">
            <w:pPr>
              <w:widowControl/>
              <w:spacing w:line="0" w:lineRule="atLeast"/>
              <w:rPr>
                <w:color w:val="auto"/>
                <w:kern w:val="0"/>
                <w:sz w:val="22"/>
                <w:szCs w:val="22"/>
                <w:highlight w:val="none"/>
              </w:rPr>
            </w:pPr>
            <w:r>
              <w:rPr>
                <w:color w:val="auto"/>
                <w:kern w:val="0"/>
                <w:sz w:val="22"/>
                <w:szCs w:val="22"/>
                <w:highlight w:val="none"/>
              </w:rPr>
              <w:t>项目实施单位的财务和业务管理制度是否健全，用以反映和考核财务和业务管理制度对项目顺利实施的保障情况。</w:t>
            </w:r>
          </w:p>
        </w:tc>
        <w:tc>
          <w:tcPr>
            <w:tcW w:w="5198" w:type="dxa"/>
            <w:shd w:val="clear" w:color="000000" w:fill="FFFFFF"/>
            <w:vAlign w:val="center"/>
          </w:tcPr>
          <w:p w14:paraId="34166FC2">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①是否已制定或具有相应的财务和业务管理制度；</w:t>
            </w:r>
            <w:r>
              <w:rPr>
                <w:color w:val="auto"/>
                <w:kern w:val="0"/>
                <w:sz w:val="22"/>
                <w:szCs w:val="22"/>
                <w:highlight w:val="none"/>
              </w:rPr>
              <w:br w:type="textWrapping"/>
            </w:r>
            <w:r>
              <w:rPr>
                <w:color w:val="auto"/>
                <w:kern w:val="0"/>
                <w:sz w:val="22"/>
                <w:szCs w:val="22"/>
                <w:highlight w:val="none"/>
              </w:rPr>
              <w:t>②财务和业务管理制度是否合法、合规、完整。</w:t>
            </w:r>
          </w:p>
        </w:tc>
        <w:tc>
          <w:tcPr>
            <w:tcW w:w="1300" w:type="dxa"/>
            <w:shd w:val="clear" w:color="000000" w:fill="FFFFFF"/>
            <w:vAlign w:val="center"/>
          </w:tcPr>
          <w:p w14:paraId="6A725186">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000000" w:fill="FFFFFF"/>
            <w:vAlign w:val="center"/>
          </w:tcPr>
          <w:p w14:paraId="2C8CAC90">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4</w:t>
            </w:r>
          </w:p>
        </w:tc>
      </w:tr>
      <w:tr w14:paraId="6C2007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523512F3">
            <w:pPr>
              <w:widowControl/>
              <w:spacing w:line="0" w:lineRule="atLeast"/>
              <w:jc w:val="center"/>
              <w:rPr>
                <w:color w:val="auto"/>
                <w:kern w:val="0"/>
                <w:sz w:val="22"/>
                <w:szCs w:val="22"/>
                <w:highlight w:val="none"/>
              </w:rPr>
            </w:pPr>
          </w:p>
        </w:tc>
        <w:tc>
          <w:tcPr>
            <w:tcW w:w="764" w:type="dxa"/>
            <w:vMerge w:val="continue"/>
            <w:shd w:val="clear" w:color="auto" w:fill="FFFFFF"/>
            <w:vAlign w:val="center"/>
          </w:tcPr>
          <w:p w14:paraId="77479BA7">
            <w:pPr>
              <w:widowControl/>
              <w:spacing w:line="0" w:lineRule="atLeast"/>
              <w:jc w:val="center"/>
              <w:rPr>
                <w:color w:val="auto"/>
                <w:kern w:val="0"/>
                <w:sz w:val="22"/>
                <w:szCs w:val="22"/>
                <w:highlight w:val="none"/>
              </w:rPr>
            </w:pPr>
          </w:p>
        </w:tc>
        <w:tc>
          <w:tcPr>
            <w:tcW w:w="873" w:type="dxa"/>
            <w:shd w:val="clear" w:color="auto" w:fill="FFFFFF"/>
            <w:vAlign w:val="center"/>
          </w:tcPr>
          <w:p w14:paraId="5C327877">
            <w:pPr>
              <w:widowControl/>
              <w:spacing w:line="0" w:lineRule="atLeast"/>
              <w:jc w:val="center"/>
              <w:rPr>
                <w:color w:val="auto"/>
                <w:kern w:val="0"/>
                <w:sz w:val="22"/>
                <w:szCs w:val="22"/>
                <w:highlight w:val="none"/>
              </w:rPr>
            </w:pPr>
            <w:r>
              <w:rPr>
                <w:color w:val="auto"/>
                <w:kern w:val="0"/>
                <w:sz w:val="22"/>
                <w:szCs w:val="22"/>
                <w:highlight w:val="none"/>
              </w:rPr>
              <w:t>制度执行</w:t>
            </w:r>
          </w:p>
          <w:p w14:paraId="56A6C651">
            <w:pPr>
              <w:widowControl/>
              <w:spacing w:line="0" w:lineRule="atLeast"/>
              <w:jc w:val="center"/>
              <w:rPr>
                <w:color w:val="auto"/>
                <w:kern w:val="0"/>
                <w:sz w:val="22"/>
                <w:szCs w:val="22"/>
                <w:highlight w:val="none"/>
              </w:rPr>
            </w:pPr>
            <w:r>
              <w:rPr>
                <w:color w:val="auto"/>
                <w:kern w:val="0"/>
                <w:sz w:val="22"/>
                <w:szCs w:val="22"/>
                <w:highlight w:val="none"/>
              </w:rPr>
              <w:t>有效性</w:t>
            </w:r>
          </w:p>
        </w:tc>
        <w:tc>
          <w:tcPr>
            <w:tcW w:w="2353" w:type="dxa"/>
            <w:shd w:val="clear" w:color="000000" w:fill="FFFFFF"/>
            <w:vAlign w:val="center"/>
          </w:tcPr>
          <w:p w14:paraId="1D5A7160">
            <w:pPr>
              <w:widowControl/>
              <w:spacing w:line="0" w:lineRule="atLeast"/>
              <w:rPr>
                <w:color w:val="auto"/>
                <w:kern w:val="0"/>
                <w:sz w:val="22"/>
                <w:szCs w:val="22"/>
                <w:highlight w:val="none"/>
              </w:rPr>
            </w:pPr>
            <w:r>
              <w:rPr>
                <w:color w:val="auto"/>
                <w:kern w:val="0"/>
                <w:sz w:val="22"/>
                <w:szCs w:val="22"/>
                <w:highlight w:val="none"/>
              </w:rPr>
              <w:t>项目实施是否符合相关管理规定，用以反映和考核相关管理制度的有效执行情况。</w:t>
            </w:r>
          </w:p>
        </w:tc>
        <w:tc>
          <w:tcPr>
            <w:tcW w:w="5198" w:type="dxa"/>
            <w:shd w:val="clear" w:color="000000" w:fill="FFFFFF"/>
            <w:vAlign w:val="center"/>
          </w:tcPr>
          <w:p w14:paraId="3E9AF406">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①是否遵守相关法律法规和相关管理规定；</w:t>
            </w:r>
            <w:r>
              <w:rPr>
                <w:color w:val="auto"/>
                <w:kern w:val="0"/>
                <w:sz w:val="22"/>
                <w:szCs w:val="22"/>
                <w:highlight w:val="none"/>
              </w:rPr>
              <w:br w:type="textWrapping"/>
            </w:r>
            <w:r>
              <w:rPr>
                <w:color w:val="auto"/>
                <w:kern w:val="0"/>
                <w:sz w:val="22"/>
                <w:szCs w:val="22"/>
                <w:highlight w:val="none"/>
              </w:rPr>
              <w:t>②项目调整及支出调整手续是否完备；</w:t>
            </w:r>
            <w:r>
              <w:rPr>
                <w:color w:val="auto"/>
                <w:kern w:val="0"/>
                <w:sz w:val="22"/>
                <w:szCs w:val="22"/>
                <w:highlight w:val="none"/>
              </w:rPr>
              <w:br w:type="textWrapping"/>
            </w:r>
            <w:r>
              <w:rPr>
                <w:color w:val="auto"/>
                <w:kern w:val="0"/>
                <w:sz w:val="22"/>
                <w:szCs w:val="22"/>
                <w:highlight w:val="none"/>
              </w:rPr>
              <w:t>③项目合同书、验收报告、技术鉴定等资料是否齐全并及时归档；</w:t>
            </w:r>
            <w:r>
              <w:rPr>
                <w:color w:val="auto"/>
                <w:kern w:val="0"/>
                <w:sz w:val="22"/>
                <w:szCs w:val="22"/>
                <w:highlight w:val="none"/>
              </w:rPr>
              <w:br w:type="textWrapping"/>
            </w:r>
            <w:r>
              <w:rPr>
                <w:color w:val="auto"/>
                <w:kern w:val="0"/>
                <w:sz w:val="22"/>
                <w:szCs w:val="22"/>
                <w:highlight w:val="none"/>
              </w:rPr>
              <w:t>④项目实施的人员条件、场地设备、信息支撑等是否落实到位。</w:t>
            </w:r>
          </w:p>
        </w:tc>
        <w:tc>
          <w:tcPr>
            <w:tcW w:w="1300" w:type="dxa"/>
            <w:shd w:val="clear" w:color="000000" w:fill="FFFFFF"/>
            <w:vAlign w:val="center"/>
          </w:tcPr>
          <w:p w14:paraId="180D1038">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000000" w:fill="FFFFFF"/>
            <w:vAlign w:val="center"/>
          </w:tcPr>
          <w:p w14:paraId="317D8ED9">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4</w:t>
            </w:r>
          </w:p>
        </w:tc>
      </w:tr>
      <w:tr w14:paraId="31DC95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71E1FE38">
            <w:pPr>
              <w:widowControl/>
              <w:spacing w:line="0" w:lineRule="atLeast"/>
              <w:jc w:val="center"/>
              <w:rPr>
                <w:color w:val="auto"/>
                <w:kern w:val="0"/>
                <w:sz w:val="22"/>
                <w:szCs w:val="22"/>
                <w:highlight w:val="none"/>
              </w:rPr>
            </w:pPr>
            <w:r>
              <w:rPr>
                <w:color w:val="auto"/>
                <w:kern w:val="0"/>
                <w:sz w:val="22"/>
                <w:szCs w:val="22"/>
                <w:highlight w:val="none"/>
              </w:rPr>
              <w:t>产出</w:t>
            </w:r>
          </w:p>
        </w:tc>
        <w:tc>
          <w:tcPr>
            <w:tcW w:w="764" w:type="dxa"/>
            <w:shd w:val="clear" w:color="auto" w:fill="FFFFFF"/>
            <w:vAlign w:val="center"/>
          </w:tcPr>
          <w:p w14:paraId="2F6BE11B">
            <w:pPr>
              <w:widowControl/>
              <w:spacing w:line="0" w:lineRule="atLeast"/>
              <w:jc w:val="center"/>
              <w:rPr>
                <w:color w:val="auto"/>
                <w:kern w:val="0"/>
                <w:sz w:val="22"/>
                <w:szCs w:val="22"/>
                <w:highlight w:val="none"/>
              </w:rPr>
            </w:pPr>
            <w:r>
              <w:rPr>
                <w:color w:val="auto"/>
                <w:kern w:val="0"/>
                <w:sz w:val="22"/>
                <w:szCs w:val="22"/>
                <w:highlight w:val="none"/>
              </w:rPr>
              <w:t>产出数量</w:t>
            </w:r>
          </w:p>
        </w:tc>
        <w:tc>
          <w:tcPr>
            <w:tcW w:w="873" w:type="dxa"/>
            <w:shd w:val="clear" w:color="auto" w:fill="FFFFFF"/>
            <w:vAlign w:val="center"/>
          </w:tcPr>
          <w:p w14:paraId="6AAEEFF7">
            <w:pPr>
              <w:widowControl/>
              <w:spacing w:line="0" w:lineRule="atLeast"/>
              <w:jc w:val="center"/>
              <w:rPr>
                <w:color w:val="auto"/>
                <w:kern w:val="0"/>
                <w:sz w:val="22"/>
                <w:szCs w:val="22"/>
                <w:highlight w:val="none"/>
              </w:rPr>
            </w:pPr>
            <w:r>
              <w:rPr>
                <w:color w:val="auto"/>
                <w:kern w:val="0"/>
                <w:sz w:val="22"/>
                <w:szCs w:val="22"/>
                <w:highlight w:val="none"/>
              </w:rPr>
              <w:t>实际完成率</w:t>
            </w:r>
          </w:p>
        </w:tc>
        <w:tc>
          <w:tcPr>
            <w:tcW w:w="2353" w:type="dxa"/>
            <w:shd w:val="clear" w:color="000000" w:fill="FFFFFF"/>
            <w:vAlign w:val="center"/>
          </w:tcPr>
          <w:p w14:paraId="3DDD7886">
            <w:pPr>
              <w:widowControl/>
              <w:spacing w:line="0" w:lineRule="atLeast"/>
              <w:rPr>
                <w:color w:val="auto"/>
                <w:kern w:val="0"/>
                <w:sz w:val="22"/>
                <w:szCs w:val="22"/>
                <w:highlight w:val="none"/>
              </w:rPr>
            </w:pPr>
            <w:r>
              <w:rPr>
                <w:color w:val="auto"/>
                <w:kern w:val="0"/>
                <w:sz w:val="22"/>
                <w:szCs w:val="22"/>
                <w:highlight w:val="none"/>
              </w:rPr>
              <w:t>项目实施的实际产出数与计划产出数的比率，用以反映和考核项目产出数量目标的实现程度。</w:t>
            </w:r>
          </w:p>
        </w:tc>
        <w:tc>
          <w:tcPr>
            <w:tcW w:w="5198" w:type="dxa"/>
            <w:shd w:val="clear" w:color="000000" w:fill="FFFFFF"/>
            <w:vAlign w:val="center"/>
          </w:tcPr>
          <w:p w14:paraId="4B11AE37">
            <w:pPr>
              <w:widowControl/>
              <w:spacing w:line="0" w:lineRule="atLeast"/>
              <w:rPr>
                <w:color w:val="auto"/>
                <w:kern w:val="0"/>
                <w:sz w:val="22"/>
                <w:szCs w:val="22"/>
                <w:highlight w:val="none"/>
              </w:rPr>
            </w:pPr>
            <w:r>
              <w:rPr>
                <w:color w:val="auto"/>
                <w:kern w:val="0"/>
                <w:sz w:val="22"/>
                <w:szCs w:val="22"/>
                <w:highlight w:val="none"/>
              </w:rPr>
              <w:t>实际完成率=（实际产出数/计划产出数）×100%。</w:t>
            </w:r>
            <w:r>
              <w:rPr>
                <w:color w:val="auto"/>
                <w:kern w:val="0"/>
                <w:sz w:val="22"/>
                <w:szCs w:val="22"/>
                <w:highlight w:val="none"/>
              </w:rPr>
              <w:br w:type="textWrapping"/>
            </w:r>
            <w:r>
              <w:rPr>
                <w:color w:val="auto"/>
                <w:kern w:val="0"/>
                <w:sz w:val="22"/>
                <w:szCs w:val="22"/>
                <w:highlight w:val="none"/>
              </w:rPr>
              <w:t>实际产出数：一定时期（本年度或项目期）内项目实际产出的产品或提供的服务数量。</w:t>
            </w:r>
            <w:r>
              <w:rPr>
                <w:color w:val="auto"/>
                <w:kern w:val="0"/>
                <w:sz w:val="22"/>
                <w:szCs w:val="22"/>
                <w:highlight w:val="none"/>
              </w:rPr>
              <w:br w:type="textWrapping"/>
            </w:r>
            <w:r>
              <w:rPr>
                <w:color w:val="auto"/>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14:paraId="3AD50C8E">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48A01C5B">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421553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497D091C">
            <w:pPr>
              <w:widowControl/>
              <w:spacing w:line="0" w:lineRule="atLeast"/>
              <w:jc w:val="center"/>
              <w:rPr>
                <w:color w:val="auto"/>
                <w:kern w:val="0"/>
                <w:sz w:val="22"/>
                <w:szCs w:val="22"/>
                <w:highlight w:val="none"/>
              </w:rPr>
            </w:pPr>
          </w:p>
        </w:tc>
        <w:tc>
          <w:tcPr>
            <w:tcW w:w="764" w:type="dxa"/>
            <w:shd w:val="clear" w:color="auto" w:fill="FFFFFF"/>
            <w:vAlign w:val="center"/>
          </w:tcPr>
          <w:p w14:paraId="203F5D12">
            <w:pPr>
              <w:widowControl/>
              <w:spacing w:line="0" w:lineRule="atLeast"/>
              <w:jc w:val="center"/>
              <w:rPr>
                <w:color w:val="auto"/>
                <w:kern w:val="0"/>
                <w:sz w:val="22"/>
                <w:szCs w:val="22"/>
                <w:highlight w:val="none"/>
              </w:rPr>
            </w:pPr>
            <w:r>
              <w:rPr>
                <w:color w:val="auto"/>
                <w:kern w:val="0"/>
                <w:sz w:val="22"/>
                <w:szCs w:val="22"/>
                <w:highlight w:val="none"/>
              </w:rPr>
              <w:t>产出质量</w:t>
            </w:r>
          </w:p>
        </w:tc>
        <w:tc>
          <w:tcPr>
            <w:tcW w:w="873" w:type="dxa"/>
            <w:shd w:val="clear" w:color="auto" w:fill="FFFFFF"/>
            <w:vAlign w:val="center"/>
          </w:tcPr>
          <w:p w14:paraId="30C29786">
            <w:pPr>
              <w:widowControl/>
              <w:spacing w:line="0" w:lineRule="atLeast"/>
              <w:jc w:val="center"/>
              <w:rPr>
                <w:color w:val="auto"/>
                <w:kern w:val="0"/>
                <w:sz w:val="22"/>
                <w:szCs w:val="22"/>
                <w:highlight w:val="none"/>
              </w:rPr>
            </w:pPr>
            <w:r>
              <w:rPr>
                <w:color w:val="auto"/>
                <w:kern w:val="0"/>
                <w:sz w:val="22"/>
                <w:szCs w:val="22"/>
                <w:highlight w:val="none"/>
              </w:rPr>
              <w:t>质量达标率</w:t>
            </w:r>
          </w:p>
        </w:tc>
        <w:tc>
          <w:tcPr>
            <w:tcW w:w="2353" w:type="dxa"/>
            <w:shd w:val="clear" w:color="000000" w:fill="FFFFFF"/>
            <w:vAlign w:val="center"/>
          </w:tcPr>
          <w:p w14:paraId="4A2514C8">
            <w:pPr>
              <w:widowControl/>
              <w:spacing w:line="0" w:lineRule="atLeast"/>
              <w:rPr>
                <w:color w:val="auto"/>
                <w:kern w:val="0"/>
                <w:sz w:val="22"/>
                <w:szCs w:val="22"/>
                <w:highlight w:val="none"/>
              </w:rPr>
            </w:pPr>
            <w:r>
              <w:rPr>
                <w:color w:val="auto"/>
                <w:kern w:val="0"/>
                <w:sz w:val="22"/>
                <w:szCs w:val="22"/>
                <w:highlight w:val="none"/>
              </w:rPr>
              <w:t>项目完成的质量达标产出数与实际产出数的比率，用以反映和考核项目产出质量目标的实现程度。</w:t>
            </w:r>
          </w:p>
        </w:tc>
        <w:tc>
          <w:tcPr>
            <w:tcW w:w="5198" w:type="dxa"/>
            <w:shd w:val="clear" w:color="000000" w:fill="FFFFFF"/>
            <w:vAlign w:val="center"/>
          </w:tcPr>
          <w:p w14:paraId="70F39813">
            <w:pPr>
              <w:widowControl/>
              <w:spacing w:line="0" w:lineRule="atLeast"/>
              <w:rPr>
                <w:color w:val="auto"/>
                <w:kern w:val="0"/>
                <w:sz w:val="22"/>
                <w:szCs w:val="22"/>
                <w:highlight w:val="none"/>
              </w:rPr>
            </w:pPr>
            <w:r>
              <w:rPr>
                <w:color w:val="auto"/>
                <w:kern w:val="0"/>
                <w:sz w:val="22"/>
                <w:szCs w:val="22"/>
                <w:highlight w:val="none"/>
              </w:rPr>
              <w:t>质量达标率=（质量达标产出数/实际产出数）×100%。</w:t>
            </w:r>
          </w:p>
          <w:p w14:paraId="6539A97F">
            <w:pPr>
              <w:widowControl/>
              <w:spacing w:line="0" w:lineRule="atLeast"/>
              <w:rPr>
                <w:color w:val="auto"/>
                <w:kern w:val="0"/>
                <w:sz w:val="22"/>
                <w:szCs w:val="22"/>
                <w:highlight w:val="none"/>
              </w:rPr>
            </w:pPr>
            <w:r>
              <w:rPr>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3338EA0D">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24679B41">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35B649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5B74A490">
            <w:pPr>
              <w:spacing w:line="0" w:lineRule="atLeast"/>
              <w:jc w:val="center"/>
              <w:rPr>
                <w:color w:val="auto"/>
                <w:kern w:val="0"/>
                <w:sz w:val="22"/>
                <w:szCs w:val="22"/>
                <w:highlight w:val="none"/>
              </w:rPr>
            </w:pPr>
          </w:p>
        </w:tc>
        <w:tc>
          <w:tcPr>
            <w:tcW w:w="764" w:type="dxa"/>
            <w:shd w:val="clear" w:color="auto" w:fill="FFFFFF"/>
            <w:vAlign w:val="center"/>
          </w:tcPr>
          <w:p w14:paraId="77518C03">
            <w:pPr>
              <w:spacing w:line="0" w:lineRule="atLeast"/>
              <w:jc w:val="center"/>
              <w:rPr>
                <w:color w:val="auto"/>
                <w:kern w:val="0"/>
                <w:sz w:val="22"/>
                <w:szCs w:val="22"/>
                <w:highlight w:val="none"/>
              </w:rPr>
            </w:pPr>
            <w:r>
              <w:rPr>
                <w:color w:val="auto"/>
                <w:kern w:val="0"/>
                <w:sz w:val="22"/>
                <w:szCs w:val="22"/>
                <w:highlight w:val="none"/>
              </w:rPr>
              <w:t>产出时效</w:t>
            </w:r>
          </w:p>
        </w:tc>
        <w:tc>
          <w:tcPr>
            <w:tcW w:w="873" w:type="dxa"/>
            <w:shd w:val="clear" w:color="auto" w:fill="FFFFFF"/>
            <w:vAlign w:val="center"/>
          </w:tcPr>
          <w:p w14:paraId="6973E725">
            <w:pPr>
              <w:widowControl/>
              <w:spacing w:line="0" w:lineRule="atLeast"/>
              <w:jc w:val="center"/>
              <w:rPr>
                <w:color w:val="auto"/>
                <w:kern w:val="0"/>
                <w:sz w:val="22"/>
                <w:szCs w:val="22"/>
                <w:highlight w:val="none"/>
              </w:rPr>
            </w:pPr>
            <w:r>
              <w:rPr>
                <w:color w:val="auto"/>
                <w:kern w:val="0"/>
                <w:sz w:val="22"/>
                <w:szCs w:val="22"/>
                <w:highlight w:val="none"/>
              </w:rPr>
              <w:t>完成及时性</w:t>
            </w:r>
          </w:p>
        </w:tc>
        <w:tc>
          <w:tcPr>
            <w:tcW w:w="2353" w:type="dxa"/>
            <w:shd w:val="clear" w:color="000000" w:fill="FFFFFF"/>
            <w:vAlign w:val="center"/>
          </w:tcPr>
          <w:p w14:paraId="55C7E450">
            <w:pPr>
              <w:widowControl/>
              <w:spacing w:line="0" w:lineRule="atLeast"/>
              <w:rPr>
                <w:color w:val="auto"/>
                <w:kern w:val="0"/>
                <w:sz w:val="22"/>
                <w:szCs w:val="22"/>
                <w:highlight w:val="none"/>
              </w:rPr>
            </w:pPr>
            <w:r>
              <w:rPr>
                <w:color w:val="auto"/>
                <w:kern w:val="0"/>
                <w:sz w:val="22"/>
                <w:szCs w:val="22"/>
                <w:highlight w:val="none"/>
              </w:rPr>
              <w:t>项目实际完成时间与计划完成时间的比较，用以反映和考核项目产出时效目标的实现程度。</w:t>
            </w:r>
          </w:p>
        </w:tc>
        <w:tc>
          <w:tcPr>
            <w:tcW w:w="5198" w:type="dxa"/>
            <w:shd w:val="clear" w:color="000000" w:fill="FFFFFF"/>
            <w:vAlign w:val="center"/>
          </w:tcPr>
          <w:p w14:paraId="65892AB3">
            <w:pPr>
              <w:widowControl/>
              <w:spacing w:line="0" w:lineRule="atLeast"/>
              <w:rPr>
                <w:color w:val="auto"/>
                <w:kern w:val="0"/>
                <w:sz w:val="22"/>
                <w:szCs w:val="22"/>
                <w:highlight w:val="none"/>
              </w:rPr>
            </w:pPr>
            <w:r>
              <w:rPr>
                <w:color w:val="auto"/>
                <w:kern w:val="0"/>
                <w:sz w:val="22"/>
                <w:szCs w:val="22"/>
                <w:highlight w:val="none"/>
              </w:rPr>
              <w:t>实际完成时间：项目实施单位完成该项目实际所耗用的时间。</w:t>
            </w:r>
            <w:r>
              <w:rPr>
                <w:color w:val="auto"/>
                <w:kern w:val="0"/>
                <w:sz w:val="22"/>
                <w:szCs w:val="22"/>
                <w:highlight w:val="none"/>
              </w:rPr>
              <w:br w:type="textWrapping"/>
            </w:r>
            <w:r>
              <w:rPr>
                <w:color w:val="auto"/>
                <w:kern w:val="0"/>
                <w:sz w:val="22"/>
                <w:szCs w:val="22"/>
                <w:highlight w:val="none"/>
              </w:rPr>
              <w:t>计划完成时间：按照项目实施计划或相关规定完成该项目所需的时间。</w:t>
            </w:r>
          </w:p>
        </w:tc>
        <w:tc>
          <w:tcPr>
            <w:tcW w:w="1300" w:type="dxa"/>
            <w:shd w:val="clear" w:color="000000" w:fill="FFFFFF"/>
            <w:vAlign w:val="center"/>
          </w:tcPr>
          <w:p w14:paraId="71B58C33">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01596DA8">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22F463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26AEC7F5">
            <w:pPr>
              <w:widowControl/>
              <w:spacing w:line="0" w:lineRule="atLeast"/>
              <w:jc w:val="center"/>
              <w:rPr>
                <w:color w:val="auto"/>
                <w:kern w:val="0"/>
                <w:sz w:val="22"/>
                <w:szCs w:val="22"/>
                <w:highlight w:val="none"/>
              </w:rPr>
            </w:pPr>
          </w:p>
        </w:tc>
        <w:tc>
          <w:tcPr>
            <w:tcW w:w="764" w:type="dxa"/>
            <w:shd w:val="clear" w:color="auto" w:fill="FFFFFF"/>
            <w:vAlign w:val="center"/>
          </w:tcPr>
          <w:p w14:paraId="45F87FFC">
            <w:pPr>
              <w:widowControl/>
              <w:spacing w:line="0" w:lineRule="atLeast"/>
              <w:jc w:val="center"/>
              <w:rPr>
                <w:color w:val="auto"/>
                <w:kern w:val="0"/>
                <w:sz w:val="22"/>
                <w:szCs w:val="22"/>
                <w:highlight w:val="none"/>
              </w:rPr>
            </w:pPr>
            <w:r>
              <w:rPr>
                <w:color w:val="auto"/>
                <w:kern w:val="0"/>
                <w:sz w:val="22"/>
                <w:szCs w:val="22"/>
                <w:highlight w:val="none"/>
              </w:rPr>
              <w:t>产出成本</w:t>
            </w:r>
          </w:p>
        </w:tc>
        <w:tc>
          <w:tcPr>
            <w:tcW w:w="873" w:type="dxa"/>
            <w:shd w:val="clear" w:color="auto" w:fill="FFFFFF"/>
            <w:vAlign w:val="center"/>
          </w:tcPr>
          <w:p w14:paraId="2A1E0063">
            <w:pPr>
              <w:widowControl/>
              <w:spacing w:line="0" w:lineRule="atLeast"/>
              <w:jc w:val="center"/>
              <w:rPr>
                <w:color w:val="auto"/>
                <w:kern w:val="0"/>
                <w:sz w:val="22"/>
                <w:szCs w:val="22"/>
                <w:highlight w:val="none"/>
              </w:rPr>
            </w:pPr>
            <w:r>
              <w:rPr>
                <w:color w:val="auto"/>
                <w:kern w:val="0"/>
                <w:sz w:val="22"/>
                <w:szCs w:val="22"/>
                <w:highlight w:val="none"/>
              </w:rPr>
              <w:t>成本节约率</w:t>
            </w:r>
          </w:p>
        </w:tc>
        <w:tc>
          <w:tcPr>
            <w:tcW w:w="2353" w:type="dxa"/>
            <w:shd w:val="clear" w:color="000000" w:fill="FFFFFF"/>
            <w:vAlign w:val="center"/>
          </w:tcPr>
          <w:p w14:paraId="72F485AD">
            <w:pPr>
              <w:widowControl/>
              <w:spacing w:line="0" w:lineRule="atLeast"/>
              <w:rPr>
                <w:color w:val="auto"/>
                <w:kern w:val="0"/>
                <w:sz w:val="22"/>
                <w:szCs w:val="22"/>
                <w:highlight w:val="none"/>
              </w:rPr>
            </w:pPr>
            <w:r>
              <w:rPr>
                <w:color w:val="auto"/>
                <w:kern w:val="0"/>
                <w:sz w:val="22"/>
                <w:szCs w:val="22"/>
                <w:highlight w:val="none"/>
              </w:rPr>
              <w:t>完成项目计划工作目标的实际节约成本与计划成本的比率，用以反映和考核项目的成本节约程度。</w:t>
            </w:r>
          </w:p>
        </w:tc>
        <w:tc>
          <w:tcPr>
            <w:tcW w:w="5198" w:type="dxa"/>
            <w:shd w:val="clear" w:color="000000" w:fill="FFFFFF"/>
            <w:vAlign w:val="center"/>
          </w:tcPr>
          <w:p w14:paraId="0C935C1A">
            <w:pPr>
              <w:widowControl/>
              <w:spacing w:line="0" w:lineRule="atLeast"/>
              <w:rPr>
                <w:color w:val="auto"/>
                <w:kern w:val="0"/>
                <w:sz w:val="22"/>
                <w:szCs w:val="22"/>
                <w:highlight w:val="none"/>
              </w:rPr>
            </w:pPr>
            <w:r>
              <w:rPr>
                <w:color w:val="auto"/>
                <w:kern w:val="0"/>
                <w:sz w:val="22"/>
                <w:szCs w:val="22"/>
                <w:highlight w:val="none"/>
              </w:rPr>
              <w:br w:type="textWrapping"/>
            </w:r>
            <w:r>
              <w:rPr>
                <w:color w:val="auto"/>
                <w:kern w:val="0"/>
                <w:sz w:val="22"/>
                <w:szCs w:val="22"/>
                <w:highlight w:val="none"/>
              </w:rPr>
              <w:t>成本节约率=[（计划成本-实际成本）/计划成本]×100%。</w:t>
            </w:r>
            <w:r>
              <w:rPr>
                <w:color w:val="auto"/>
                <w:kern w:val="0"/>
                <w:sz w:val="22"/>
                <w:szCs w:val="22"/>
                <w:highlight w:val="none"/>
              </w:rPr>
              <w:br w:type="textWrapping"/>
            </w:r>
            <w:r>
              <w:rPr>
                <w:color w:val="auto"/>
                <w:kern w:val="0"/>
                <w:sz w:val="22"/>
                <w:szCs w:val="22"/>
                <w:highlight w:val="none"/>
              </w:rPr>
              <w:t>实际成本：项目实施单位如期、保质、保量完成既定工作目标实际所耗费的支出。</w:t>
            </w:r>
            <w:r>
              <w:rPr>
                <w:color w:val="auto"/>
                <w:kern w:val="0"/>
                <w:sz w:val="22"/>
                <w:szCs w:val="22"/>
                <w:highlight w:val="none"/>
              </w:rPr>
              <w:br w:type="textWrapping"/>
            </w:r>
            <w:r>
              <w:rPr>
                <w:color w:val="auto"/>
                <w:kern w:val="0"/>
                <w:sz w:val="22"/>
                <w:szCs w:val="22"/>
                <w:highlight w:val="none"/>
              </w:rPr>
              <w:t>计划成本：项目实施单位为完成工作目标计划安排的支出，一般以项目预算为参考。</w:t>
            </w:r>
          </w:p>
        </w:tc>
        <w:tc>
          <w:tcPr>
            <w:tcW w:w="1300" w:type="dxa"/>
            <w:shd w:val="clear" w:color="000000" w:fill="FFFFFF"/>
            <w:vAlign w:val="center"/>
          </w:tcPr>
          <w:p w14:paraId="59DE3260">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127F65C2">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3ACEE7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10ACA2F4">
            <w:pPr>
              <w:widowControl/>
              <w:spacing w:line="0" w:lineRule="atLeast"/>
              <w:jc w:val="center"/>
              <w:rPr>
                <w:color w:val="auto"/>
                <w:kern w:val="0"/>
                <w:sz w:val="22"/>
                <w:szCs w:val="22"/>
                <w:highlight w:val="none"/>
              </w:rPr>
            </w:pPr>
            <w:r>
              <w:rPr>
                <w:color w:val="auto"/>
                <w:kern w:val="0"/>
                <w:sz w:val="22"/>
                <w:szCs w:val="22"/>
                <w:highlight w:val="none"/>
              </w:rPr>
              <w:t>效益　</w:t>
            </w:r>
          </w:p>
        </w:tc>
        <w:tc>
          <w:tcPr>
            <w:tcW w:w="764" w:type="dxa"/>
            <w:vMerge w:val="restart"/>
            <w:shd w:val="clear" w:color="auto" w:fill="FFFFFF"/>
            <w:vAlign w:val="center"/>
          </w:tcPr>
          <w:p w14:paraId="24A315D3">
            <w:pPr>
              <w:widowControl/>
              <w:spacing w:line="0" w:lineRule="atLeast"/>
              <w:jc w:val="center"/>
              <w:rPr>
                <w:color w:val="auto"/>
                <w:kern w:val="0"/>
                <w:sz w:val="22"/>
                <w:szCs w:val="22"/>
                <w:highlight w:val="none"/>
              </w:rPr>
            </w:pPr>
            <w:r>
              <w:rPr>
                <w:color w:val="auto"/>
                <w:kern w:val="0"/>
                <w:sz w:val="22"/>
                <w:szCs w:val="22"/>
                <w:highlight w:val="none"/>
              </w:rPr>
              <w:t>项目效益　</w:t>
            </w:r>
          </w:p>
        </w:tc>
        <w:tc>
          <w:tcPr>
            <w:tcW w:w="873" w:type="dxa"/>
            <w:shd w:val="clear" w:color="auto" w:fill="FFFFFF"/>
            <w:vAlign w:val="center"/>
          </w:tcPr>
          <w:p w14:paraId="6E313650">
            <w:pPr>
              <w:widowControl/>
              <w:spacing w:line="0" w:lineRule="atLeast"/>
              <w:jc w:val="center"/>
              <w:rPr>
                <w:color w:val="auto"/>
                <w:kern w:val="0"/>
                <w:sz w:val="22"/>
                <w:szCs w:val="22"/>
                <w:highlight w:val="none"/>
              </w:rPr>
            </w:pPr>
            <w:r>
              <w:rPr>
                <w:color w:val="auto"/>
                <w:kern w:val="0"/>
                <w:sz w:val="22"/>
                <w:szCs w:val="22"/>
                <w:highlight w:val="none"/>
              </w:rPr>
              <w:t>实施效益</w:t>
            </w:r>
          </w:p>
        </w:tc>
        <w:tc>
          <w:tcPr>
            <w:tcW w:w="2353" w:type="dxa"/>
            <w:shd w:val="clear" w:color="auto" w:fill="FFFFFF"/>
            <w:vAlign w:val="center"/>
          </w:tcPr>
          <w:p w14:paraId="45B96A6C">
            <w:pPr>
              <w:widowControl/>
              <w:spacing w:line="0" w:lineRule="atLeast"/>
              <w:jc w:val="left"/>
              <w:rPr>
                <w:color w:val="auto"/>
                <w:kern w:val="0"/>
                <w:sz w:val="22"/>
                <w:szCs w:val="22"/>
                <w:highlight w:val="none"/>
              </w:rPr>
            </w:pPr>
            <w:r>
              <w:rPr>
                <w:color w:val="auto"/>
                <w:kern w:val="0"/>
                <w:sz w:val="22"/>
                <w:szCs w:val="22"/>
                <w:highlight w:val="none"/>
              </w:rPr>
              <w:t>项目实施所产生的效益。</w:t>
            </w:r>
          </w:p>
        </w:tc>
        <w:tc>
          <w:tcPr>
            <w:tcW w:w="5198" w:type="dxa"/>
            <w:shd w:val="clear" w:color="auto" w:fill="FFFFFF"/>
            <w:vAlign w:val="center"/>
          </w:tcPr>
          <w:p w14:paraId="769EF234">
            <w:pPr>
              <w:widowControl/>
              <w:spacing w:line="0" w:lineRule="atLeast"/>
              <w:rPr>
                <w:color w:val="auto"/>
                <w:kern w:val="0"/>
                <w:sz w:val="22"/>
                <w:szCs w:val="22"/>
                <w:highlight w:val="none"/>
              </w:rPr>
            </w:pPr>
            <w:r>
              <w:rPr>
                <w:color w:val="auto"/>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14:paraId="3FA7424A">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auto" w:fill="FFFFFF"/>
            <w:vAlign w:val="center"/>
          </w:tcPr>
          <w:p w14:paraId="6732AE20">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45D260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53445C64">
            <w:pPr>
              <w:widowControl/>
              <w:spacing w:line="0" w:lineRule="atLeast"/>
              <w:jc w:val="center"/>
              <w:rPr>
                <w:color w:val="auto"/>
                <w:kern w:val="0"/>
                <w:sz w:val="22"/>
                <w:szCs w:val="22"/>
                <w:highlight w:val="none"/>
              </w:rPr>
            </w:pPr>
          </w:p>
        </w:tc>
        <w:tc>
          <w:tcPr>
            <w:tcW w:w="764" w:type="dxa"/>
            <w:vMerge w:val="continue"/>
            <w:shd w:val="clear" w:color="auto" w:fill="FFFFFF"/>
            <w:vAlign w:val="center"/>
          </w:tcPr>
          <w:p w14:paraId="571BE2DA">
            <w:pPr>
              <w:widowControl/>
              <w:spacing w:line="0" w:lineRule="atLeast"/>
              <w:jc w:val="center"/>
              <w:rPr>
                <w:color w:val="auto"/>
                <w:kern w:val="0"/>
                <w:sz w:val="22"/>
                <w:szCs w:val="22"/>
                <w:highlight w:val="none"/>
              </w:rPr>
            </w:pPr>
          </w:p>
        </w:tc>
        <w:tc>
          <w:tcPr>
            <w:tcW w:w="873" w:type="dxa"/>
            <w:shd w:val="clear" w:color="auto" w:fill="FFFFFF"/>
            <w:vAlign w:val="center"/>
          </w:tcPr>
          <w:p w14:paraId="11E4FA7A">
            <w:pPr>
              <w:widowControl/>
              <w:spacing w:line="0" w:lineRule="atLeast"/>
              <w:jc w:val="center"/>
              <w:rPr>
                <w:color w:val="auto"/>
                <w:kern w:val="0"/>
                <w:sz w:val="22"/>
                <w:szCs w:val="22"/>
                <w:highlight w:val="none"/>
              </w:rPr>
            </w:pPr>
            <w:r>
              <w:rPr>
                <w:color w:val="auto"/>
                <w:kern w:val="0"/>
                <w:sz w:val="22"/>
                <w:szCs w:val="22"/>
                <w:highlight w:val="none"/>
              </w:rPr>
              <w:t>满意度</w:t>
            </w:r>
          </w:p>
        </w:tc>
        <w:tc>
          <w:tcPr>
            <w:tcW w:w="2353" w:type="dxa"/>
            <w:shd w:val="clear" w:color="000000" w:fill="FFFFFF"/>
            <w:vAlign w:val="center"/>
          </w:tcPr>
          <w:p w14:paraId="6C92D03E">
            <w:pPr>
              <w:widowControl/>
              <w:spacing w:line="0" w:lineRule="atLeast"/>
              <w:rPr>
                <w:color w:val="auto"/>
                <w:kern w:val="0"/>
                <w:sz w:val="22"/>
                <w:szCs w:val="22"/>
                <w:highlight w:val="none"/>
              </w:rPr>
            </w:pPr>
            <w:r>
              <w:rPr>
                <w:color w:val="auto"/>
                <w:kern w:val="0"/>
                <w:sz w:val="22"/>
                <w:szCs w:val="22"/>
                <w:highlight w:val="none"/>
              </w:rPr>
              <w:t>社会公众或服务对象对项目实施效果的满意程度。</w:t>
            </w:r>
          </w:p>
        </w:tc>
        <w:tc>
          <w:tcPr>
            <w:tcW w:w="5198" w:type="dxa"/>
            <w:shd w:val="clear" w:color="000000" w:fill="FFFFFF"/>
            <w:vAlign w:val="center"/>
          </w:tcPr>
          <w:p w14:paraId="71768053">
            <w:pPr>
              <w:widowControl/>
              <w:spacing w:line="0" w:lineRule="atLeast"/>
              <w:rPr>
                <w:color w:val="auto"/>
                <w:kern w:val="0"/>
                <w:sz w:val="22"/>
                <w:szCs w:val="22"/>
                <w:highlight w:val="none"/>
              </w:rPr>
            </w:pPr>
            <w:r>
              <w:rPr>
                <w:color w:val="auto"/>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14:paraId="2F6144A0">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56A26889">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bl>
    <w:p w14:paraId="73AAA440">
      <w:pPr>
        <w:rPr>
          <w:color w:val="auto"/>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63702C0">
        <w:pPr>
          <w:pStyle w:val="9"/>
          <w:jc w:val="center"/>
        </w:pPr>
        <w:r>
          <w:fldChar w:fldCharType="begin"/>
        </w:r>
        <w:r>
          <w:instrText xml:space="preserve">PAGE   \* MERGEFORMAT</w:instrText>
        </w:r>
        <w:r>
          <w:fldChar w:fldCharType="separate"/>
        </w:r>
        <w:r>
          <w:rPr>
            <w:lang w:val="zh-CN"/>
          </w:rPr>
          <w:t>13</w:t>
        </w:r>
        <w:r>
          <w:fldChar w:fldCharType="end"/>
        </w:r>
      </w:p>
    </w:sdtContent>
  </w:sdt>
  <w:p w14:paraId="634B2330">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pPr>
        <w:ind w:left="-10"/>
      </w:pPr>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F7242"/>
    <w:rsid w:val="007B168A"/>
    <w:rsid w:val="008B2CFE"/>
    <w:rsid w:val="00F26FF6"/>
    <w:rsid w:val="07397B77"/>
    <w:rsid w:val="08BD0334"/>
    <w:rsid w:val="0AB601AF"/>
    <w:rsid w:val="13463BE2"/>
    <w:rsid w:val="13471461"/>
    <w:rsid w:val="13B90F01"/>
    <w:rsid w:val="181066D2"/>
    <w:rsid w:val="199D36C3"/>
    <w:rsid w:val="1B5676B8"/>
    <w:rsid w:val="1C671E73"/>
    <w:rsid w:val="2A06253E"/>
    <w:rsid w:val="2FB56378"/>
    <w:rsid w:val="3810197F"/>
    <w:rsid w:val="38CA40DD"/>
    <w:rsid w:val="395F2B56"/>
    <w:rsid w:val="3BECE841"/>
    <w:rsid w:val="3C57643A"/>
    <w:rsid w:val="3FF7797D"/>
    <w:rsid w:val="436476B3"/>
    <w:rsid w:val="441B2960"/>
    <w:rsid w:val="47792866"/>
    <w:rsid w:val="487E7A9C"/>
    <w:rsid w:val="4B1A0571"/>
    <w:rsid w:val="4C8B2448"/>
    <w:rsid w:val="4E744A94"/>
    <w:rsid w:val="50611A04"/>
    <w:rsid w:val="50F4219D"/>
    <w:rsid w:val="552502B8"/>
    <w:rsid w:val="574B63B8"/>
    <w:rsid w:val="57BB7A3D"/>
    <w:rsid w:val="5A122D8A"/>
    <w:rsid w:val="5AA53532"/>
    <w:rsid w:val="5BFF6039"/>
    <w:rsid w:val="5D76A616"/>
    <w:rsid w:val="5D7F20B9"/>
    <w:rsid w:val="5DAC7D0E"/>
    <w:rsid w:val="5E5F1000"/>
    <w:rsid w:val="5F98B5AF"/>
    <w:rsid w:val="5FFE8511"/>
    <w:rsid w:val="5FFEACE2"/>
    <w:rsid w:val="61001944"/>
    <w:rsid w:val="63D0156C"/>
    <w:rsid w:val="643EE26D"/>
    <w:rsid w:val="655578D8"/>
    <w:rsid w:val="6A3209D6"/>
    <w:rsid w:val="6D572E2F"/>
    <w:rsid w:val="6F5C41AC"/>
    <w:rsid w:val="6FAF6C78"/>
    <w:rsid w:val="711453D0"/>
    <w:rsid w:val="71350B4F"/>
    <w:rsid w:val="7317C656"/>
    <w:rsid w:val="734ED73F"/>
    <w:rsid w:val="75053157"/>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4">
    <w:name w:val="heading 4"/>
    <w:basedOn w:val="1"/>
    <w:next w:val="1"/>
    <w:autoRedefine/>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15">
    <w:name w:val="Default Paragraph Font"/>
    <w:autoRedefine/>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link w:val="22"/>
    <w:autoRedefine/>
    <w:qFormat/>
    <w:uiPriority w:val="0"/>
    <w:pPr>
      <w:jc w:val="left"/>
    </w:pPr>
  </w:style>
  <w:style w:type="paragraph" w:styleId="6">
    <w:name w:val="Body Text"/>
    <w:basedOn w:val="1"/>
    <w:autoRedefine/>
    <w:qFormat/>
    <w:uiPriority w:val="0"/>
    <w:pPr>
      <w:spacing w:after="120"/>
    </w:pPr>
  </w:style>
  <w:style w:type="paragraph" w:styleId="7">
    <w:name w:val="Body Text Indent"/>
    <w:basedOn w:val="1"/>
    <w:autoRedefine/>
    <w:qFormat/>
    <w:uiPriority w:val="0"/>
    <w:pPr>
      <w:spacing w:after="120"/>
      <w:ind w:left="420" w:leftChars="200"/>
    </w:pPr>
    <w:rPr>
      <w:rFonts w:ascii="Calibri" w:hAnsi="Calibri"/>
    </w:rPr>
  </w:style>
  <w:style w:type="paragraph" w:styleId="8">
    <w:name w:val="Balloon Text"/>
    <w:basedOn w:val="1"/>
    <w:link w:val="20"/>
    <w:autoRedefine/>
    <w:qFormat/>
    <w:uiPriority w:val="0"/>
    <w:rPr>
      <w:sz w:val="18"/>
      <w:szCs w:val="18"/>
    </w:rPr>
  </w:style>
  <w:style w:type="paragraph" w:styleId="9">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3"/>
    <w:autoRedefine/>
    <w:qFormat/>
    <w:uiPriority w:val="0"/>
    <w:rPr>
      <w:b/>
      <w:bCs/>
    </w:rPr>
  </w:style>
  <w:style w:type="paragraph" w:styleId="12">
    <w:name w:val="Body Text First Indent"/>
    <w:basedOn w:val="6"/>
    <w:autoRedefine/>
    <w:qFormat/>
    <w:uiPriority w:val="0"/>
    <w:pPr>
      <w:spacing w:after="0"/>
      <w:ind w:firstLine="200" w:firstLineChars="200"/>
    </w:pPr>
  </w:style>
  <w:style w:type="paragraph" w:styleId="13">
    <w:name w:val="Body Text First Indent 2"/>
    <w:basedOn w:val="7"/>
    <w:autoRedefine/>
    <w:qFormat/>
    <w:uiPriority w:val="0"/>
    <w:pPr>
      <w:ind w:firstLine="420" w:firstLineChars="200"/>
    </w:pPr>
  </w:style>
  <w:style w:type="character" w:styleId="16">
    <w:name w:val="Strong"/>
    <w:basedOn w:val="15"/>
    <w:autoRedefine/>
    <w:qFormat/>
    <w:uiPriority w:val="0"/>
    <w:rPr>
      <w:b/>
      <w:bCs/>
    </w:rPr>
  </w:style>
  <w:style w:type="character" w:styleId="17">
    <w:name w:val="annotation reference"/>
    <w:basedOn w:val="15"/>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字符"/>
    <w:basedOn w:val="15"/>
    <w:link w:val="8"/>
    <w:autoRedefine/>
    <w:qFormat/>
    <w:uiPriority w:val="0"/>
    <w:rPr>
      <w:rFonts w:ascii="Times New Roman" w:hAnsi="Times New Roman" w:eastAsia="宋体" w:cs="Times New Roman"/>
      <w:kern w:val="2"/>
      <w:sz w:val="18"/>
      <w:szCs w:val="18"/>
    </w:rPr>
  </w:style>
  <w:style w:type="character" w:customStyle="1" w:styleId="21">
    <w:name w:val="页眉 字符"/>
    <w:basedOn w:val="15"/>
    <w:link w:val="10"/>
    <w:autoRedefine/>
    <w:qFormat/>
    <w:uiPriority w:val="0"/>
    <w:rPr>
      <w:rFonts w:ascii="Times New Roman" w:hAnsi="Times New Roman" w:eastAsia="宋体" w:cs="Times New Roman"/>
      <w:kern w:val="2"/>
      <w:sz w:val="18"/>
      <w:szCs w:val="18"/>
    </w:rPr>
  </w:style>
  <w:style w:type="character" w:customStyle="1" w:styleId="22">
    <w:name w:val="批注文字 字符"/>
    <w:basedOn w:val="15"/>
    <w:link w:val="5"/>
    <w:autoRedefine/>
    <w:qFormat/>
    <w:uiPriority w:val="0"/>
    <w:rPr>
      <w:rFonts w:ascii="Times New Roman" w:hAnsi="Times New Roman" w:eastAsia="宋体" w:cs="Times New Roman"/>
      <w:kern w:val="2"/>
      <w:sz w:val="21"/>
      <w:szCs w:val="24"/>
    </w:rPr>
  </w:style>
  <w:style w:type="character" w:customStyle="1" w:styleId="23">
    <w:name w:val="批注主题 字符"/>
    <w:basedOn w:val="22"/>
    <w:link w:val="11"/>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10283</Words>
  <Characters>10750</Characters>
  <Lines>58</Lines>
  <Paragraphs>16</Paragraphs>
  <TotalTime>7</TotalTime>
  <ScaleCrop>false</ScaleCrop>
  <LinksUpToDate>false</LinksUpToDate>
  <CharactersWithSpaces>10779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静待星空</cp:lastModifiedBy>
  <dcterms:modified xsi:type="dcterms:W3CDTF">2024-09-27T10:05:16Z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EA2B4C1855D643B5AB616166DF9338D4_13</vt:lpwstr>
  </property>
</Properties>
</file>