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Times New Roman" w:hAnsi="Times New Roman" w:eastAsia="方正小标宋_GBK" w:cs="Times New Roman"/>
          <w:color w:val="auto"/>
          <w:kern w:val="0"/>
          <w:sz w:val="48"/>
          <w:szCs w:val="48"/>
          <w:lang w:val="en-US" w:eastAsia="zh-CN"/>
        </w:rPr>
      </w:pPr>
      <w:bookmarkStart w:id="7" w:name="_GoBack"/>
      <w:bookmarkEnd w:id="7"/>
    </w:p>
    <w:p>
      <w:pPr>
        <w:spacing w:line="540" w:lineRule="exact"/>
        <w:jc w:val="center"/>
        <w:rPr>
          <w:rFonts w:hint="eastAsia" w:ascii="Times New Roman" w:hAnsi="Times New Roman" w:eastAsia="方正小标宋_GBK" w:cs="Times New Roman"/>
          <w:kern w:val="0"/>
          <w:sz w:val="48"/>
          <w:szCs w:val="48"/>
          <w:lang w:val="en-US" w:eastAsia="zh-CN"/>
        </w:rPr>
      </w:pPr>
    </w:p>
    <w:p>
      <w:pPr>
        <w:spacing w:line="540" w:lineRule="exact"/>
        <w:jc w:val="center"/>
        <w:rPr>
          <w:rFonts w:hint="eastAsia" w:ascii="Times New Roman" w:hAnsi="Times New Roman" w:eastAsia="方正小标宋_GBK" w:cs="Times New Roman"/>
          <w:kern w:val="0"/>
          <w:sz w:val="48"/>
          <w:szCs w:val="48"/>
          <w:lang w:val="en-US" w:eastAsia="zh-CN"/>
        </w:rPr>
      </w:pPr>
    </w:p>
    <w:p>
      <w:pPr>
        <w:spacing w:line="540" w:lineRule="exact"/>
        <w:jc w:val="center"/>
        <w:rPr>
          <w:rFonts w:hint="eastAsia" w:ascii="Times New Roman" w:hAnsi="Times New Roman" w:eastAsia="方正小标宋_GBK" w:cs="Times New Roman"/>
          <w:kern w:val="0"/>
          <w:sz w:val="48"/>
          <w:szCs w:val="48"/>
          <w:lang w:val="en-US" w:eastAsia="zh-CN"/>
        </w:rPr>
      </w:pPr>
    </w:p>
    <w:p>
      <w:pPr>
        <w:spacing w:line="540" w:lineRule="exact"/>
        <w:jc w:val="center"/>
        <w:rPr>
          <w:rFonts w:hint="eastAsia" w:ascii="方正小标宋简体" w:hAnsi="方正小标宋简体" w:eastAsia="方正小标宋简体" w:cs="方正小标宋简体"/>
          <w:kern w:val="0"/>
          <w:sz w:val="48"/>
          <w:szCs w:val="48"/>
        </w:rPr>
      </w:pPr>
      <w:r>
        <w:rPr>
          <w:rFonts w:hint="eastAsia" w:ascii="方正小标宋简体" w:hAnsi="方正小标宋简体" w:eastAsia="方正小标宋简体" w:cs="方正小标宋简体"/>
          <w:kern w:val="0"/>
          <w:sz w:val="48"/>
          <w:szCs w:val="48"/>
          <w:lang w:val="en-US" w:eastAsia="zh-CN"/>
        </w:rPr>
        <w:t>2022年中央自然灾害救灾资金</w:t>
      </w:r>
      <w:r>
        <w:rPr>
          <w:rFonts w:hint="eastAsia" w:ascii="方正小标宋简体" w:hAnsi="方正小标宋简体" w:eastAsia="方正小标宋简体" w:cs="方正小标宋简体"/>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lang w:eastAsia="zh-CN"/>
        </w:rPr>
        <w:t>：</w:t>
      </w:r>
      <w:r>
        <w:rPr>
          <w:rFonts w:hint="eastAsia" w:eastAsia="仿宋_GB2312"/>
          <w:kern w:val="0"/>
          <w:sz w:val="36"/>
          <w:szCs w:val="36"/>
          <w:lang w:val="en-US" w:eastAsia="zh-CN"/>
        </w:rPr>
        <w:t>2022年中央自然灾害救灾资金</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奇台县应急管理局</w:t>
      </w: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奇台县应急管理据</w:t>
      </w:r>
    </w:p>
    <w:p>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于守江</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5</w:t>
      </w:r>
      <w:r>
        <w:rPr>
          <w:rFonts w:eastAsia="仿宋_GB2312"/>
          <w:kern w:val="0"/>
          <w:sz w:val="36"/>
          <w:szCs w:val="36"/>
        </w:rPr>
        <w:t>月</w:t>
      </w:r>
      <w:r>
        <w:rPr>
          <w:rFonts w:hint="eastAsia" w:eastAsia="仿宋_GB2312"/>
          <w:kern w:val="0"/>
          <w:sz w:val="36"/>
          <w:szCs w:val="36"/>
          <w:lang w:val="en-US" w:eastAsia="zh-CN"/>
        </w:rPr>
        <w:t>13</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1"/>
          <w:rFonts w:eastAsia="黑体"/>
          <w:b w:val="0"/>
          <w:spacing w:val="-4"/>
          <w:sz w:val="32"/>
          <w:szCs w:val="32"/>
        </w:rPr>
      </w:pPr>
    </w:p>
    <w:p>
      <w:pPr>
        <w:spacing w:line="540" w:lineRule="exact"/>
        <w:ind w:firstLine="640"/>
        <w:rPr>
          <w:rStyle w:val="11"/>
          <w:rFonts w:eastAsia="黑体"/>
          <w:b w:val="0"/>
          <w:spacing w:val="-4"/>
          <w:sz w:val="32"/>
          <w:szCs w:val="32"/>
        </w:rPr>
      </w:pPr>
    </w:p>
    <w:p>
      <w:pPr>
        <w:spacing w:line="540" w:lineRule="exact"/>
        <w:rPr>
          <w:rStyle w:val="11"/>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Style w:val="11"/>
          <w:rFonts w:hint="eastAsia" w:eastAsia="黑体"/>
          <w:b w:val="0"/>
          <w:bCs/>
          <w:spacing w:val="-4"/>
          <w:sz w:val="32"/>
          <w:szCs w:val="32"/>
          <w:highlight w:val="yellow"/>
          <w:lang w:eastAsia="zh-CN"/>
        </w:rPr>
      </w:pPr>
      <w:r>
        <w:rPr>
          <w:rFonts w:hint="eastAsia" w:ascii="仿宋_GB2312" w:hAnsi="仿宋_GB2312" w:eastAsia="仿宋_GB2312" w:cs="仿宋_GB2312"/>
          <w:color w:val="auto"/>
          <w:sz w:val="32"/>
          <w:szCs w:val="32"/>
          <w:lang w:val="en-US" w:eastAsia="zh-CN"/>
        </w:rPr>
        <w:t>自2022年春季以来，我县多个乡镇降水普遍大幅度减少、大风天气多，且气温较常年偏高，土地失墒严重，大部分小型水库干涸，溪河断流，河灌区、山旱地旱灾十分严重。我县全县耕地除纯井灌区受旱灾影响较轻外，其余均不同程度受旱灾影响。为弥补我县抗旱设备严重不足，中央预算拨付100万元专项资金，为我县添置抗旱设备。</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hint="default" w:ascii="仿宋_GB2312" w:hAnsi="仿宋_GB2312" w:eastAsia="仿宋_GB2312" w:cs="仿宋_GB2312"/>
          <w:color w:val="auto"/>
          <w:sz w:val="32"/>
          <w:szCs w:val="32"/>
          <w:lang w:val="en-US" w:eastAsia="zh-CN"/>
        </w:rPr>
      </w:pPr>
      <w:r>
        <w:rPr>
          <w:rFonts w:hint="eastAsia" w:ascii="仿宋_GB2312" w:hAnsi="仿宋_GB2312" w:eastAsia="仿宋_GB2312" w:cs="仿宋_GB2312"/>
          <w:sz w:val="30"/>
          <w:szCs w:val="30"/>
          <w:highlight w:val="none"/>
          <w:lang w:val="en-US" w:eastAsia="zh-CN"/>
        </w:rPr>
        <w:t>项目主要内容：</w:t>
      </w:r>
      <w:r>
        <w:rPr>
          <w:rFonts w:hint="eastAsia" w:ascii="仿宋_GB2312" w:hAnsi="仿宋_GB2312" w:eastAsia="仿宋_GB2312" w:cs="仿宋_GB2312"/>
          <w:color w:val="auto"/>
          <w:sz w:val="32"/>
          <w:szCs w:val="32"/>
          <w:lang w:val="en-US" w:eastAsia="zh-CN"/>
        </w:rPr>
        <w:t>购置防汛抗旱设备  24套移动喷灌机组、10台便携式汽油水泵、1000米8吋输水带、30个储水罐（2方），2辆应急供水车（20方）。</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该项目年初预算数100万元，全年预算数100万元，实际总投入100万元，该项目资金已全部落实到位，资金来源为中央专项资金。</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100万元，全年预算数100万元，全年执行数90.58万元，预算执行率为90.58%，主要用于：购置防汛抗旱设备24套移动喷灌机组、10台便携式汽油水泵、1000米8吋输水带、30个储水罐（2方），2辆应急供水车（20方）。</w:t>
      </w:r>
    </w:p>
    <w:p>
      <w:pPr>
        <w:spacing w:line="560" w:lineRule="exact"/>
        <w:ind w:firstLine="643" w:firstLineChars="200"/>
        <w:rPr>
          <w:rFonts w:eastAsia="楷体_GB2312"/>
          <w:b/>
          <w:bCs/>
          <w:sz w:val="32"/>
          <w:szCs w:val="32"/>
          <w:highlight w:val="none"/>
        </w:rPr>
      </w:pPr>
      <w:r>
        <w:rPr>
          <w:rFonts w:eastAsia="楷体_GB2312"/>
          <w:b/>
          <w:bCs/>
          <w:sz w:val="32"/>
          <w:szCs w:val="32"/>
          <w:highlight w:val="none"/>
        </w:rPr>
        <w:t>（二）项目绩效目标</w:t>
      </w:r>
    </w:p>
    <w:p>
      <w:pPr>
        <w:spacing w:line="560" w:lineRule="exact"/>
        <w:ind w:firstLine="640" w:firstLineChars="200"/>
        <w:rPr>
          <w:rFonts w:eastAsia="仿宋_GB2312"/>
          <w:sz w:val="32"/>
          <w:szCs w:val="32"/>
          <w:highlight w:val="none"/>
        </w:rPr>
      </w:pPr>
      <w:r>
        <w:rPr>
          <w:rFonts w:eastAsia="仿宋_GB2312"/>
          <w:sz w:val="32"/>
          <w:szCs w:val="32"/>
          <w:highlight w:val="none"/>
        </w:rPr>
        <w:t>1、总体目标</w:t>
      </w:r>
    </w:p>
    <w:p>
      <w:p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做好干旱灾害救助工作，添置抗旱设备，购置移动喷灌机组（套）24套，购置便携式汽油水泵（台）10台，购置8寸输水带（米）1000米，购置储水罐（2方）（个）30个，购置应急供水储水车（20方）（辆）2辆提高应对干旱灾害处置能力，减少灾害威胁和损失，最大程度保障人民群众生命财产安全，切实增加群众幸福感、安全感；正确使用专项资金，确保资金使用安全。</w:t>
      </w:r>
    </w:p>
    <w:p>
      <w:pPr>
        <w:numPr>
          <w:ilvl w:val="0"/>
          <w:numId w:val="0"/>
        </w:numPr>
        <w:spacing w:line="560" w:lineRule="exact"/>
        <w:ind w:firstLine="640" w:firstLineChars="200"/>
        <w:rPr>
          <w:rFonts w:hint="eastAsia" w:ascii="仿宋_GB2312" w:hAnsi="仿宋_GB2312" w:eastAsia="仿宋_GB2312" w:cs="仿宋_GB2312"/>
          <w:sz w:val="32"/>
          <w:szCs w:val="32"/>
          <w:highlight w:val="none"/>
          <w:lang w:val="en-US" w:eastAsia="zh-CN"/>
        </w:rPr>
      </w:pPr>
      <w:r>
        <w:rPr>
          <w:rFonts w:hint="eastAsia" w:eastAsia="仿宋_GB2312"/>
          <w:sz w:val="32"/>
          <w:szCs w:val="32"/>
          <w:highlight w:val="none"/>
          <w:lang w:val="en-US" w:eastAsia="zh-CN"/>
        </w:rPr>
        <w:t>2、阶段性目标</w:t>
      </w:r>
    </w:p>
    <w:p>
      <w:pPr>
        <w:numPr>
          <w:ilvl w:val="0"/>
          <w:numId w:val="0"/>
        </w:numPr>
        <w:spacing w:line="560" w:lineRule="exact"/>
        <w:ind w:firstLine="640" w:firstLineChars="200"/>
        <w:rPr>
          <w:rFonts w:eastAsia="黑体"/>
          <w:sz w:val="32"/>
          <w:szCs w:val="32"/>
        </w:rPr>
      </w:pPr>
      <w:r>
        <w:rPr>
          <w:rFonts w:hint="eastAsia" w:ascii="仿宋_GB2312" w:hAnsi="仿宋_GB2312" w:eastAsia="仿宋_GB2312" w:cs="仿宋_GB2312"/>
          <w:sz w:val="32"/>
          <w:szCs w:val="32"/>
          <w:highlight w:val="none"/>
          <w:lang w:val="en-US" w:eastAsia="zh-CN"/>
        </w:rPr>
        <w:t>计划2023年5月份完成24套移动喷灌机组，10台便携式汽油水泵，1000米8寸输水带，30个储水罐（2方）的招投标工作；2023年6月份完成物资的验收、入库等工作；2023年10月份完成2辆应急供水储水车（20方）的招投标和采购工作；2023年12月完成车辆验收、入户等手续，并投入使用。</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2"/>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lang w:val="en-US" w:eastAsia="zh-CN"/>
        </w:rPr>
        <w:t>奇台县2022年中央自然灾害救灾资金（第三批干旱灾害救灾补助）防洪抗旱救灾物资采购</w:t>
      </w:r>
      <w:r>
        <w:rPr>
          <w:rFonts w:hint="eastAsia" w:ascii="仿宋_GB2312" w:hAnsi="仿宋_GB2312" w:eastAsia="仿宋_GB2312" w:cs="仿宋_GB2312"/>
          <w:sz w:val="32"/>
          <w:szCs w:val="32"/>
        </w:rPr>
        <w:t>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w:t>
      </w:r>
      <w:r>
        <w:rPr>
          <w:rFonts w:hint="eastAsia" w:ascii="仿宋_GB2312" w:hAnsi="仿宋_GB2312" w:eastAsia="仿宋_GB2312" w:cs="仿宋_GB2312"/>
          <w:sz w:val="32"/>
          <w:szCs w:val="32"/>
          <w:highlight w:val="none"/>
        </w:rPr>
        <w:t>数量、产出质量、产出时效和产出成本）项目效益四个维度对</w:t>
      </w:r>
      <w:r>
        <w:rPr>
          <w:rFonts w:hint="eastAsia" w:ascii="仿宋_GB2312" w:hAnsi="仿宋_GB2312" w:eastAsia="仿宋_GB2312" w:cs="仿宋_GB2312"/>
          <w:sz w:val="32"/>
          <w:szCs w:val="32"/>
          <w:highlight w:val="none"/>
          <w:lang w:val="en-US" w:eastAsia="zh-CN"/>
        </w:rPr>
        <w:t>奇台县2022年中央自然灾害救灾资金（第三批干旱灾害救灾补助）防洪抗旱救灾物资采购</w:t>
      </w:r>
      <w:r>
        <w:rPr>
          <w:rFonts w:hint="eastAsia" w:ascii="仿宋_GB2312" w:hAnsi="仿宋_GB2312" w:eastAsia="仿宋_GB2312" w:cs="仿宋_GB2312"/>
          <w:sz w:val="32"/>
          <w:szCs w:val="32"/>
          <w:highlight w:val="none"/>
        </w:rPr>
        <w:t>项目进行</w:t>
      </w:r>
      <w:r>
        <w:rPr>
          <w:rFonts w:hint="eastAsia" w:ascii="仿宋_GB2312" w:hAnsi="仿宋_GB2312" w:eastAsia="仿宋_GB2312" w:cs="仿宋_GB2312"/>
          <w:sz w:val="32"/>
          <w:szCs w:val="32"/>
        </w:rPr>
        <w:t>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w:t>
      </w:r>
      <w:r>
        <w:rPr>
          <w:rFonts w:hint="eastAsia" w:eastAsia="仿宋_GB2312"/>
          <w:color w:val="000000"/>
          <w:spacing w:val="17"/>
          <w:sz w:val="32"/>
          <w:szCs w:val="32"/>
        </w:rPr>
        <w:t>标准。</w:t>
      </w:r>
    </w:p>
    <w:p>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2318"/>
      <w:bookmarkStart w:id="3" w:name="_Toc5633"/>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98.68</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19.62</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98.1</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39.06</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97.65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19.62</w:t>
            </w:r>
          </w:p>
        </w:tc>
      </w:tr>
      <w:tr>
        <w:tblPrEx>
          <w:tblCellMar>
            <w:top w:w="0" w:type="dxa"/>
            <w:left w:w="108" w:type="dxa"/>
            <w:bottom w:w="0" w:type="dxa"/>
            <w:right w:w="108" w:type="dxa"/>
          </w:tblCellMar>
        </w:tblPrEx>
        <w:trPr>
          <w:trHeight w:val="9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39.06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98.68</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yellow"/>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实际得分19.62分，得分率为98.1%。</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总投资100万元，财政资金及时足额到位，到位率100%，</w:t>
      </w:r>
      <w:r>
        <w:rPr>
          <w:rFonts w:hint="eastAsia" w:ascii="仿宋_GB2312" w:hAnsi="仿宋_GB2312" w:eastAsia="仿宋_GB2312" w:cs="仿宋_GB2312"/>
          <w:sz w:val="32"/>
          <w:szCs w:val="32"/>
          <w:lang w:val="en-US" w:eastAsia="zh-CN"/>
        </w:rPr>
        <w:t>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预算资金支出90.58万元，预算执行率为90.58%。</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7"/>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项目产出类指标包括产出数量、产出质量、产出时效、产出成本四方面的内容，由8个三级指标构成，权重分为40分，</w:t>
      </w:r>
      <w:r>
        <w:rPr>
          <w:rFonts w:hint="eastAsia" w:ascii="仿宋_GB2312" w:hAnsi="仿宋_GB2312" w:eastAsia="仿宋_GB2312" w:cs="仿宋_GB2312"/>
          <w:sz w:val="32"/>
          <w:szCs w:val="32"/>
          <w:highlight w:val="none"/>
          <w:lang w:val="en-US" w:eastAsia="zh-CN"/>
        </w:rPr>
        <w:t>实际得分39.06分，得分率为97.65%。</w:t>
      </w:r>
      <w:r>
        <w:rPr>
          <w:rFonts w:hint="eastAsia" w:ascii="仿宋_GB2312" w:hAnsi="仿宋_GB2312" w:eastAsia="仿宋_GB2312" w:cs="仿宋_GB2312"/>
          <w:sz w:val="32"/>
          <w:szCs w:val="32"/>
          <w:lang w:val="en-US" w:eastAsia="zh-CN"/>
        </w:rPr>
        <w:t>具体产出指标完成情况如下：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购置移动喷灌机组</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=24套</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24套</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val="en-US" w:eastAsia="zh-CN"/>
        </w:rPr>
        <w:t>购置便携式汽油水泵，</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=10台</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10台</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购置8寸输水带，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1000米</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1000米</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4</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购置储水罐（2方），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=30个</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30个</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购置应急供水储水车（20方），</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=2辆</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2辆</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r>
        <w:rPr>
          <w:rFonts w:hint="eastAsia" w:ascii="仿宋_GB2312" w:hAnsi="仿宋_GB2312" w:eastAsia="仿宋_GB2312" w:cs="仿宋_GB2312"/>
          <w:sz w:val="32"/>
          <w:szCs w:val="32"/>
          <w:highlight w:val="none"/>
          <w:lang w:val="en-US" w:eastAsia="zh-CN"/>
        </w:rPr>
        <w:t>设备质量验收合格率（%），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r>
        <w:rPr>
          <w:rFonts w:hint="eastAsia" w:ascii="仿宋_GB2312" w:hAnsi="仿宋_GB2312" w:eastAsia="仿宋_GB2312" w:cs="仿宋_GB2312"/>
          <w:sz w:val="32"/>
          <w:szCs w:val="32"/>
          <w:highlight w:val="none"/>
          <w:lang w:val="en-US" w:eastAsia="zh-CN"/>
        </w:rPr>
        <w:t>设备购置及时率（%），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r>
        <w:rPr>
          <w:rFonts w:hint="eastAsia" w:ascii="仿宋_GB2312" w:hAnsi="仿宋_GB2312" w:eastAsia="仿宋_GB2312" w:cs="仿宋_GB2312"/>
          <w:sz w:val="32"/>
          <w:szCs w:val="32"/>
          <w:highlight w:val="none"/>
          <w:lang w:val="en-US" w:eastAsia="zh-CN"/>
        </w:rPr>
        <w:t>项目预算控制率（%），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&lt;=100%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90.58%</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90.58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，偏差原因：</w:t>
      </w:r>
      <w:r>
        <w:rPr>
          <w:rFonts w:hint="eastAsia" w:ascii="仿宋_GB2312" w:hAnsi="仿宋_GB2312" w:eastAsia="仿宋_GB2312" w:cs="仿宋_GB2312"/>
          <w:sz w:val="32"/>
          <w:szCs w:val="32"/>
          <w:highlight w:val="none"/>
          <w:lang w:val="en-US" w:eastAsia="zh-CN"/>
        </w:rPr>
        <w:t>年初预算不准确，导致资金有偏差，改进措施：下年度合理申报预算</w:t>
      </w:r>
      <w:r>
        <w:rPr>
          <w:rFonts w:hint="eastAsia" w:ascii="仿宋_GB2312" w:hAnsi="仿宋_GB2312" w:eastAsia="仿宋_GB2312" w:cs="仿宋_GB2312"/>
          <w:sz w:val="32"/>
          <w:szCs w:val="32"/>
          <w:highlight w:val="none"/>
          <w:lang w:eastAsia="zh-CN"/>
        </w:rPr>
        <w:t>。</w:t>
      </w:r>
    </w:p>
    <w:p>
      <w:pPr>
        <w:pStyle w:val="7"/>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w:t>
      </w:r>
      <w:r>
        <w:rPr>
          <w:rFonts w:hint="eastAsia" w:ascii="仿宋_GB2312" w:hAnsi="仿宋_GB2312" w:eastAsia="仿宋_GB2312" w:cs="仿宋_GB2312"/>
          <w:sz w:val="32"/>
          <w:szCs w:val="32"/>
          <w:highlight w:val="none"/>
          <w:lang w:val="en-US" w:eastAsia="zh-CN"/>
        </w:rPr>
        <w:t>2个三级指标构成，权重分为20分，实际得分20分，得分率为100%。</w:t>
      </w:r>
      <w:r>
        <w:rPr>
          <w:rFonts w:hint="eastAsia" w:ascii="仿宋_GB2312" w:hAnsi="仿宋_GB2312" w:eastAsia="仿宋_GB2312" w:cs="仿宋_GB2312"/>
          <w:sz w:val="32"/>
          <w:szCs w:val="32"/>
          <w:lang w:val="en-US" w:eastAsia="zh-CN"/>
        </w:rPr>
        <w:t>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经济效益指标：</w:t>
      </w:r>
      <w:r>
        <w:rPr>
          <w:rFonts w:hint="eastAsia" w:ascii="仿宋_GB2312" w:hAnsi="仿宋_GB2312" w:eastAsia="仿宋_GB2312" w:cs="仿宋_GB2312"/>
          <w:sz w:val="32"/>
          <w:szCs w:val="32"/>
          <w:highlight w:val="none"/>
          <w:lang w:val="en-US" w:eastAsia="zh-CN"/>
        </w:rPr>
        <w:t>无</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②</w:t>
      </w:r>
      <w:r>
        <w:rPr>
          <w:rFonts w:hint="eastAsia" w:ascii="仿宋_GB2312" w:hAnsi="仿宋_GB2312" w:eastAsia="仿宋_GB2312" w:cs="仿宋_GB2312"/>
          <w:sz w:val="32"/>
          <w:szCs w:val="32"/>
          <w:highlight w:val="none"/>
        </w:rPr>
        <w:t>社会效益指标：</w:t>
      </w:r>
      <w:r>
        <w:rPr>
          <w:rFonts w:hint="eastAsia" w:ascii="仿宋_GB2312" w:hAnsi="仿宋_GB2312" w:eastAsia="仿宋_GB2312" w:cs="仿宋_GB2312"/>
          <w:sz w:val="32"/>
          <w:szCs w:val="32"/>
          <w:highlight w:val="none"/>
          <w:lang w:val="en-US" w:eastAsia="zh-CN"/>
        </w:rPr>
        <w:t>保障人民群众生命财产安全，</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：有效保障</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有效保障</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③生态效益指标：无</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黑体" w:cs="Times New Roman"/>
          <w:sz w:val="32"/>
          <w:szCs w:val="32"/>
          <w:lang w:val="en-US" w:eastAsia="zh-Hans"/>
        </w:rPr>
      </w:pPr>
      <w:r>
        <w:rPr>
          <w:rFonts w:hint="eastAsia" w:ascii="仿宋_GB2312" w:hAnsi="仿宋_GB2312" w:eastAsia="仿宋_GB2312" w:cs="仿宋_GB2312"/>
          <w:sz w:val="32"/>
          <w:szCs w:val="32"/>
          <w:highlight w:val="none"/>
          <w:lang w:val="en-US" w:eastAsia="zh-CN"/>
        </w:rPr>
        <w:t>满意度指标：受灾群众满意率（%），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&gt;=90%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90%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shd w:val="clear"/>
        <w:spacing w:line="600" w:lineRule="exact"/>
        <w:ind w:firstLine="640" w:firstLineChars="200"/>
        <w:outlineLvl w:val="0"/>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奇台县2022年中央自然灾害救灾资金（第三批干旱灾害救灾补助）防洪抗旱救灾物资采购项目年初预算</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90.58</w:t>
      </w:r>
      <w:r>
        <w:rPr>
          <w:rFonts w:hint="eastAsia"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90.58</w:t>
      </w:r>
      <w:r>
        <w:rPr>
          <w:rFonts w:hint="eastAsia"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99.06</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总体</w:t>
      </w:r>
      <w:r>
        <w:rPr>
          <w:rFonts w:hint="eastAsia"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8.98</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w:t>
      </w:r>
      <w:r>
        <w:rPr>
          <w:rFonts w:hint="eastAsia" w:ascii="仿宋_GB2312" w:hAnsi="仿宋_GB2312" w:eastAsia="仿宋_GB2312" w:cs="仿宋_GB2312"/>
          <w:sz w:val="32"/>
          <w:szCs w:val="32"/>
          <w:highlight w:val="none"/>
          <w:lang w:eastAsia="zh-CN"/>
        </w:rPr>
        <w:t>偏差原因：</w:t>
      </w:r>
      <w:r>
        <w:rPr>
          <w:rFonts w:hint="eastAsia" w:ascii="仿宋_GB2312" w:hAnsi="仿宋_GB2312" w:eastAsia="仿宋_GB2312" w:cs="仿宋_GB2312"/>
          <w:sz w:val="32"/>
          <w:szCs w:val="32"/>
          <w:highlight w:val="none"/>
          <w:lang w:val="en-US" w:eastAsia="zh-CN"/>
        </w:rPr>
        <w:t>年初预算不准确，导致资金有偏差，改进措施：下年度合理申报预算</w:t>
      </w:r>
      <w:r>
        <w:rPr>
          <w:rFonts w:hint="eastAsia" w:ascii="仿宋_GB2312" w:hAnsi="仿宋_GB2312" w:eastAsia="仿宋_GB2312" w:cs="仿宋_GB2312"/>
          <w:sz w:val="32"/>
          <w:szCs w:val="32"/>
          <w:highlight w:val="none"/>
          <w:lang w:eastAsia="zh-CN"/>
        </w:rPr>
        <w:t>。</w:t>
      </w:r>
    </w:p>
    <w:p>
      <w:pPr>
        <w:spacing w:line="560" w:lineRule="exact"/>
        <w:ind w:firstLine="640" w:firstLineChars="200"/>
        <w:rPr>
          <w:rStyle w:val="13"/>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仿宋_GB2312" w:hAnsi="仿宋_GB2312" w:eastAsia="仿宋_GB2312" w:cs="仿宋_GB2312"/>
          <w:sz w:val="32"/>
          <w:szCs w:val="32"/>
          <w:highlight w:val="yellow"/>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sz w:val="22"/>
          <w:szCs w:val="28"/>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spacing w:line="560" w:lineRule="exact"/>
        <w:ind w:firstLine="640" w:firstLineChars="200"/>
        <w:rPr>
          <w:rFonts w:eastAsia="方正小标宋简体"/>
          <w:b/>
          <w:kern w:val="0"/>
          <w:sz w:val="32"/>
          <w:szCs w:val="32"/>
          <w:lang w:bidi="ar"/>
        </w:rPr>
      </w:pPr>
      <w:r>
        <w:rPr>
          <w:rFonts w:hint="eastAsia" w:ascii="仿宋_GB2312" w:hAnsi="仿宋_GB2312" w:eastAsia="仿宋_GB2312" w:cs="仿宋_GB2312"/>
          <w:sz w:val="32"/>
          <w:szCs w:val="32"/>
          <w:lang w:eastAsia="zh-Hans"/>
        </w:rPr>
        <w:t>本项目无其他需说明的问题</w:t>
      </w: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方正小标宋简体"/>
          <w:b/>
          <w:kern w:val="0"/>
          <w:sz w:val="32"/>
          <w:szCs w:val="32"/>
          <w:lang w:bidi="ar"/>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方正小标宋简体"/>
          <w:b/>
          <w:kern w:val="0"/>
          <w:sz w:val="32"/>
          <w:szCs w:val="32"/>
          <w:lang w:bidi="ar"/>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eastAsia="方正小标宋简体"/>
          <w:b/>
          <w:kern w:val="0"/>
          <w:sz w:val="32"/>
          <w:szCs w:val="32"/>
          <w:lang w:bidi="ar"/>
        </w:rPr>
      </w:pPr>
    </w:p>
    <w:p>
      <w:pPr>
        <w:pStyle w:val="2"/>
        <w:keepNext w:val="0"/>
        <w:keepLines w:val="0"/>
        <w:pageBreakBefore w:val="0"/>
        <w:kinsoku/>
        <w:wordWrap/>
        <w:overflowPunct/>
        <w:topLinePunct w:val="0"/>
        <w:autoSpaceDE/>
        <w:autoSpaceDN/>
        <w:bidi w:val="0"/>
        <w:adjustRightInd/>
        <w:snapToGrid/>
        <w:spacing w:before="0" w:after="0" w:line="560" w:lineRule="exact"/>
        <w:jc w:val="both"/>
        <w:textAlignment w:val="auto"/>
      </w:pPr>
    </w:p>
    <w:p/>
    <w:p>
      <w:pPr>
        <w:pStyle w:val="2"/>
      </w:pPr>
    </w:p>
    <w:p>
      <w:pPr>
        <w:bidi w:val="0"/>
      </w:pPr>
    </w:p>
    <w:p>
      <w:pPr>
        <w:sectPr>
          <w:pgSz w:w="11906" w:h="16838"/>
          <w:pgMar w:top="1440" w:right="1800" w:bottom="1440" w:left="1800" w:header="851" w:footer="992" w:gutter="0"/>
          <w:cols w:space="425" w:num="1"/>
          <w:docGrid w:type="lines" w:linePitch="312" w:charSpace="0"/>
        </w:sectPr>
      </w:pPr>
    </w:p>
    <w:tbl>
      <w:tblPr>
        <w:tblStyle w:val="9"/>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93"/>
        <w:gridCol w:w="993"/>
        <w:gridCol w:w="1011"/>
        <w:gridCol w:w="1404"/>
        <w:gridCol w:w="1307"/>
        <w:gridCol w:w="755"/>
        <w:gridCol w:w="1410"/>
        <w:gridCol w:w="1280"/>
        <w:gridCol w:w="777"/>
        <w:gridCol w:w="724"/>
        <w:gridCol w:w="795"/>
        <w:gridCol w:w="602"/>
        <w:gridCol w:w="655"/>
        <w:gridCol w:w="10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奇台县2022年中央自然灾害救灾资金（第三批干旱灾害救灾补助）防洪抗旱救灾物资采购项目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奇台县应急管理局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奇台县应急管理局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90.58</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90.58%</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90.58</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做好干旱灾害救助工作，添置抗旱设备，购置移动喷灌机组（套）24套，购置便携式汽油水泵（台）10台，购置8寸输水带（米）1000米，购置储水罐（2方）（个）30个，购置应急供水储水车（20方）（辆）2辆提高应对干旱灾害处置能力，减少灾害威胁和损失，最大程度保障人民群众生命财产安全，切实增加群众幸福感、安全感；正确使用专项资金，确保资金使用安全。</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移动喷灌机组（套）：24；购置便携式汽油水泵（台）：10；购置8寸输水带（米）：1000；购置储水罐（2方）（个）：30；购置应急供水储水车（20方）（辆）：2；设备质量验收合格率（%）：100%；设备购置及时率：100%；项目预算控制率：100%；保障人民群众生命财产安全：有效保障；受灾群众满意率：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购置移动喷灌机组（套）</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=24套</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=24套</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购置便携式汽油水泵（台）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=10台</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购置8寸输水带（米）</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=1000米</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购置储水罐（2方）（个）</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购置应急供水储水车（20方）（辆）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=2辆</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设备质量验收合格率（%）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设备购置及时率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=90.58%</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15.29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年初预算不准确，导致资金有偏差，改进措施：下年度合理申报预算数。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保障人民群众生命财产安全</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受灾群众满意率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92.93分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Cs/>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rPr>
      </w:pPr>
      <w:r>
        <w:rPr>
          <w:rFonts w:hint="eastAsia" w:ascii="黑体" w:hAnsi="黑体" w:eastAsia="黑体" w:cs="黑体"/>
          <w:bCs/>
          <w:sz w:val="32"/>
          <w:szCs w:val="32"/>
        </w:rPr>
        <w:t>附件1</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8"/>
          <w:szCs w:val="40"/>
          <w:highlight w:val="none"/>
          <w:lang w:val="en-US" w:eastAsia="zh-CN"/>
        </w:rPr>
      </w:pPr>
      <w:r>
        <w:rPr>
          <w:rFonts w:hint="eastAsia"/>
          <w:b/>
          <w:bCs/>
          <w:sz w:val="28"/>
          <w:szCs w:val="40"/>
          <w:highlight w:val="none"/>
          <w:lang w:val="en-US" w:eastAsia="zh-CN"/>
        </w:rPr>
        <w:t>奇台县2022年中央自然灾害救灾资金（第三批干旱灾害救灾补助）防洪抗旱救灾物资采购项目</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b/>
          <w:bCs/>
          <w:sz w:val="28"/>
          <w:szCs w:val="40"/>
        </w:rPr>
      </w:pPr>
      <w:r>
        <w:rPr>
          <w:rFonts w:hint="eastAsia"/>
          <w:b/>
          <w:bCs/>
          <w:sz w:val="28"/>
          <w:szCs w:val="40"/>
        </w:rPr>
        <w:t>绩效评价指标体系及综合评分表</w:t>
      </w:r>
    </w:p>
    <w:tbl>
      <w:tblPr>
        <w:tblStyle w:val="9"/>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764"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87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235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5198"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1363"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continue"/>
            <w:shd w:val="clear" w:color="auto" w:fill="FFFFFF"/>
            <w:vAlign w:val="center"/>
          </w:tcPr>
          <w:p>
            <w:pPr>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2353"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3.62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highlight w:val="none"/>
              </w:rPr>
            </w:pPr>
          </w:p>
        </w:tc>
        <w:tc>
          <w:tcPr>
            <w:tcW w:w="764" w:type="dxa"/>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9.06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764" w:type="dxa"/>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2353" w:type="dxa"/>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5198" w:type="dxa"/>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highlight w:val="none"/>
              </w:rPr>
            </w:pPr>
          </w:p>
        </w:tc>
        <w:tc>
          <w:tcPr>
            <w:tcW w:w="764" w:type="dxa"/>
            <w:vMerge w:val="continue"/>
            <w:shd w:val="clear" w:color="auto" w:fill="FFFFFF"/>
            <w:vAlign w:val="center"/>
          </w:tcPr>
          <w:p>
            <w:pPr>
              <w:widowControl/>
              <w:spacing w:line="0" w:lineRule="atLeast"/>
              <w:jc w:val="center"/>
              <w:rPr>
                <w:color w:val="000000"/>
                <w:kern w:val="0"/>
                <w:sz w:val="22"/>
                <w:szCs w:val="22"/>
                <w:highlight w:val="none"/>
              </w:rPr>
            </w:pPr>
          </w:p>
        </w:tc>
        <w:tc>
          <w:tcPr>
            <w:tcW w:w="873" w:type="dxa"/>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2353"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1363" w:type="dxa"/>
            <w:shd w:val="clear" w:color="000000" w:fill="FFFFFF"/>
            <w:vAlign w:val="center"/>
          </w:tcPr>
          <w:p>
            <w:pPr>
              <w:widowControl/>
              <w:spacing w:line="0" w:lineRule="atLeast"/>
              <w:jc w:val="center"/>
              <w:rPr>
                <w:b/>
                <w:bCs/>
                <w:color w:val="000000"/>
                <w:kern w:val="0"/>
                <w:sz w:val="22"/>
                <w:szCs w:val="22"/>
                <w:highlight w:val="none"/>
              </w:rPr>
            </w:pPr>
            <w:r>
              <w:rPr>
                <w:rFonts w:hint="eastAsia"/>
                <w:b/>
                <w:bCs/>
                <w:color w:val="000000"/>
                <w:kern w:val="0"/>
                <w:sz w:val="22"/>
                <w:szCs w:val="22"/>
                <w:highlight w:val="none"/>
                <w:lang w:val="en-US" w:eastAsia="zh-CN"/>
              </w:rPr>
              <w:t>10</w:t>
            </w:r>
          </w:p>
        </w:tc>
      </w:tr>
    </w:tbl>
    <w:p>
      <w:pPr>
        <w:pStyle w:val="2"/>
        <w:jc w:val="both"/>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2000000000000000000"/>
    <w:charset w:val="86"/>
    <w:family w:val="script"/>
    <w:pitch w:val="default"/>
    <w:sig w:usb0="00000000" w:usb1="00000000" w:usb2="00082016" w:usb3="00000000" w:csb0="00040001" w:csb1="00000000"/>
  </w:font>
  <w:font w:name="方正小标宋简体">
    <w:altName w:val="方正舒体"/>
    <w:panose1 w:val="02000000000000000000"/>
    <w:charset w:val="86"/>
    <w:family w:val="auto"/>
    <w:pitch w:val="default"/>
    <w:sig w:usb0="00000000" w:usb1="00000000" w:usb2="00000012" w:usb3="00000000" w:csb0="00040001"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6"/>
          <w:jc w:val="center"/>
        </w:pPr>
        <w:r>
          <w:fldChar w:fldCharType="begin"/>
        </w:r>
        <w:r>
          <w:instrText xml:space="preserve">PAGE   \* MERGEFORMAT</w:instrText>
        </w:r>
        <w:r>
          <w:fldChar w:fldCharType="separate"/>
        </w:r>
        <w:r>
          <w:rPr>
            <w:lang w:val="zh-CN"/>
          </w:rPr>
          <w:t>13</w:t>
        </w:r>
        <w:r>
          <w:fldChar w:fldCharType="end"/>
        </w:r>
      </w:p>
    </w:sdtContent>
  </w:sdt>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00000000"/>
    <w:rsid w:val="1BBC306D"/>
    <w:rsid w:val="1E950CD3"/>
    <w:rsid w:val="1EF07362"/>
    <w:rsid w:val="2C084381"/>
    <w:rsid w:val="2DAC7103"/>
    <w:rsid w:val="36D57899"/>
    <w:rsid w:val="37977473"/>
    <w:rsid w:val="66E138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annotation text"/>
    <w:basedOn w:val="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qFormat/>
    <w:uiPriority w:val="0"/>
    <w:rPr>
      <w:b/>
      <w:bCs/>
    </w:rPr>
  </w:style>
  <w:style w:type="paragraph" w:customStyle="1" w:styleId="12">
    <w:name w:val="闻政-正文段落文字"/>
    <w:basedOn w:val="1"/>
    <w:qFormat/>
    <w:uiPriority w:val="3"/>
    <w:pPr>
      <w:spacing w:line="500" w:lineRule="exact"/>
      <w:ind w:firstLine="200"/>
    </w:pPr>
    <w:rPr>
      <w:kern w:val="0"/>
      <w:szCs w:val="28"/>
    </w:rPr>
  </w:style>
  <w:style w:type="character" w:customStyle="1" w:styleId="13">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9837</Words>
  <Characters>10342</Characters>
  <Lines>0</Lines>
  <Paragraphs>0</Paragraphs>
  <TotalTime>2</TotalTime>
  <ScaleCrop>false</ScaleCrop>
  <LinksUpToDate>false</LinksUpToDate>
  <CharactersWithSpaces>10359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2024-05-15T07:35:00Z</dcterms:created>
  <dc:creator>Administrator</dc:creator>
  <cp:lastModifiedBy>杜里里oppo</cp:lastModifiedBy>
  <dcterms:modified xsi:type="dcterms:W3CDTF">2024-10-09T08:55:36Z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C8144DE38B2B43A69ADAACD3D741D9A5</vt:lpwstr>
  </property>
</Properties>
</file>