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eastAsia="方正小标宋_GBK"/>
          <w:kern w:val="0"/>
          <w:sz w:val="48"/>
          <w:szCs w:val="48"/>
          <w:lang w:val="en-US" w:eastAsia="zh-CN"/>
        </w:rPr>
        <w:t>2023年化解工程项目（信访）</w:t>
      </w:r>
      <w:r>
        <w:rPr>
          <w:rFonts w:eastAsia="方正小标宋_GBK"/>
          <w:kern w:val="0"/>
          <w:sz w:val="48"/>
          <w:szCs w:val="48"/>
        </w:rPr>
        <w:t>资金支出</w:t>
      </w:r>
    </w:p>
    <w:p>
      <w:pPr>
        <w:spacing w:line="540" w:lineRule="exact"/>
        <w:jc w:val="center"/>
        <w:rPr>
          <w:rFonts w:eastAsia="方正小标宋_GBK"/>
          <w:kern w:val="0"/>
          <w:sz w:val="48"/>
          <w:szCs w:val="48"/>
        </w:rPr>
      </w:pPr>
      <w:r>
        <w:rPr>
          <w:rFonts w:eastAsia="方正小标宋_GBK"/>
          <w:kern w:val="0"/>
          <w:sz w:val="48"/>
          <w:szCs w:val="48"/>
        </w:rPr>
        <w:t>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lang w:val="en-US" w:eastAsia="zh-CN"/>
        </w:rPr>
        <w:t>3</w:t>
      </w:r>
      <w:r>
        <w:rPr>
          <w:rFonts w:eastAsia="仿宋_GB2312"/>
          <w:kern w:val="0"/>
          <w:sz w:val="36"/>
          <w:szCs w:val="36"/>
        </w:rPr>
        <w:t>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2"/>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440" w:firstLineChars="400"/>
        <w:jc w:val="left"/>
        <w:rPr>
          <w:rFonts w:hint="default" w:eastAsia="仿宋_GB2312"/>
          <w:kern w:val="0"/>
          <w:sz w:val="36"/>
          <w:szCs w:val="36"/>
          <w:lang w:val="en-US" w:eastAsia="zh-CN"/>
        </w:rPr>
      </w:pPr>
      <w:r>
        <w:rPr>
          <w:rFonts w:eastAsia="仿宋_GB2312"/>
          <w:kern w:val="0"/>
          <w:sz w:val="36"/>
          <w:szCs w:val="36"/>
        </w:rPr>
        <w:t>项目名称：</w:t>
      </w:r>
      <w:r>
        <w:rPr>
          <w:rFonts w:hint="eastAsia" w:eastAsia="仿宋_GB2312"/>
          <w:kern w:val="0"/>
          <w:sz w:val="36"/>
          <w:szCs w:val="36"/>
          <w:lang w:val="en-US" w:eastAsia="zh-CN"/>
        </w:rPr>
        <w:t>2023年化解工程项目（信访）</w:t>
      </w:r>
    </w:p>
    <w:p>
      <w:pPr>
        <w:spacing w:line="700" w:lineRule="exact"/>
        <w:ind w:firstLine="1440" w:firstLineChars="400"/>
        <w:jc w:val="left"/>
        <w:rPr>
          <w:rFonts w:hint="eastAsia" w:eastAsia="仿宋_GB2312"/>
          <w:kern w:val="0"/>
          <w:sz w:val="36"/>
          <w:szCs w:val="36"/>
          <w:lang w:val="en-US" w:eastAsia="zh-CN"/>
        </w:rPr>
      </w:pPr>
      <w:r>
        <w:rPr>
          <w:rFonts w:eastAsia="仿宋_GB2312"/>
          <w:kern w:val="0"/>
          <w:sz w:val="36"/>
          <w:szCs w:val="36"/>
        </w:rPr>
        <w:t>实施单位（公章）：</w:t>
      </w:r>
      <w:r>
        <w:rPr>
          <w:rFonts w:hint="eastAsia" w:eastAsia="仿宋_GB2312"/>
          <w:kern w:val="0"/>
          <w:sz w:val="36"/>
          <w:szCs w:val="36"/>
          <w:lang w:val="en-US" w:eastAsia="zh-CN"/>
        </w:rPr>
        <w:t>奇台县西地镇人民政府</w:t>
      </w:r>
    </w:p>
    <w:p>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lang w:val="en-US" w:eastAsia="zh-CN"/>
        </w:rPr>
        <w:t>奇台县西地镇人民政府</w:t>
      </w:r>
    </w:p>
    <w:p>
      <w:pPr>
        <w:spacing w:line="700" w:lineRule="exact"/>
        <w:ind w:firstLine="1440" w:firstLineChars="400"/>
        <w:jc w:val="left"/>
        <w:rPr>
          <w:rFonts w:hint="eastAsia" w:eastAsia="仿宋_GB2312"/>
          <w:kern w:val="0"/>
          <w:sz w:val="36"/>
          <w:szCs w:val="36"/>
          <w:lang w:val="en-US" w:eastAsia="zh-CN"/>
        </w:rPr>
      </w:pPr>
      <w:r>
        <w:rPr>
          <w:rFonts w:eastAsia="仿宋_GB2312"/>
          <w:kern w:val="0"/>
          <w:sz w:val="36"/>
          <w:szCs w:val="36"/>
        </w:rPr>
        <w:t>项目负责人（签章）：</w:t>
      </w:r>
      <w:r>
        <w:rPr>
          <w:rFonts w:hint="eastAsia" w:eastAsia="仿宋_GB2312"/>
          <w:kern w:val="0"/>
          <w:sz w:val="36"/>
          <w:szCs w:val="36"/>
          <w:lang w:val="en-US" w:eastAsia="zh-CN"/>
        </w:rPr>
        <w:t>肖克拉提·瓦衣提</w:t>
      </w:r>
    </w:p>
    <w:p>
      <w:pPr>
        <w:spacing w:line="700" w:lineRule="exact"/>
        <w:ind w:firstLine="1440" w:firstLineChars="400"/>
        <w:jc w:val="left"/>
        <w:rPr>
          <w:rFonts w:eastAsia="仿宋_GB2312"/>
          <w:kern w:val="0"/>
          <w:sz w:val="36"/>
          <w:szCs w:val="36"/>
        </w:rPr>
      </w:pPr>
      <w:r>
        <w:rPr>
          <w:rFonts w:eastAsia="仿宋_GB2312"/>
          <w:kern w:val="0"/>
          <w:sz w:val="36"/>
          <w:szCs w:val="36"/>
        </w:rPr>
        <w:t>填报时间：</w:t>
      </w:r>
      <w:r>
        <w:rPr>
          <w:rFonts w:hint="eastAsia" w:eastAsia="仿宋_GB2312"/>
          <w:kern w:val="0"/>
          <w:sz w:val="36"/>
          <w:szCs w:val="36"/>
          <w:lang w:val="en-US" w:eastAsia="zh-CN"/>
        </w:rPr>
        <w:t>2024</w:t>
      </w:r>
      <w:r>
        <w:rPr>
          <w:rFonts w:eastAsia="仿宋_GB2312"/>
          <w:kern w:val="0"/>
          <w:sz w:val="36"/>
          <w:szCs w:val="36"/>
        </w:rPr>
        <w:t>年</w:t>
      </w:r>
      <w:r>
        <w:rPr>
          <w:rFonts w:hint="eastAsia" w:eastAsia="仿宋_GB2312"/>
          <w:kern w:val="0"/>
          <w:sz w:val="36"/>
          <w:szCs w:val="36"/>
          <w:lang w:val="en-US" w:eastAsia="zh-CN"/>
        </w:rPr>
        <w:t>4</w:t>
      </w:r>
      <w:r>
        <w:rPr>
          <w:rFonts w:eastAsia="仿宋_GB2312"/>
          <w:kern w:val="0"/>
          <w:sz w:val="36"/>
          <w:szCs w:val="36"/>
        </w:rPr>
        <w:t>月</w:t>
      </w:r>
      <w:r>
        <w:rPr>
          <w:rFonts w:hint="eastAsia" w:eastAsia="仿宋_GB2312"/>
          <w:kern w:val="0"/>
          <w:sz w:val="36"/>
          <w:szCs w:val="36"/>
          <w:lang w:val="en-US" w:eastAsia="zh-CN"/>
        </w:rPr>
        <w:t>16</w:t>
      </w:r>
      <w:r>
        <w:rPr>
          <w:rFonts w:eastAsia="仿宋_GB2312"/>
          <w:kern w:val="0"/>
          <w:sz w:val="36"/>
          <w:szCs w:val="36"/>
        </w:rPr>
        <w:t>日</w:t>
      </w:r>
    </w:p>
    <w:p>
      <w:pPr>
        <w:spacing w:line="540" w:lineRule="exact"/>
        <w:jc w:val="center"/>
        <w:rPr>
          <w:rFonts w:eastAsia="仿宋_GB2312"/>
          <w:kern w:val="0"/>
          <w:sz w:val="30"/>
          <w:szCs w:val="30"/>
        </w:rPr>
      </w:pPr>
    </w:p>
    <w:p>
      <w:pPr>
        <w:spacing w:line="540" w:lineRule="exact"/>
        <w:rPr>
          <w:rStyle w:val="15"/>
          <w:rFonts w:eastAsia="黑体"/>
          <w:b w:val="0"/>
          <w:spacing w:val="-4"/>
          <w:sz w:val="32"/>
          <w:szCs w:val="32"/>
        </w:rPr>
      </w:pPr>
    </w:p>
    <w:p>
      <w:pPr>
        <w:spacing w:line="540" w:lineRule="exact"/>
        <w:ind w:firstLine="640"/>
        <w:rPr>
          <w:rStyle w:val="15"/>
          <w:rFonts w:eastAsia="黑体"/>
          <w:b w:val="0"/>
          <w:spacing w:val="-4"/>
          <w:sz w:val="32"/>
          <w:szCs w:val="32"/>
        </w:rPr>
      </w:pPr>
    </w:p>
    <w:p>
      <w:pPr>
        <w:spacing w:line="540" w:lineRule="exact"/>
        <w:rPr>
          <w:rStyle w:val="15"/>
          <w:rFonts w:eastAsia="黑体"/>
          <w:b w:val="0"/>
          <w:spacing w:val="-4"/>
          <w:sz w:val="32"/>
          <w:szCs w:val="32"/>
        </w:rPr>
      </w:pPr>
    </w:p>
    <w:p>
      <w:pPr>
        <w:spacing w:line="560" w:lineRule="exact"/>
        <w:ind w:firstLine="640" w:firstLineChars="200"/>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pStyle w:val="2"/>
        <w:numPr>
          <w:ilvl w:val="0"/>
          <w:numId w:val="0"/>
        </w:numPr>
        <w:spacing w:before="0" w:after="0" w:line="560" w:lineRule="exact"/>
        <w:jc w:val="both"/>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（1）奇财预[2023]112号关于奇台县2023年化解工程欠款[信访]的通知化解西地镇集贸市场债务10万。（2）奇乡财[2023]25号关于拨付西地镇集贸市场工程款的通知</w:t>
      </w:r>
      <w:r>
        <w:rPr>
          <w:rFonts w:hint="eastAsia" w:eastAsia="仿宋_GB2312" w:cs="Times New Roman"/>
          <w:b w:val="0"/>
          <w:bCs w:val="0"/>
          <w:kern w:val="2"/>
          <w:sz w:val="32"/>
          <w:szCs w:val="32"/>
          <w:highlight w:val="none"/>
          <w:lang w:val="en-US" w:eastAsia="zh-CN" w:bidi="ar-SA"/>
        </w:rPr>
        <w:t>化解债务12.598492万元</w:t>
      </w:r>
      <w:r>
        <w:rPr>
          <w:rFonts w:hint="eastAsia" w:ascii="Times New Roman" w:hAnsi="Times New Roman" w:eastAsia="仿宋_GB2312" w:cs="Times New Roman"/>
          <w:b w:val="0"/>
          <w:bCs w:val="0"/>
          <w:kern w:val="2"/>
          <w:sz w:val="32"/>
          <w:szCs w:val="32"/>
          <w:highlight w:val="none"/>
          <w:lang w:val="en-US" w:eastAsia="zh-CN" w:bidi="ar-SA"/>
        </w:rPr>
        <w:t>。（3）昌州财预[2023]70号关于下达集中化解政府隐性债务、中小企业欠款奖补资金[第一批]的通知、</w:t>
      </w:r>
      <w:r>
        <w:rPr>
          <w:rFonts w:hint="default" w:ascii="Times New Roman" w:hAnsi="Times New Roman" w:eastAsia="仿宋_GB2312" w:cs="Times New Roman"/>
          <w:b w:val="0"/>
          <w:bCs w:val="0"/>
          <w:kern w:val="2"/>
          <w:sz w:val="32"/>
          <w:szCs w:val="32"/>
          <w:highlight w:val="none"/>
          <w:lang w:val="en-US" w:eastAsia="zh-CN" w:bidi="ar-SA"/>
        </w:rPr>
        <w:t>2023年（第四批）中小企业旱沟为民服务中心化债及信访矛盾化解资金</w:t>
      </w:r>
      <w:r>
        <w:rPr>
          <w:rFonts w:hint="eastAsia" w:ascii="Times New Roman" w:hAnsi="Times New Roman" w:eastAsia="仿宋_GB2312" w:cs="Times New Roman"/>
          <w:b w:val="0"/>
          <w:bCs w:val="0"/>
          <w:kern w:val="2"/>
          <w:sz w:val="32"/>
          <w:szCs w:val="32"/>
          <w:highlight w:val="none"/>
          <w:lang w:val="en-US" w:eastAsia="zh-CN" w:bidi="ar-SA"/>
        </w:rPr>
        <w:t>10万。（4）昌州财预[2023]82号关于下达集中化解政府隐性债务、中小企业欠款奖补资金[第二批]的通知、奇台县2023年中小企业债务项目化解（第五批）资产抵顶（第二批）和现金支付化解债务17.112289万元，合计债务化解149.710781万元</w:t>
      </w:r>
      <w:r>
        <w:rPr>
          <w:rFonts w:hint="eastAsia" w:eastAsia="仿宋_GB2312" w:cs="Times New Roman"/>
          <w:b w:val="0"/>
          <w:bCs w:val="0"/>
          <w:kern w:val="2"/>
          <w:sz w:val="32"/>
          <w:szCs w:val="32"/>
          <w:highlight w:val="none"/>
          <w:lang w:val="en-US" w:eastAsia="zh-CN" w:bidi="ar-SA"/>
        </w:rPr>
        <w:t>。</w:t>
      </w:r>
    </w:p>
    <w:p>
      <w:pPr>
        <w:pStyle w:val="2"/>
        <w:numPr>
          <w:ilvl w:val="0"/>
          <w:numId w:val="0"/>
        </w:numPr>
        <w:spacing w:before="0" w:after="0" w:line="560" w:lineRule="exact"/>
        <w:jc w:val="both"/>
        <w:rPr>
          <w:rFonts w:ascii="Times New Roman" w:hAnsi="Times New Roman" w:eastAsia="仿宋_GB2312"/>
          <w:kern w:val="2"/>
        </w:rPr>
      </w:pPr>
      <w:r>
        <w:rPr>
          <w:rFonts w:ascii="Times New Roman" w:hAnsi="Times New Roman" w:eastAsia="仿宋_GB2312"/>
          <w:kern w:val="2"/>
        </w:rPr>
        <w:t>项目主要内容：</w:t>
      </w:r>
    </w:p>
    <w:p>
      <w:pPr>
        <w:spacing w:line="560" w:lineRule="exact"/>
        <w:ind w:firstLine="600" w:firstLineChars="200"/>
        <w:rPr>
          <w:rFonts w:hint="eastAsia" w:eastAsia="黑体"/>
          <w:highlight w:val="none"/>
          <w:lang w:eastAsia="zh-CN"/>
        </w:rPr>
      </w:pPr>
      <w:r>
        <w:rPr>
          <w:rFonts w:hint="eastAsia" w:ascii="仿宋_GB2312" w:hAnsi="仿宋_GB2312" w:eastAsia="仿宋_GB2312" w:cs="仿宋_GB2312"/>
          <w:sz w:val="30"/>
          <w:szCs w:val="30"/>
          <w:highlight w:val="none"/>
          <w:lang w:val="en-US" w:eastAsia="zh-CN"/>
        </w:rPr>
        <w:t>项目主要内容：</w:t>
      </w:r>
      <w:r>
        <w:rPr>
          <w:rFonts w:hint="eastAsia" w:eastAsia="仿宋_GB2312"/>
          <w:sz w:val="32"/>
          <w:szCs w:val="32"/>
          <w:highlight w:val="none"/>
          <w:lang w:val="en-US" w:eastAsia="zh-CN"/>
        </w:rPr>
        <w:t>坚持“谁举债谁负责”的原则，严格落实属地管理，有序稳妥化解债务存量，合理控制债务规模，打好防范化解重大风险的攻坚战。合理分配县财政拨付资金，由于西地镇债务问题较为突出，申请</w:t>
      </w:r>
      <w:r>
        <w:rPr>
          <w:rFonts w:hint="eastAsia" w:ascii="Times New Roman" w:hAnsi="Times New Roman" w:eastAsia="仿宋_GB2312" w:cs="Times New Roman"/>
          <w:b w:val="0"/>
          <w:bCs w:val="0"/>
          <w:kern w:val="2"/>
          <w:sz w:val="32"/>
          <w:szCs w:val="32"/>
          <w:highlight w:val="none"/>
          <w:lang w:val="en-US" w:eastAsia="zh-CN" w:bidi="ar-SA"/>
        </w:rPr>
        <w:t>149.71</w:t>
      </w:r>
      <w:r>
        <w:rPr>
          <w:rFonts w:hint="eastAsia" w:eastAsia="仿宋_GB2312"/>
          <w:sz w:val="32"/>
          <w:szCs w:val="32"/>
          <w:highlight w:val="none"/>
          <w:lang w:val="en-US" w:eastAsia="zh-CN"/>
        </w:rPr>
        <w:t>万元用于化解西地镇历年遗留信访工程款债务，债务支付4笔，债务资金支付完成率达到100%，还款准确率达到100%，资金按时完成支付率100%，有效保障单位良好信用，信访人满意度达到95%及以上的效果。</w:t>
      </w:r>
    </w:p>
    <w:p>
      <w:pPr>
        <w:spacing w:line="560" w:lineRule="exact"/>
        <w:ind w:firstLine="640" w:firstLineChars="200"/>
        <w:rPr>
          <w:rFonts w:hint="eastAsia" w:eastAsia="黑体"/>
          <w:highlight w:val="none"/>
          <w:lang w:eastAsia="zh-CN"/>
        </w:rPr>
      </w:pPr>
      <w:r>
        <w:rPr>
          <w:rFonts w:eastAsia="仿宋_GB2312"/>
          <w:sz w:val="32"/>
          <w:szCs w:val="32"/>
          <w:highlight w:val="none"/>
        </w:rPr>
        <w:t>项目实施情况：</w:t>
      </w:r>
      <w:r>
        <w:rPr>
          <w:rFonts w:hint="eastAsia" w:eastAsia="仿宋_GB2312"/>
          <w:sz w:val="32"/>
          <w:szCs w:val="32"/>
          <w:highlight w:val="none"/>
          <w:lang w:val="en-US" w:eastAsia="zh-CN"/>
        </w:rPr>
        <w:t>1；</w:t>
      </w:r>
      <w:r>
        <w:rPr>
          <w:rFonts w:hint="eastAsia" w:ascii="Times New Roman" w:hAnsi="Times New Roman" w:eastAsia="仿宋_GB2312" w:cs="Times New Roman"/>
          <w:sz w:val="32"/>
          <w:szCs w:val="32"/>
          <w:highlight w:val="none"/>
          <w:lang w:val="en-US" w:eastAsia="zh-CN"/>
        </w:rPr>
        <w:t>按照新疆维吾尔自治区奇台县人民法院民事裁定书（2021）新2325民特963号，奇台县西地镇人民政府2023年12月31日之前向迟堂斌支付集贸市场未付工程款22.598492万元（分别是</w:t>
      </w:r>
      <w:r>
        <w:rPr>
          <w:rFonts w:hint="eastAsia" w:ascii="Times New Roman" w:hAnsi="Times New Roman" w:eastAsia="仿宋_GB2312" w:cs="Times New Roman"/>
          <w:b w:val="0"/>
          <w:bCs w:val="0"/>
          <w:kern w:val="2"/>
          <w:sz w:val="32"/>
          <w:szCs w:val="32"/>
          <w:highlight w:val="none"/>
          <w:lang w:val="en-US" w:eastAsia="zh-CN" w:bidi="ar-SA"/>
        </w:rPr>
        <w:t>奇财预[2023]112号关于奇台县2023年化解工程欠款[信访]的通知化解西地镇集贸市场债务10万。（2）按照奇乡财[2023]25号关于拨付西地镇集贸市场工程款的通知</w:t>
      </w:r>
      <w:r>
        <w:rPr>
          <w:rFonts w:hint="eastAsia" w:eastAsia="仿宋_GB2312" w:cs="Times New Roman"/>
          <w:b w:val="0"/>
          <w:bCs w:val="0"/>
          <w:kern w:val="2"/>
          <w:sz w:val="32"/>
          <w:szCs w:val="32"/>
          <w:highlight w:val="none"/>
          <w:lang w:val="en-US" w:eastAsia="zh-CN" w:bidi="ar-SA"/>
        </w:rPr>
        <w:t>化解债务12.598492万元</w:t>
      </w:r>
      <w:r>
        <w:rPr>
          <w:rFonts w:hint="eastAsia"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b w:val="0"/>
          <w:bCs w:val="0"/>
          <w:kern w:val="2"/>
          <w:sz w:val="32"/>
          <w:szCs w:val="32"/>
          <w:highlight w:val="none"/>
          <w:lang w:val="en-US" w:eastAsia="zh-CN" w:bidi="ar-SA"/>
        </w:rPr>
        <w:t>昌州财预[2023]70号关于下达集中化解政府隐性债务、中小企业欠款奖补资金[第一批]的通知、</w:t>
      </w:r>
      <w:r>
        <w:rPr>
          <w:rFonts w:hint="default" w:ascii="Times New Roman" w:hAnsi="Times New Roman" w:eastAsia="仿宋_GB2312" w:cs="Times New Roman"/>
          <w:b w:val="0"/>
          <w:bCs w:val="0"/>
          <w:kern w:val="2"/>
          <w:sz w:val="32"/>
          <w:szCs w:val="32"/>
          <w:highlight w:val="none"/>
          <w:lang w:val="en-US" w:eastAsia="zh-CN" w:bidi="ar-SA"/>
        </w:rPr>
        <w:t>2023年（第四批）中小企业旱沟为民服务中心化债及信访矛盾化解资金</w:t>
      </w:r>
      <w:r>
        <w:rPr>
          <w:rFonts w:hint="eastAsia" w:ascii="Times New Roman" w:hAnsi="Times New Roman" w:eastAsia="仿宋_GB2312" w:cs="Times New Roman"/>
          <w:b w:val="0"/>
          <w:bCs w:val="0"/>
          <w:kern w:val="2"/>
          <w:sz w:val="32"/>
          <w:szCs w:val="32"/>
          <w:highlight w:val="none"/>
          <w:lang w:val="en-US" w:eastAsia="zh-CN" w:bidi="ar-SA"/>
        </w:rPr>
        <w:t>10万1笔。3；按照昌州财预[2023]82号关于下达集中化解政府隐性债务、中小企业欠款奖补资金[第二批]的通知、奇台县2023年中小企业债务项目化解（第五批）资产抵顶（第二批）和现金支付化解债务西地镇农村综合服务大厅项目117.112289万元。西地镇2023年</w:t>
      </w:r>
      <w:r>
        <w:rPr>
          <w:rFonts w:hint="eastAsia" w:eastAsia="仿宋_GB2312"/>
          <w:sz w:val="32"/>
          <w:szCs w:val="32"/>
          <w:highlight w:val="none"/>
          <w:lang w:val="en-US" w:eastAsia="zh-CN"/>
        </w:rPr>
        <w:t>申请</w:t>
      </w:r>
      <w:r>
        <w:rPr>
          <w:rFonts w:hint="eastAsia" w:ascii="Times New Roman" w:hAnsi="Times New Roman" w:eastAsia="仿宋_GB2312" w:cs="Times New Roman"/>
          <w:b w:val="0"/>
          <w:bCs w:val="0"/>
          <w:kern w:val="2"/>
          <w:sz w:val="32"/>
          <w:szCs w:val="32"/>
          <w:highlight w:val="none"/>
          <w:lang w:val="en-US" w:eastAsia="zh-CN" w:bidi="ar-SA"/>
        </w:rPr>
        <w:t>149.710781</w:t>
      </w:r>
      <w:r>
        <w:rPr>
          <w:rFonts w:hint="eastAsia" w:eastAsia="仿宋_GB2312"/>
          <w:sz w:val="32"/>
          <w:szCs w:val="32"/>
          <w:highlight w:val="none"/>
          <w:lang w:val="en-US" w:eastAsia="zh-CN"/>
        </w:rPr>
        <w:t>万元用于化解西地镇历年遗留信访工程款债务，债务支付4笔，债务资金支付完成率达到100%，还款准确率达到100%，资金按时完成支付率100%，有效保障单位良好信用，信访人满意度达到95%及以上的效果。项目在实施过程中严格按照目标设立的各阶段任务进行开展工作，在前期立项过程中严格把质量关，建立安全防护机制，保证项目实施各阶段安全顺利进行。</w:t>
      </w:r>
    </w:p>
    <w:p>
      <w:pPr>
        <w:spacing w:line="560" w:lineRule="exact"/>
        <w:ind w:firstLine="420" w:firstLineChars="200"/>
        <w:rPr>
          <w:rFonts w:hint="default"/>
          <w:lang w:val="en-US"/>
        </w:rPr>
      </w:pPr>
    </w:p>
    <w:p>
      <w:pPr>
        <w:spacing w:line="560" w:lineRule="exact"/>
        <w:ind w:firstLine="643" w:firstLineChars="200"/>
        <w:rPr>
          <w:rFonts w:eastAsia="仿宋_GB2312"/>
          <w:b/>
          <w:bCs/>
          <w:sz w:val="32"/>
          <w:szCs w:val="32"/>
        </w:rPr>
      </w:pPr>
      <w:r>
        <w:rPr>
          <w:rFonts w:eastAsia="仿宋_GB2312"/>
          <w:b/>
          <w:bCs/>
          <w:sz w:val="32"/>
          <w:szCs w:val="32"/>
        </w:rPr>
        <w:t>3、资金投入和使用情况</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（1）资金投入情况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该项目年初预算数10</w:t>
      </w:r>
      <w:r>
        <w:rPr>
          <w:rFonts w:hint="eastAsia" w:ascii="仿宋_GB2312" w:hAnsi="仿宋_GB2312" w:eastAsia="仿宋_GB2312" w:cs="仿宋_GB2312"/>
          <w:sz w:val="32"/>
          <w:szCs w:val="32"/>
          <w:highlight w:val="none"/>
          <w:lang w:val="en-US" w:eastAsia="zh-CN"/>
        </w:rPr>
        <w:t>万元，全年预算数149.71</w:t>
      </w:r>
      <w:r>
        <w:rPr>
          <w:rFonts w:hint="eastAsia" w:ascii="仿宋_GB2312" w:hAnsi="仿宋_GB2312" w:eastAsia="仿宋_GB2312" w:cs="仿宋_GB2312"/>
          <w:sz w:val="32"/>
          <w:szCs w:val="32"/>
          <w:highlight w:val="none"/>
          <w:lang w:val="en-US" w:eastAsia="zh-CN"/>
        </w:rPr>
        <w:t>万元，实际总投入149.71</w:t>
      </w:r>
      <w:r>
        <w:rPr>
          <w:rFonts w:hint="eastAsia" w:ascii="仿宋_GB2312" w:hAnsi="仿宋_GB2312" w:eastAsia="仿宋_GB2312" w:cs="仿宋_GB2312"/>
          <w:sz w:val="32"/>
          <w:szCs w:val="32"/>
          <w:highlight w:val="none"/>
          <w:lang w:val="en-US" w:eastAsia="zh-CN"/>
        </w:rPr>
        <w:t>万元，该项目资金已全部落实到位，资金来源为县级财政拨款资金。</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（2）资金使用情况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该项目年初预算数10</w:t>
      </w:r>
      <w:r>
        <w:rPr>
          <w:rFonts w:hint="eastAsia" w:ascii="仿宋_GB2312" w:hAnsi="仿宋_GB2312" w:eastAsia="仿宋_GB2312" w:cs="仿宋_GB2312"/>
          <w:sz w:val="32"/>
          <w:szCs w:val="32"/>
          <w:highlight w:val="none"/>
          <w:lang w:val="en-US" w:eastAsia="zh-CN"/>
        </w:rPr>
        <w:t>万元，全年预算数149.71</w:t>
      </w:r>
      <w:r>
        <w:rPr>
          <w:rFonts w:hint="eastAsia" w:ascii="仿宋_GB2312" w:hAnsi="仿宋_GB2312" w:eastAsia="仿宋_GB2312" w:cs="仿宋_GB2312"/>
          <w:sz w:val="32"/>
          <w:szCs w:val="32"/>
          <w:highlight w:val="none"/>
          <w:lang w:val="en-US" w:eastAsia="zh-CN"/>
        </w:rPr>
        <w:t>万元,，全年执行数149.71</w:t>
      </w:r>
      <w:r>
        <w:rPr>
          <w:rFonts w:hint="eastAsia" w:ascii="仿宋_GB2312" w:hAnsi="仿宋_GB2312" w:eastAsia="仿宋_GB2312" w:cs="仿宋_GB2312"/>
          <w:sz w:val="32"/>
          <w:szCs w:val="32"/>
          <w:highlight w:val="none"/>
          <w:lang w:val="en-US" w:eastAsia="zh-CN"/>
        </w:rPr>
        <w:t>万元，预算执行率为100</w:t>
      </w:r>
      <w:r>
        <w:rPr>
          <w:rFonts w:hint="eastAsia" w:ascii="仿宋_GB2312" w:hAnsi="仿宋_GB2312" w:eastAsia="仿宋_GB2312" w:cs="仿宋_GB2312"/>
          <w:sz w:val="32"/>
          <w:szCs w:val="32"/>
          <w:highlight w:val="none"/>
          <w:lang w:val="en-US" w:eastAsia="zh-CN"/>
        </w:rPr>
        <w:t>%，主要用于：化解西地镇历年遗留工程项目债务问题及解决信访矛盾</w:t>
      </w:r>
      <w:r>
        <w:rPr>
          <w:rFonts w:hint="eastAsia" w:ascii="仿宋_GB2312" w:hAnsi="仿宋_GB2312" w:eastAsia="仿宋_GB2312" w:cs="仿宋_GB2312"/>
          <w:sz w:val="32"/>
          <w:szCs w:val="32"/>
          <w:highlight w:val="none"/>
          <w:lang w:val="en-US" w:eastAsia="zh-CN"/>
        </w:rPr>
        <w:t>。</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spacing w:line="560" w:lineRule="exact"/>
        <w:ind w:firstLine="640" w:firstLineChars="200"/>
        <w:rPr>
          <w:rFonts w:eastAsia="仿宋_GB2312"/>
          <w:sz w:val="32"/>
          <w:szCs w:val="32"/>
        </w:rPr>
      </w:pPr>
      <w:r>
        <w:rPr>
          <w:rFonts w:eastAsia="仿宋_GB2312"/>
          <w:sz w:val="32"/>
          <w:szCs w:val="32"/>
        </w:rPr>
        <w:t>1、总体目标</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2023年计划完成4笔共计149.71万元债务支付（西地镇集贸市场信访化债项目款22.598492万元、西地镇旱沟村为民服务中心化债10万、西地镇农村综合服务大厅117.112289万元）债务资金支付完成率100%、债务还款准确率%、有效保障单位良好信用。</w:t>
      </w:r>
    </w:p>
    <w:p>
      <w:pPr>
        <w:spacing w:line="560" w:lineRule="exact"/>
        <w:ind w:firstLine="640" w:firstLineChars="200"/>
        <w:rPr>
          <w:rFonts w:hint="eastAsia" w:ascii="仿宋_GB2312" w:hAnsi="仿宋_GB2312" w:eastAsia="仿宋_GB2312" w:cs="仿宋_GB2312"/>
          <w:color w:val="FF0000"/>
          <w:sz w:val="30"/>
          <w:szCs w:val="30"/>
          <w:highlight w:val="none"/>
          <w:lang w:val="en-US" w:eastAsia="zh-CN"/>
        </w:rPr>
      </w:pPr>
      <w:r>
        <w:rPr>
          <w:rFonts w:eastAsia="仿宋_GB2312"/>
          <w:sz w:val="32"/>
          <w:szCs w:val="32"/>
        </w:rPr>
        <w:t>2、阶段性目标</w:t>
      </w:r>
    </w:p>
    <w:p>
      <w:pPr>
        <w:spacing w:line="560" w:lineRule="exact"/>
        <w:ind w:firstLine="640" w:firstLineChars="200"/>
        <w:rPr>
          <w:rFonts w:hint="eastAsia" w:eastAsia="仿宋_GB2312"/>
          <w:sz w:val="32"/>
          <w:szCs w:val="32"/>
          <w:highlight w:val="none"/>
          <w:lang w:val="en-US" w:eastAsia="zh-CN"/>
        </w:rPr>
      </w:pPr>
      <w:r>
        <w:rPr>
          <w:rFonts w:hint="eastAsia" w:eastAsia="仿宋_GB2312" w:cs="Times New Roman"/>
          <w:b w:val="0"/>
          <w:bCs w:val="0"/>
          <w:kern w:val="2"/>
          <w:sz w:val="32"/>
          <w:szCs w:val="32"/>
          <w:highlight w:val="none"/>
          <w:lang w:val="en-US" w:eastAsia="zh-CN" w:bidi="ar-SA"/>
        </w:rPr>
        <w:t>共化解</w:t>
      </w:r>
      <w:r>
        <w:rPr>
          <w:rFonts w:hint="eastAsia" w:ascii="Times New Roman" w:hAnsi="Times New Roman" w:eastAsia="仿宋_GB2312" w:cs="Times New Roman"/>
          <w:b w:val="0"/>
          <w:bCs w:val="0"/>
          <w:kern w:val="2"/>
          <w:sz w:val="32"/>
          <w:szCs w:val="32"/>
          <w:highlight w:val="none"/>
          <w:lang w:val="en-US" w:eastAsia="zh-CN" w:bidi="ar-SA"/>
        </w:rPr>
        <w:t>4笔债务支付（西地镇集贸市场信访化债项目款22.598492万元、西地镇旱沟村为民服务中心化债10万、西地镇农村综合服务大厅117.112289万元）。</w:t>
      </w:r>
      <w:r>
        <w:rPr>
          <w:rFonts w:hint="eastAsia" w:eastAsia="仿宋_GB2312"/>
          <w:sz w:val="32"/>
          <w:szCs w:val="32"/>
          <w:highlight w:val="none"/>
          <w:lang w:val="en-US" w:eastAsia="zh-CN"/>
        </w:rPr>
        <w:t>债务资金支付完成率达到100%，还款准确率达到100%，资金按时完成支付率100%，有效保障单位良好信用。</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1、绩效评价的目的</w:t>
      </w:r>
    </w:p>
    <w:p>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pPr>
        <w:spacing w:line="560" w:lineRule="exact"/>
        <w:ind w:firstLine="640" w:firstLineChars="200"/>
        <w:rPr>
          <w:rFonts w:eastAsia="仿宋_GB2312"/>
          <w:sz w:val="32"/>
          <w:szCs w:val="32"/>
        </w:rPr>
      </w:pPr>
      <w:r>
        <w:rPr>
          <w:rFonts w:eastAsia="仿宋_GB2312"/>
          <w:sz w:val="32"/>
          <w:szCs w:val="32"/>
        </w:rPr>
        <w:t>（2）项目绩效管理财政支出运行提供及时、有效的信息。</w:t>
      </w:r>
    </w:p>
    <w:p>
      <w:pPr>
        <w:pStyle w:val="18"/>
        <w:spacing w:line="560" w:lineRule="exact"/>
        <w:ind w:firstLine="640" w:firstLineChars="200"/>
        <w:rPr>
          <w:rFonts w:eastAsia="方正仿宋_GBK" w:cs="方正仿宋_GBK"/>
          <w:sz w:val="32"/>
          <w:szCs w:val="32"/>
        </w:rPr>
      </w:pPr>
      <w:r>
        <w:rPr>
          <w:rFonts w:eastAsia="仿宋_GB2312"/>
          <w:sz w:val="32"/>
          <w:szCs w:val="32"/>
        </w:rPr>
        <w:t>综合来看，通过开展有效的财政支出绩效评价管理，</w:t>
      </w:r>
      <w:r>
        <w:rPr>
          <w:rFonts w:hint="eastAsia" w:eastAsia="仿宋_GB2312"/>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2、绩效评价的对象</w:t>
      </w:r>
    </w:p>
    <w:p>
      <w:pPr>
        <w:spacing w:line="560" w:lineRule="exact"/>
        <w:ind w:firstLine="600" w:firstLineChars="200"/>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lang w:val="en-US" w:eastAsia="zh-CN"/>
        </w:rPr>
        <w:t>2023年化解工程项目（信访）</w:t>
      </w:r>
      <w:r>
        <w:rPr>
          <w:rFonts w:hint="eastAsia" w:ascii="仿宋_GB2312" w:hAnsi="仿宋_GB2312" w:eastAsia="仿宋_GB2312" w:cs="仿宋_GB2312"/>
          <w:sz w:val="30"/>
          <w:szCs w:val="30"/>
          <w:highlight w:val="none"/>
        </w:rPr>
        <w:t>所包含的全部项目内容。</w:t>
      </w:r>
    </w:p>
    <w:p>
      <w:pPr>
        <w:pStyle w:val="2"/>
        <w:widowControl w:val="0"/>
        <w:spacing w:before="0" w:after="0" w:line="560" w:lineRule="exact"/>
        <w:ind w:firstLine="600" w:firstLineChars="200"/>
        <w:jc w:val="both"/>
        <w:outlineLvl w:val="9"/>
        <w:rPr>
          <w:rFonts w:ascii="Times New Roman" w:hAnsi="Times New Roman" w:eastAsia="仿宋_GB2312"/>
          <w:b w:val="0"/>
          <w:bCs w:val="0"/>
          <w:sz w:val="30"/>
          <w:szCs w:val="30"/>
          <w:highlight w:val="none"/>
        </w:rPr>
      </w:pPr>
      <w:r>
        <w:rPr>
          <w:rFonts w:ascii="Times New Roman" w:hAnsi="Times New Roman" w:eastAsia="仿宋_GB2312"/>
          <w:b w:val="0"/>
          <w:bCs w:val="0"/>
          <w:sz w:val="30"/>
          <w:szCs w:val="30"/>
          <w:highlight w:val="none"/>
        </w:rPr>
        <w:t>3、绩效评价的范围</w:t>
      </w:r>
    </w:p>
    <w:p>
      <w:pPr>
        <w:spacing w:line="560" w:lineRule="exact"/>
        <w:ind w:firstLine="600" w:firstLineChars="200"/>
        <w:rPr>
          <w:rFonts w:ascii="仿宋_GB2312" w:hAnsi="仿宋_GB2312" w:eastAsia="仿宋_GB2312" w:cs="仿宋_GB2312"/>
          <w:sz w:val="30"/>
          <w:szCs w:val="30"/>
          <w:highlight w:val="none"/>
        </w:rPr>
      </w:pPr>
      <w:r>
        <w:rPr>
          <w:rFonts w:hint="eastAsia" w:ascii="仿宋_GB2312" w:hAnsi="仿宋_GB2312" w:eastAsia="仿宋_GB2312" w:cs="仿宋_GB2312"/>
          <w:sz w:val="30"/>
          <w:szCs w:val="30"/>
          <w:highlight w:val="none"/>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0"/>
          <w:szCs w:val="30"/>
          <w:highlight w:val="none"/>
          <w:lang w:val="en-US" w:eastAsia="zh-CN"/>
        </w:rPr>
        <w:t>2023年化解工程项目（信访）</w:t>
      </w:r>
      <w:r>
        <w:rPr>
          <w:rFonts w:hint="eastAsia" w:ascii="仿宋_GB2312" w:hAnsi="仿宋_GB2312" w:eastAsia="仿宋_GB2312" w:cs="仿宋_GB2312"/>
          <w:sz w:val="30"/>
          <w:szCs w:val="30"/>
          <w:highlight w:val="none"/>
        </w:rPr>
        <w:t>进行评价，评价核心为专项资金的支出完成情况和效果。</w:t>
      </w:r>
    </w:p>
    <w:p>
      <w:pPr>
        <w:spacing w:line="560" w:lineRule="exact"/>
        <w:ind w:firstLine="643" w:firstLineChars="200"/>
      </w:pPr>
      <w:r>
        <w:rPr>
          <w:rFonts w:eastAsia="楷体_GB2312"/>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1、绩效评价原则</w:t>
      </w:r>
    </w:p>
    <w:p>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2、评价指标体系</w:t>
      </w:r>
    </w:p>
    <w:p>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pPr>
        <w:spacing w:line="560" w:lineRule="exact"/>
        <w:ind w:firstLine="708" w:firstLineChars="200"/>
        <w:rPr>
          <w:rFonts w:eastAsia="仿宋_GB2312"/>
          <w:color w:val="auto"/>
          <w:spacing w:val="17"/>
          <w:sz w:val="32"/>
          <w:szCs w:val="32"/>
          <w:highlight w:val="none"/>
        </w:rPr>
      </w:pPr>
      <w:r>
        <w:rPr>
          <w:rFonts w:eastAsia="仿宋_GB2312"/>
          <w:color w:val="auto"/>
          <w:spacing w:val="17"/>
          <w:sz w:val="32"/>
          <w:szCs w:val="32"/>
          <w:highlight w:val="none"/>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Style w:val="2"/>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（1）比较法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通过对绩效目标与实施效果、历史与当期情况，综合分析绩效目标实现程度。对</w:t>
      </w:r>
      <w:r>
        <w:rPr>
          <w:rFonts w:eastAsia="仿宋_GB2312"/>
          <w:sz w:val="32"/>
          <w:szCs w:val="32"/>
        </w:rPr>
        <w:t>项目</w:t>
      </w:r>
      <w:r>
        <w:rPr>
          <w:rFonts w:eastAsia="仿宋_GB2312"/>
          <w:color w:val="000000"/>
          <w:spacing w:val="17"/>
          <w:sz w:val="32"/>
          <w:szCs w:val="32"/>
        </w:rPr>
        <w:t>最终验收情况与年度绩效目标对比、预算资金执行情况等相关因素进行比较。</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（2）因素分析法</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通过综合分析影响绩效目标实现、实施效果的内外因素，评价绩效目标实现程度。通过对</w:t>
      </w:r>
      <w:r>
        <w:rPr>
          <w:rFonts w:eastAsia="仿宋_GB2312"/>
          <w:sz w:val="32"/>
          <w:szCs w:val="32"/>
        </w:rPr>
        <w:t>项目</w:t>
      </w:r>
      <w:r>
        <w:rPr>
          <w:rFonts w:eastAsia="仿宋_GB2312"/>
          <w:color w:val="000000"/>
          <w:spacing w:val="17"/>
          <w:sz w:val="32"/>
          <w:szCs w:val="32"/>
        </w:rPr>
        <w:t>的开展情况、项目产出数量、成本控制、资金拨付文件及自评报告等相关资料的收集和审核，综合分析各因素对绩效目标实现的影响。</w:t>
      </w:r>
    </w:p>
    <w:p>
      <w:pPr>
        <w:pStyle w:val="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4、评价标准</w:t>
      </w:r>
    </w:p>
    <w:p>
      <w:pPr>
        <w:spacing w:line="560" w:lineRule="exact"/>
        <w:ind w:firstLine="708" w:firstLineChars="200"/>
        <w:rPr>
          <w:rFonts w:eastAsia="仿宋_GB2312"/>
          <w:color w:val="000000"/>
          <w:spacing w:val="17"/>
          <w:sz w:val="32"/>
          <w:szCs w:val="32"/>
          <w:highlight w:val="none"/>
        </w:rPr>
      </w:pPr>
      <w:r>
        <w:rPr>
          <w:rFonts w:hint="eastAsia" w:eastAsia="仿宋_GB2312"/>
          <w:color w:val="000000"/>
          <w:spacing w:val="17"/>
          <w:sz w:val="32"/>
          <w:szCs w:val="32"/>
        </w:rPr>
        <w:t>绩效评价标准通常包括计划标准、行业标准、历史标准等，用于对绩效指标完成情况进行比较、分析、评价。本次评价主要采</w:t>
      </w:r>
      <w:r>
        <w:rPr>
          <w:rFonts w:hint="eastAsia" w:eastAsia="仿宋_GB2312"/>
          <w:color w:val="000000"/>
          <w:spacing w:val="17"/>
          <w:sz w:val="32"/>
          <w:szCs w:val="32"/>
          <w:highlight w:val="none"/>
        </w:rPr>
        <w:t>用了</w:t>
      </w:r>
      <w:r>
        <w:rPr>
          <w:rFonts w:hint="eastAsia" w:eastAsia="仿宋_GB2312"/>
          <w:color w:val="000000"/>
          <w:spacing w:val="17"/>
          <w:sz w:val="32"/>
          <w:szCs w:val="32"/>
          <w:highlight w:val="none"/>
          <w:lang w:val="en-US" w:eastAsia="zh-CN"/>
        </w:rPr>
        <w:t>计划</w:t>
      </w:r>
      <w:r>
        <w:rPr>
          <w:rFonts w:hint="eastAsia" w:eastAsia="仿宋_GB2312"/>
          <w:color w:val="000000"/>
          <w:spacing w:val="17"/>
          <w:sz w:val="32"/>
          <w:szCs w:val="32"/>
          <w:highlight w:val="none"/>
        </w:rPr>
        <w:t>标准。</w:t>
      </w:r>
    </w:p>
    <w:p>
      <w:pPr>
        <w:spacing w:line="560" w:lineRule="exact"/>
        <w:ind w:firstLine="708" w:firstLineChars="200"/>
        <w:rPr>
          <w:rFonts w:eastAsia="仿宋_GB2312"/>
          <w:color w:val="000000"/>
          <w:spacing w:val="17"/>
          <w:sz w:val="32"/>
          <w:szCs w:val="32"/>
        </w:rPr>
      </w:pPr>
      <w:bookmarkStart w:id="0" w:name="_Toc31464"/>
      <w:bookmarkStart w:id="1" w:name="_Toc17882"/>
      <w:r>
        <w:rPr>
          <w:rFonts w:hint="eastAsia" w:eastAsia="仿宋_GB2312"/>
          <w:color w:val="000000"/>
          <w:spacing w:val="17"/>
          <w:sz w:val="32"/>
          <w:szCs w:val="32"/>
        </w:rPr>
        <w:t>计划标准：指以预先制定的目标、计划、预算、定额等作为评价标准。</w:t>
      </w:r>
      <w:bookmarkEnd w:id="0"/>
      <w:bookmarkEnd w:id="1"/>
    </w:p>
    <w:p>
      <w:pPr>
        <w:spacing w:line="560" w:lineRule="exact"/>
        <w:ind w:firstLine="708" w:firstLineChars="200"/>
        <w:rPr>
          <w:rFonts w:eastAsia="仿宋_GB2312"/>
          <w:color w:val="000000"/>
          <w:spacing w:val="17"/>
          <w:sz w:val="32"/>
          <w:szCs w:val="32"/>
        </w:rPr>
      </w:pPr>
      <w:bookmarkStart w:id="2" w:name="_Toc5633"/>
      <w:bookmarkStart w:id="3" w:name="_Toc2318"/>
      <w:r>
        <w:rPr>
          <w:rFonts w:hint="eastAsia" w:eastAsia="仿宋_GB2312"/>
          <w:color w:val="000000"/>
          <w:spacing w:val="17"/>
          <w:sz w:val="32"/>
          <w:szCs w:val="32"/>
        </w:rPr>
        <w:t>行业标准：指参照国家公布的行业指标数据制定的评价标准。</w:t>
      </w:r>
      <w:bookmarkEnd w:id="2"/>
      <w:bookmarkEnd w:id="3"/>
    </w:p>
    <w:p>
      <w:pPr>
        <w:spacing w:line="560" w:lineRule="exact"/>
        <w:ind w:firstLine="708" w:firstLineChars="200"/>
        <w:rPr>
          <w:rFonts w:eastAsia="方正仿宋_GBK" w:cs="方正仿宋_GBK"/>
          <w:sz w:val="32"/>
          <w:szCs w:val="32"/>
        </w:rPr>
      </w:pPr>
      <w:bookmarkStart w:id="4" w:name="_Toc16028"/>
      <w:bookmarkStart w:id="5" w:name="_Toc430"/>
      <w:r>
        <w:rPr>
          <w:rFonts w:hint="eastAsia" w:eastAsia="仿宋_GB2312"/>
          <w:color w:val="000000"/>
          <w:spacing w:val="17"/>
          <w:sz w:val="32"/>
          <w:szCs w:val="32"/>
        </w:rPr>
        <w:t>历史标准：指参照历史数据制定的评价标准，为体现绩效改进的原则，在可实现的条件下应当确定相对较高的评价标准。</w:t>
      </w:r>
      <w:bookmarkEnd w:id="4"/>
      <w:bookmarkEnd w:id="5"/>
    </w:p>
    <w:p>
      <w:pPr>
        <w:pStyle w:val="2"/>
        <w:numPr>
          <w:ilvl w:val="0"/>
          <w:numId w:val="2"/>
        </w:numPr>
        <w:spacing w:before="0" w:after="0" w:line="560" w:lineRule="exact"/>
        <w:ind w:firstLine="711" w:firstLineChars="200"/>
        <w:jc w:val="both"/>
        <w:rPr>
          <w:rFonts w:ascii="楷体" w:hAnsi="楷体" w:eastAsia="楷体" w:cs="楷体"/>
          <w:color w:val="000000"/>
          <w:spacing w:val="17"/>
        </w:rPr>
      </w:pPr>
      <w:r>
        <w:rPr>
          <w:rFonts w:hint="eastAsia" w:ascii="楷体" w:hAnsi="楷体" w:eastAsia="楷体" w:cs="楷体"/>
          <w:color w:val="000000"/>
          <w:spacing w:val="17"/>
        </w:rPr>
        <w:t>绩效评价工作过程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1.</w:t>
      </w:r>
      <w:r>
        <w:rPr>
          <w:rFonts w:hint="eastAsia" w:eastAsia="仿宋_GB2312"/>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rFonts w:eastAsia="仿宋_GB2312"/>
          <w:bCs/>
          <w:sz w:val="32"/>
          <w:szCs w:val="32"/>
        </w:rPr>
      </w:pPr>
      <w:r>
        <w:rPr>
          <w:rFonts w:hint="eastAsia" w:eastAsia="仿宋_GB2312"/>
          <w:bCs/>
          <w:sz w:val="32"/>
          <w:szCs w:val="32"/>
          <w:lang w:val="en-US" w:eastAsia="zh-CN"/>
        </w:rPr>
        <w:t>2.</w:t>
      </w:r>
      <w:r>
        <w:rPr>
          <w:rFonts w:hint="eastAsia" w:eastAsia="仿宋_GB2312"/>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40" w:firstLineChars="200"/>
        <w:textAlignment w:val="auto"/>
        <w:rPr>
          <w:sz w:val="32"/>
          <w:szCs w:val="32"/>
        </w:rPr>
      </w:pPr>
      <w:r>
        <w:rPr>
          <w:rFonts w:hint="eastAsia" w:eastAsia="仿宋_GB2312"/>
          <w:bCs/>
          <w:sz w:val="32"/>
          <w:szCs w:val="32"/>
          <w:lang w:val="en-US" w:eastAsia="zh-CN"/>
        </w:rPr>
        <w:t>3.</w:t>
      </w:r>
      <w:r>
        <w:rPr>
          <w:rFonts w:hint="eastAsia" w:eastAsia="仿宋_GB2312"/>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lang w:val="en-US" w:eastAsia="zh-CN"/>
        </w:rPr>
      </w:pPr>
      <w:r>
        <w:rPr>
          <w:rFonts w:hint="eastAsia" w:ascii="Times New Roman" w:hAnsi="Times New Roman" w:eastAsia="楷体_GB2312"/>
          <w:lang w:eastAsia="zh-CN"/>
        </w:rPr>
        <w:t>（</w:t>
      </w:r>
      <w:r>
        <w:rPr>
          <w:rFonts w:hint="eastAsia" w:ascii="Times New Roman" w:hAnsi="Times New Roman" w:eastAsia="楷体_GB2312"/>
          <w:lang w:val="en-US" w:eastAsia="zh-CN"/>
        </w:rPr>
        <w:t>一</w:t>
      </w:r>
      <w:r>
        <w:rPr>
          <w:rFonts w:hint="eastAsia" w:ascii="Times New Roman" w:hAnsi="Times New Roman" w:eastAsia="楷体_GB2312"/>
          <w:lang w:eastAsia="zh-CN"/>
        </w:rPr>
        <w:t>）</w:t>
      </w:r>
      <w:r>
        <w:rPr>
          <w:rFonts w:hint="eastAsia" w:ascii="Times New Roman" w:hAnsi="Times New Roman" w:eastAsia="楷体_GB2312"/>
          <w:lang w:val="en-US" w:eastAsia="zh-CN"/>
        </w:rPr>
        <w:t>评价情况</w:t>
      </w:r>
    </w:p>
    <w:p>
      <w:pPr>
        <w:shd w:val="clear"/>
        <w:spacing w:line="600" w:lineRule="exact"/>
        <w:ind w:firstLine="640" w:firstLineChars="200"/>
        <w:outlineLvl w:val="0"/>
        <w:rPr>
          <w:rFonts w:hint="default" w:ascii="Times New Roman" w:hAnsi="Times New Roman" w:eastAsia="仿宋_GB2312" w:cs="Times New Roman"/>
          <w:b w:val="0"/>
          <w:bCs w:val="0"/>
          <w:kern w:val="28"/>
          <w:sz w:val="32"/>
          <w:szCs w:val="32"/>
          <w:lang w:val="en-US" w:eastAsia="zh-CN" w:bidi="ar-SA"/>
        </w:rPr>
      </w:pP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eastAsia" w:ascii="Times New Roman" w:hAnsi="Times New Roman" w:eastAsia="楷体_GB2312" w:cs="Times New Roman"/>
          <w:lang w:val="en-US" w:eastAsia="zh-CN"/>
        </w:rPr>
      </w:pP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二</w:t>
      </w:r>
      <w:r>
        <w:rPr>
          <w:rFonts w:hint="eastAsia" w:ascii="Times New Roman" w:hAnsi="Times New Roman" w:eastAsia="楷体_GB2312" w:cs="Times New Roman"/>
          <w:lang w:eastAsia="zh-CN"/>
        </w:rPr>
        <w:t>）</w:t>
      </w:r>
      <w:r>
        <w:rPr>
          <w:rFonts w:hint="eastAsia" w:ascii="Times New Roman" w:hAnsi="Times New Roman" w:eastAsia="楷体_GB2312" w:cs="Times New Roman"/>
          <w:lang w:val="en-US" w:eastAsia="zh-CN"/>
        </w:rPr>
        <w:t>评价结论</w:t>
      </w:r>
    </w:p>
    <w:p>
      <w:pPr>
        <w:pStyle w:val="2"/>
        <w:widowControl w:val="0"/>
        <w:spacing w:before="0" w:after="0" w:line="560" w:lineRule="exact"/>
        <w:ind w:firstLine="640" w:firstLineChars="200"/>
        <w:jc w:val="both"/>
        <w:outlineLvl w:val="9"/>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分，属于“优”。其中，项目决策类指标权重为20分，得分为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hint="eastAsia"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ascii="Times New Roman" w:hAnsi="Times New Roman" w:eastAsia="仿宋_GB2312"/>
          <w:sz w:val="30"/>
          <w:szCs w:val="30"/>
        </w:rPr>
      </w:pPr>
      <w:r>
        <w:rPr>
          <w:rFonts w:ascii="Times New Roman" w:hAnsi="Times New Roman" w:eastAsia="仿宋_GB2312"/>
          <w:sz w:val="30"/>
          <w:szCs w:val="30"/>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eastAsia"/>
                <w:color w:val="000000"/>
                <w:sz w:val="22"/>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lang w:val="en-US" w:eastAsia="zh-CN"/>
              </w:rPr>
              <w:t>20</w:t>
            </w:r>
          </w:p>
        </w:tc>
      </w:tr>
      <w:tr>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宋体"/>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b/>
                <w:bCs/>
                <w:color w:val="000000"/>
                <w:sz w:val="22"/>
              </w:rPr>
            </w:pPr>
            <w:r>
              <w:rPr>
                <w:rFonts w:hint="eastAsia"/>
                <w:b/>
                <w:bCs/>
                <w:color w:val="000000"/>
                <w:sz w:val="22"/>
                <w:lang w:val="en-US" w:eastAsia="zh-CN"/>
              </w:rPr>
              <w:t>100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hd w:val="clear"/>
        <w:spacing w:line="600" w:lineRule="exact"/>
        <w:ind w:firstLine="600" w:firstLineChars="200"/>
        <w:outlineLvl w:val="0"/>
        <w:rPr>
          <w:rFonts w:hint="eastAsia" w:ascii="仿宋_GB2312" w:hAnsi="仿宋_GB2312" w:eastAsia="仿宋_GB2312" w:cs="仿宋_GB2312"/>
          <w:sz w:val="30"/>
          <w:szCs w:val="30"/>
          <w:highlight w:val="none"/>
          <w:lang w:val="en-US" w:eastAsia="zh-CN"/>
        </w:rPr>
      </w:pPr>
      <w:r>
        <w:rPr>
          <w:rFonts w:hint="eastAsia" w:ascii="仿宋_GB2312" w:hAnsi="仿宋_GB2312" w:eastAsia="仿宋_GB2312" w:cs="仿宋_GB2312"/>
          <w:sz w:val="30"/>
          <w:szCs w:val="30"/>
          <w:highlight w:val="none"/>
          <w:lang w:val="en-US" w:eastAsia="zh-CN"/>
        </w:rPr>
        <w:t>项目决策类指标包括项目立项、绩效目标和资金投入三方面的内容，由6个三级指标构成，权重分值为20分，实际得分20分，得分率为100%。</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1.项目立项</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（1）立项依据充分性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（2）立项程序规范性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项目申请、设立过程符合相关要求，</w:t>
      </w:r>
      <w:r>
        <w:rPr>
          <w:rFonts w:hint="eastAsia" w:ascii="仿宋_GB2312" w:hAnsi="仿宋_GB2312" w:eastAsia="仿宋_GB2312" w:cs="仿宋_GB2312"/>
          <w:sz w:val="32"/>
          <w:szCs w:val="32"/>
          <w:lang w:eastAsia="zh-Hans"/>
        </w:rPr>
        <w:t>严格按照审批流程准备符合要求的文件、材料；</w:t>
      </w:r>
      <w:r>
        <w:rPr>
          <w:rFonts w:hint="eastAsia" w:ascii="仿宋_GB2312" w:hAnsi="仿宋_GB2312" w:eastAsia="仿宋_GB2312" w:cs="仿宋_GB2312"/>
          <w:sz w:val="32"/>
          <w:szCs w:val="32"/>
          <w:lang w:val="en-US" w:eastAsia="zh-CN"/>
        </w:rPr>
        <w:t>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2.绩效目标</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（1）绩效目标合理性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Hans"/>
        </w:rPr>
        <w:t>年初结合实际工作内容</w:t>
      </w:r>
      <w:r>
        <w:rPr>
          <w:rFonts w:hint="eastAsia" w:ascii="仿宋_GB2312" w:hAnsi="仿宋_GB2312" w:eastAsia="仿宋_GB2312" w:cs="仿宋_GB2312"/>
          <w:sz w:val="32"/>
          <w:szCs w:val="32"/>
          <w:lang w:val="en-US" w:eastAsia="zh-CN"/>
        </w:rPr>
        <w:t>设定绩效目标</w:t>
      </w:r>
      <w:r>
        <w:rPr>
          <w:rFonts w:hint="eastAsia" w:ascii="仿宋_GB2312" w:hAnsi="仿宋_GB2312" w:eastAsia="仿宋_GB2312" w:cs="仿宋_GB2312"/>
          <w:sz w:val="32"/>
          <w:szCs w:val="32"/>
          <w:lang w:val="en-US" w:eastAsia="zh-Hans"/>
        </w:rPr>
        <w:t>，绩效目标</w:t>
      </w:r>
      <w:r>
        <w:rPr>
          <w:rFonts w:hint="eastAsia" w:ascii="仿宋_GB2312" w:hAnsi="仿宋_GB2312" w:eastAsia="仿宋_GB2312" w:cs="仿宋_GB2312"/>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（2）绩效指标明确性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3.资金投入</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（1）预算编制科学性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预算编制经过科学论证，提供充分的测算依据佐证资料，预算内容与项目内容相匹配。项目投资额与工作任务相匹配。</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（2）资金分配合理性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资金分配额度与项目单位实际工作内容相适应，资金分配额度合理，资金分配依据充分。</w:t>
      </w:r>
    </w:p>
    <w:p>
      <w:pPr>
        <w:pStyle w:val="2"/>
        <w:numPr>
          <w:ilvl w:val="0"/>
          <w:numId w:val="4"/>
        </w:numPr>
        <w:spacing w:before="0" w:after="0" w:line="560" w:lineRule="exact"/>
        <w:ind w:firstLine="643" w:firstLineChars="200"/>
        <w:jc w:val="both"/>
        <w:rPr>
          <w:rFonts w:ascii="楷体" w:hAnsi="楷体" w:eastAsia="楷体" w:cs="楷体"/>
        </w:rPr>
      </w:pPr>
      <w:r>
        <w:rPr>
          <w:rFonts w:hint="eastAsia" w:ascii="楷体" w:hAnsi="楷体" w:eastAsia="楷体" w:cs="楷体"/>
        </w:rPr>
        <w:t>项目过程情况</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项目过程类指标包括资金管理和组织实施两方面的内容，由</w:t>
      </w:r>
      <w:r>
        <w:rPr>
          <w:rFonts w:hint="eastAsia" w:ascii="仿宋_GB2312" w:hAnsi="仿宋_GB2312" w:eastAsia="仿宋_GB2312" w:cs="仿宋_GB2312"/>
          <w:sz w:val="32"/>
          <w:szCs w:val="32"/>
          <w:highlight w:val="none"/>
          <w:lang w:val="en-US" w:eastAsia="zh-CN"/>
        </w:rPr>
        <w:t>5个三级指标构成，权重分值为20分，实际得分20分，得分率为100%。</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1.资金管理</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（1）资金到位率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本项目总投资149.710781万元，财政资金及时足额到位，到位率100%，预算资金按计划进度执行。</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（2）预算执行率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预算编制较为详细，项目资金支出总体能够按照预算执行，预算资金支出149.71万元，预算执行率为100%。</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（3）资金使用合规性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8"/>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2.组织实施</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（1）管理制度健全性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（2）制度执行有效性</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对资金使用的合法合规性进行监督，年末对资金使用效果进行评价。项目管理、实施人员落实到位，有效按照计划执行。项目执行情况等资料齐全，项目相关手续完备，及时进行归档。</w:t>
      </w:r>
    </w:p>
    <w:p>
      <w:pPr>
        <w:pStyle w:val="11"/>
        <w:numPr>
          <w:ilvl w:val="0"/>
          <w:numId w:val="4"/>
        </w:numPr>
        <w:spacing w:line="560" w:lineRule="exact"/>
        <w:ind w:firstLine="643"/>
        <w:rPr>
          <w:rFonts w:eastAsia="楷体_GB2312"/>
          <w:b/>
          <w:bCs/>
          <w:sz w:val="32"/>
          <w:szCs w:val="32"/>
        </w:rPr>
      </w:pPr>
      <w:r>
        <w:rPr>
          <w:rFonts w:eastAsia="楷体_GB2312"/>
          <w:b/>
          <w:bCs/>
          <w:sz w:val="32"/>
          <w:szCs w:val="32"/>
        </w:rPr>
        <w:t>项目产出</w:t>
      </w:r>
      <w:r>
        <w:rPr>
          <w:rFonts w:hint="eastAsia" w:eastAsia="楷体_GB2312"/>
          <w:b/>
          <w:bCs/>
          <w:sz w:val="32"/>
          <w:szCs w:val="32"/>
          <w:lang w:val="en-US" w:eastAsia="zh-CN"/>
        </w:rPr>
        <w:t>情况</w:t>
      </w:r>
    </w:p>
    <w:p>
      <w:pPr>
        <w:shd w:val="clear"/>
        <w:spacing w:line="600" w:lineRule="exact"/>
        <w:ind w:firstLine="640" w:firstLineChars="200"/>
        <w:outlineLvl w:val="0"/>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项目产出类指标包括产出数量、产出质量、产出时效、产出成本四方</w:t>
      </w:r>
      <w:r>
        <w:rPr>
          <w:rFonts w:hint="eastAsia" w:ascii="仿宋_GB2312" w:hAnsi="仿宋_GB2312" w:eastAsia="仿宋_GB2312" w:cs="仿宋_GB2312"/>
          <w:sz w:val="32"/>
          <w:szCs w:val="32"/>
          <w:highlight w:val="none"/>
          <w:lang w:val="en-US" w:eastAsia="zh-CN"/>
        </w:rPr>
        <w:t>面的内容，由5个三级指标构成，权重分为40分，实际得分40分，得分率为100%。具体</w:t>
      </w:r>
      <w:r>
        <w:rPr>
          <w:rFonts w:hint="eastAsia" w:ascii="仿宋_GB2312" w:hAnsi="仿宋_GB2312" w:eastAsia="仿宋_GB2312" w:cs="仿宋_GB2312"/>
          <w:sz w:val="32"/>
          <w:szCs w:val="32"/>
          <w:lang w:val="en-US" w:eastAsia="zh-CN"/>
        </w:rPr>
        <w:t>产出指标完成情况如下：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1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①</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数量指标：</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val="en-US" w:eastAsia="zh-CN"/>
        </w:rPr>
        <w:t>债务支付笔数</w:t>
      </w:r>
      <w:r>
        <w:rPr>
          <w:rFonts w:hint="eastAsia" w:ascii="仿宋_GB2312" w:hAnsi="仿宋_GB2312" w:eastAsia="仿宋_GB2312" w:cs="仿宋_GB2312"/>
          <w:sz w:val="32"/>
          <w:szCs w:val="32"/>
          <w:highlight w:val="none"/>
        </w:rPr>
        <w:t xml:space="preserve"> ，指标值：=</w:t>
      </w:r>
      <w:r>
        <w:rPr>
          <w:rFonts w:hint="eastAsia" w:ascii="仿宋_GB2312" w:hAnsi="仿宋_GB2312" w:eastAsia="仿宋_GB2312" w:cs="仿宋_GB2312"/>
          <w:sz w:val="32"/>
          <w:szCs w:val="32"/>
          <w:highlight w:val="none"/>
          <w:lang w:val="en-US" w:eastAsia="zh-CN"/>
        </w:rPr>
        <w:t>4笔</w:t>
      </w:r>
      <w:r>
        <w:rPr>
          <w:rFonts w:hint="eastAsia" w:ascii="仿宋_GB2312" w:hAnsi="仿宋_GB2312" w:eastAsia="仿宋_GB2312" w:cs="仿宋_GB2312"/>
          <w:sz w:val="32"/>
          <w:szCs w:val="32"/>
          <w:highlight w:val="none"/>
        </w:rPr>
        <w:t>，实际完成值：=</w:t>
      </w:r>
      <w:r>
        <w:rPr>
          <w:rFonts w:hint="eastAsia" w:ascii="仿宋_GB2312" w:hAnsi="仿宋_GB2312" w:eastAsia="仿宋_GB2312" w:cs="仿宋_GB2312"/>
          <w:sz w:val="32"/>
          <w:szCs w:val="32"/>
          <w:highlight w:val="none"/>
          <w:lang w:val="en-US" w:eastAsia="zh-CN"/>
        </w:rPr>
        <w:t>4笔</w:t>
      </w:r>
      <w:r>
        <w:rPr>
          <w:rFonts w:hint="eastAsia" w:ascii="仿宋_GB2312" w:hAnsi="仿宋_GB2312" w:eastAsia="仿宋_GB2312" w:cs="仿宋_GB2312"/>
          <w:sz w:val="32"/>
          <w:szCs w:val="32"/>
          <w:highlight w:val="none"/>
        </w:rPr>
        <w:t>，指标完成率</w:t>
      </w:r>
      <w:r>
        <w:rPr>
          <w:rFonts w:hint="eastAsia" w:ascii="仿宋_GB2312" w:hAnsi="仿宋_GB2312" w:eastAsia="仿宋_GB2312" w:cs="仿宋_GB2312"/>
          <w:sz w:val="32"/>
          <w:szCs w:val="32"/>
          <w:highlight w:val="none"/>
          <w:lang w:val="en-US" w:eastAsia="zh-CN"/>
        </w:rPr>
        <w:t>100%。</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2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②</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质量指标：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val="en-US" w:eastAsia="zh-CN"/>
        </w:rPr>
        <w:t>债务资金支付完成率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指标2：债务资金按时完成支付率，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3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③</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时效指标：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val="en-US" w:eastAsia="zh-CN"/>
        </w:rPr>
        <w:t>债务资金支付完成率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 4 \* GB3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rPr>
        <w:t>④</w:t>
      </w:r>
      <w:r>
        <w:rPr>
          <w:rFonts w:hint="eastAsia" w:ascii="仿宋_GB2312" w:hAnsi="仿宋_GB2312" w:eastAsia="仿宋_GB2312" w:cs="仿宋_GB2312"/>
          <w:sz w:val="32"/>
          <w:szCs w:val="32"/>
          <w:highlight w:val="none"/>
        </w:rPr>
        <w:fldChar w:fldCharType="end"/>
      </w:r>
      <w:r>
        <w:rPr>
          <w:rFonts w:hint="eastAsia" w:ascii="仿宋_GB2312" w:hAnsi="仿宋_GB2312" w:eastAsia="仿宋_GB2312" w:cs="仿宋_GB2312"/>
          <w:sz w:val="32"/>
          <w:szCs w:val="32"/>
          <w:highlight w:val="none"/>
        </w:rPr>
        <w:t>成本指标：</w:t>
      </w:r>
    </w:p>
    <w:p>
      <w:pPr>
        <w:shd w:val="clear"/>
        <w:spacing w:line="600" w:lineRule="exact"/>
        <w:ind w:firstLine="640" w:firstLineChars="200"/>
        <w:outlineLvl w:val="0"/>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val="en-US" w:eastAsia="zh-CN"/>
        </w:rPr>
        <w:t>债务资金支付率</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，实际完成值：=</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 xml:space="preserve">  ，指标完成率：=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w:t>
      </w:r>
    </w:p>
    <w:p>
      <w:pPr>
        <w:pStyle w:val="11"/>
        <w:numPr>
          <w:ilvl w:val="0"/>
          <w:numId w:val="4"/>
        </w:numPr>
        <w:spacing w:line="560" w:lineRule="exact"/>
        <w:ind w:firstLine="643"/>
        <w:rPr>
          <w:rFonts w:hint="eastAsia" w:ascii="Times New Roman" w:hAnsi="Times New Roman" w:eastAsia="楷体_GB2312" w:cs="Times New Roman"/>
          <w:b/>
          <w:bCs/>
          <w:sz w:val="32"/>
          <w:szCs w:val="32"/>
          <w:lang w:val="en-US" w:eastAsia="zh-CN"/>
        </w:rPr>
      </w:pPr>
      <w:r>
        <w:rPr>
          <w:rFonts w:hint="eastAsia"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项目效益类指标包括项目实施效益和满意度两方面的内容，由2个三级指标构成，权重分为2</w:t>
      </w:r>
      <w:r>
        <w:rPr>
          <w:rFonts w:hint="eastAsia" w:ascii="仿宋_GB2312" w:hAnsi="仿宋_GB2312" w:eastAsia="仿宋_GB2312" w:cs="仿宋_GB2312"/>
          <w:sz w:val="32"/>
          <w:szCs w:val="32"/>
          <w:highlight w:val="none"/>
          <w:lang w:val="en-US" w:eastAsia="zh-CN"/>
        </w:rPr>
        <w:t>0分，实际得分20分，得分率为100%。具体效益指标及满意度指标完</w:t>
      </w:r>
      <w:r>
        <w:rPr>
          <w:rFonts w:hint="eastAsia" w:ascii="仿宋_GB2312" w:hAnsi="仿宋_GB2312" w:eastAsia="仿宋_GB2312" w:cs="仿宋_GB2312"/>
          <w:sz w:val="32"/>
          <w:szCs w:val="32"/>
          <w:lang w:val="en-US" w:eastAsia="zh-CN"/>
        </w:rPr>
        <w:t>成情况如下：</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1.实施效益</w:t>
      </w:r>
    </w:p>
    <w:p>
      <w:pPr>
        <w:shd w:val="clear"/>
        <w:spacing w:line="600" w:lineRule="exact"/>
        <w:ind w:firstLine="640" w:firstLineChars="200"/>
        <w:outlineLvl w:val="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①</w:t>
      </w:r>
      <w:r>
        <w:rPr>
          <w:rFonts w:hint="eastAsia" w:ascii="仿宋_GB2312" w:hAnsi="仿宋_GB2312" w:eastAsia="仿宋_GB2312" w:cs="仿宋_GB2312"/>
          <w:sz w:val="32"/>
          <w:szCs w:val="32"/>
          <w:highlight w:val="none"/>
        </w:rPr>
        <w:t>社会效益指标</w:t>
      </w:r>
    </w:p>
    <w:p>
      <w:pPr>
        <w:shd w:val="clear"/>
        <w:spacing w:line="600" w:lineRule="exact"/>
        <w:ind w:firstLine="640" w:firstLineChars="200"/>
        <w:outlineLvl w:val="0"/>
        <w:rPr>
          <w:rFonts w:hint="eastAsia"/>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val="en-US" w:eastAsia="zh-CN"/>
        </w:rPr>
        <w:t>单位良好信用度</w:t>
      </w:r>
      <w:r>
        <w:rPr>
          <w:rFonts w:hint="eastAsia" w:ascii="仿宋_GB2312" w:hAnsi="仿宋_GB2312" w:eastAsia="仿宋_GB2312" w:cs="仿宋_GB2312"/>
          <w:sz w:val="32"/>
          <w:szCs w:val="32"/>
          <w:highlight w:val="none"/>
        </w:rPr>
        <w:t>，指标值：</w:t>
      </w:r>
      <w:r>
        <w:rPr>
          <w:rFonts w:hint="eastAsia" w:ascii="仿宋_GB2312" w:hAnsi="仿宋_GB2312" w:eastAsia="仿宋_GB2312" w:cs="仿宋_GB2312"/>
          <w:sz w:val="32"/>
          <w:szCs w:val="32"/>
          <w:highlight w:val="none"/>
          <w:lang w:val="en-US" w:eastAsia="zh-CN"/>
        </w:rPr>
        <w:t>有效保障</w:t>
      </w:r>
      <w:r>
        <w:rPr>
          <w:rFonts w:hint="eastAsia" w:ascii="仿宋_GB2312" w:hAnsi="仿宋_GB2312" w:eastAsia="仿宋_GB2312" w:cs="仿宋_GB2312"/>
          <w:sz w:val="32"/>
          <w:szCs w:val="32"/>
          <w:highlight w:val="none"/>
        </w:rPr>
        <w:t xml:space="preserve"> ，实际完成值：</w:t>
      </w:r>
      <w:r>
        <w:rPr>
          <w:rFonts w:hint="eastAsia" w:ascii="仿宋_GB2312" w:hAnsi="仿宋_GB2312" w:eastAsia="仿宋_GB2312" w:cs="仿宋_GB2312"/>
          <w:sz w:val="32"/>
          <w:szCs w:val="32"/>
          <w:highlight w:val="none"/>
          <w:lang w:val="en-US" w:eastAsia="zh-CN"/>
        </w:rPr>
        <w:t>有效保障</w:t>
      </w:r>
      <w:r>
        <w:rPr>
          <w:rFonts w:hint="eastAsia" w:ascii="仿宋_GB2312" w:hAnsi="仿宋_GB2312" w:eastAsia="仿宋_GB2312" w:cs="仿宋_GB2312"/>
          <w:sz w:val="32"/>
          <w:szCs w:val="32"/>
          <w:highlight w:val="none"/>
        </w:rPr>
        <w:t xml:space="preserve">  ，指标完成率：=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lang w:eastAsia="zh-CN"/>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2.满意度</w:t>
      </w:r>
    </w:p>
    <w:p>
      <w:pPr>
        <w:shd w:val="clear"/>
        <w:spacing w:line="600" w:lineRule="exact"/>
        <w:ind w:firstLine="640" w:firstLineChars="200"/>
        <w:outlineLvl w:val="0"/>
        <w:rPr>
          <w:rFonts w:hint="default" w:ascii="Times New Roman" w:hAnsi="Times New Roman" w:eastAsia="黑体" w:cs="Times New Roman"/>
          <w:sz w:val="32"/>
          <w:szCs w:val="32"/>
          <w:lang w:val="en-US" w:eastAsia="zh-Hans"/>
        </w:rPr>
      </w:pPr>
      <w:r>
        <w:rPr>
          <w:rFonts w:hint="eastAsia" w:ascii="仿宋_GB2312" w:hAnsi="仿宋_GB2312" w:eastAsia="仿宋_GB2312" w:cs="仿宋_GB2312"/>
          <w:sz w:val="32"/>
          <w:szCs w:val="32"/>
          <w:highlight w:val="none"/>
          <w:lang w:val="en-US" w:eastAsia="zh-CN"/>
        </w:rPr>
        <w:t>满意度指标：信访人满意度有</w:t>
      </w:r>
      <w:r>
        <w:rPr>
          <w:rFonts w:hint="eastAsia" w:ascii="仿宋_GB2312" w:hAnsi="仿宋_GB2312" w:eastAsia="仿宋_GB2312" w:cs="仿宋_GB2312"/>
          <w:sz w:val="32"/>
          <w:szCs w:val="32"/>
          <w:highlight w:val="none"/>
        </w:rPr>
        <w:t>，指标值：</w:t>
      </w:r>
      <w:r>
        <w:rPr>
          <w:rFonts w:hint="eastAsia" w:ascii="宋体" w:hAnsi="宋体" w:eastAsia="宋体" w:cs="宋体"/>
          <w:sz w:val="32"/>
          <w:szCs w:val="32"/>
          <w:highlight w:val="none"/>
        </w:rPr>
        <w:t>≧</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 xml:space="preserve"> ，实际完成值：</w:t>
      </w:r>
      <w:r>
        <w:rPr>
          <w:rFonts w:hint="eastAsia" w:ascii="宋体" w:hAnsi="宋体" w:cs="宋体"/>
          <w:sz w:val="32"/>
          <w:szCs w:val="32"/>
          <w:highlight w:val="none"/>
          <w:lang w:val="en-US" w:eastAsia="zh-CN"/>
        </w:rPr>
        <w:t>100</w:t>
      </w:r>
      <w:r>
        <w:rPr>
          <w:rFonts w:hint="eastAsia"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rPr>
        <w:t xml:space="preserve"> ，指标完成率：=</w:t>
      </w:r>
      <w:r>
        <w:rPr>
          <w:rFonts w:hint="eastAsia" w:ascii="仿宋_GB2312" w:hAnsi="仿宋_GB2312" w:eastAsia="仿宋_GB2312" w:cs="仿宋_GB2312"/>
          <w:sz w:val="32"/>
          <w:szCs w:val="32"/>
          <w:highlight w:val="none"/>
          <w:lang w:val="en-US" w:eastAsia="zh-CN"/>
        </w:rPr>
        <w:t>105.26%，偏差原因：对人员进行了测评，满意度超出预期值，故存在偏差，改进措施：下年度合理预测目标值。</w:t>
      </w:r>
    </w:p>
    <w:p>
      <w:pPr>
        <w:spacing w:line="560" w:lineRule="exact"/>
        <w:ind w:firstLine="640" w:firstLineChars="200"/>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shd w:val="clear"/>
        <w:spacing w:line="600" w:lineRule="exact"/>
        <w:ind w:firstLine="640" w:firstLineChars="200"/>
        <w:outlineLvl w:val="0"/>
        <w:rPr>
          <w:rFonts w:hint="default" w:ascii="Times New Roman" w:hAnsi="Times New Roman" w:eastAsia="仿宋_GB2312" w:cs="Times New Roman"/>
          <w:kern w:val="2"/>
          <w:sz w:val="32"/>
          <w:szCs w:val="32"/>
          <w:lang w:val="en-US" w:eastAsia="zh-CN" w:bidi="ar-SA"/>
        </w:rPr>
      </w:pPr>
      <w:r>
        <w:rPr>
          <w:rFonts w:hint="eastAsia" w:eastAsia="仿宋_GB2312" w:cs="Times New Roman"/>
          <w:kern w:val="2"/>
          <w:sz w:val="32"/>
          <w:szCs w:val="32"/>
          <w:lang w:val="en-US" w:eastAsia="zh-CN" w:bidi="ar-SA"/>
        </w:rPr>
        <w:t>2023年化解工程项目（信访）</w:t>
      </w:r>
      <w:r>
        <w:rPr>
          <w:rFonts w:hint="eastAsia" w:ascii="Times New Roman" w:hAnsi="Times New Roman" w:eastAsia="仿宋_GB2312" w:cs="Times New Roman"/>
          <w:kern w:val="2"/>
          <w:sz w:val="32"/>
          <w:szCs w:val="32"/>
          <w:lang w:val="en-US" w:eastAsia="zh-CN" w:bidi="ar-SA"/>
        </w:rPr>
        <w:t>年初预算</w:t>
      </w:r>
      <w:r>
        <w:rPr>
          <w:rFonts w:hint="eastAsia" w:eastAsia="仿宋_GB2312" w:cs="Times New Roman"/>
          <w:kern w:val="2"/>
          <w:sz w:val="32"/>
          <w:szCs w:val="32"/>
          <w:lang w:val="en-US" w:eastAsia="zh-CN" w:bidi="ar-SA"/>
        </w:rPr>
        <w:t>10</w:t>
      </w:r>
      <w:r>
        <w:rPr>
          <w:rFonts w:hint="eastAsia" w:ascii="Times New Roman" w:hAnsi="Times New Roman" w:eastAsia="仿宋_GB2312" w:cs="Times New Roman"/>
          <w:kern w:val="2"/>
          <w:sz w:val="32"/>
          <w:szCs w:val="32"/>
          <w:lang w:val="en-US" w:eastAsia="zh-CN" w:bidi="ar-SA"/>
        </w:rPr>
        <w:t>万元，全年预算</w:t>
      </w:r>
      <w:r>
        <w:rPr>
          <w:rFonts w:hint="eastAsia" w:eastAsia="仿宋_GB2312" w:cs="Times New Roman"/>
          <w:kern w:val="2"/>
          <w:sz w:val="32"/>
          <w:szCs w:val="32"/>
          <w:lang w:val="en-US" w:eastAsia="zh-CN" w:bidi="ar-SA"/>
        </w:rPr>
        <w:t>149.71</w:t>
      </w:r>
      <w:r>
        <w:rPr>
          <w:rFonts w:hint="eastAsia" w:ascii="Times New Roman" w:hAnsi="Times New Roman" w:eastAsia="仿宋_GB2312" w:cs="Times New Roman"/>
          <w:kern w:val="2"/>
          <w:sz w:val="32"/>
          <w:szCs w:val="32"/>
          <w:lang w:val="en-US" w:eastAsia="zh-CN" w:bidi="ar-SA"/>
        </w:rPr>
        <w:t>万元，实际支出</w:t>
      </w:r>
      <w:r>
        <w:rPr>
          <w:rFonts w:hint="eastAsia" w:eastAsia="仿宋_GB2312" w:cs="Times New Roman"/>
          <w:kern w:val="2"/>
          <w:sz w:val="32"/>
          <w:szCs w:val="32"/>
          <w:lang w:val="en-US" w:eastAsia="zh-CN" w:bidi="ar-SA"/>
        </w:rPr>
        <w:t>149.71</w:t>
      </w:r>
      <w:r>
        <w:rPr>
          <w:rFonts w:hint="eastAsia" w:ascii="Times New Roman" w:hAnsi="Times New Roman" w:eastAsia="仿宋_GB2312" w:cs="Times New Roman"/>
          <w:kern w:val="2"/>
          <w:sz w:val="32"/>
          <w:szCs w:val="32"/>
          <w:lang w:val="en-US" w:eastAsia="zh-CN" w:bidi="ar-SA"/>
        </w:rPr>
        <w:t>万元，预算执行率为</w:t>
      </w:r>
      <w:r>
        <w:rPr>
          <w:rFonts w:hint="eastAsia" w:eastAsia="仿宋_GB2312" w:cs="Times New Roman"/>
          <w:kern w:val="2"/>
          <w:sz w:val="32"/>
          <w:szCs w:val="32"/>
          <w:lang w:val="en-US" w:eastAsia="zh-CN" w:bidi="ar-SA"/>
        </w:rPr>
        <w:t>100</w:t>
      </w:r>
      <w:r>
        <w:rPr>
          <w:rFonts w:hint="eastAsia" w:ascii="Times New Roman" w:hAnsi="Times New Roman" w:eastAsia="仿宋_GB2312" w:cs="Times New Roman"/>
          <w:kern w:val="2"/>
          <w:sz w:val="32"/>
          <w:szCs w:val="32"/>
          <w:lang w:val="en-US" w:eastAsia="zh-CN" w:bidi="ar-SA"/>
        </w:rPr>
        <w:t>%，项目绩效指标总体完成率为</w:t>
      </w:r>
      <w:r>
        <w:rPr>
          <w:rFonts w:hint="eastAsia" w:eastAsia="仿宋_GB2312" w:cs="Times New Roman"/>
          <w:kern w:val="2"/>
          <w:sz w:val="32"/>
          <w:szCs w:val="32"/>
          <w:lang w:val="en-US" w:eastAsia="zh-CN" w:bidi="ar-SA"/>
        </w:rPr>
        <w:t>100.75</w:t>
      </w:r>
      <w:r>
        <w:rPr>
          <w:rFonts w:hint="eastAsia" w:ascii="Times New Roman" w:hAnsi="Times New Roman" w:eastAsia="仿宋_GB2312" w:cs="Times New Roman"/>
          <w:kern w:val="2"/>
          <w:sz w:val="32"/>
          <w:szCs w:val="32"/>
          <w:lang w:val="en-US" w:eastAsia="zh-CN" w:bidi="ar-SA"/>
        </w:rPr>
        <w:t>%</w:t>
      </w:r>
      <w:r>
        <w:rPr>
          <w:rFonts w:hint="eastAsia" w:eastAsia="仿宋_GB2312" w:cs="Times New Roman"/>
          <w:kern w:val="2"/>
          <w:sz w:val="32"/>
          <w:szCs w:val="32"/>
          <w:lang w:val="en-US" w:eastAsia="zh-CN" w:bidi="ar-SA"/>
        </w:rPr>
        <w:t>,</w:t>
      </w:r>
      <w:r>
        <w:rPr>
          <w:rFonts w:hint="eastAsia" w:ascii="仿宋_GB2312" w:hAnsi="仿宋_GB2312" w:eastAsia="仿宋_GB2312" w:cs="仿宋_GB2312"/>
          <w:sz w:val="32"/>
          <w:szCs w:val="32"/>
          <w:highlight w:val="none"/>
          <w:lang w:val="en-US" w:eastAsia="zh-CN"/>
        </w:rPr>
        <w:t>偏差原因：对人员进行了测评，满意度超出预期值，故存在偏差，改进措施：下年度合理预测目标值。</w:t>
      </w:r>
    </w:p>
    <w:p>
      <w:pPr>
        <w:spacing w:line="560" w:lineRule="exact"/>
        <w:ind w:firstLine="640" w:firstLineChars="200"/>
        <w:rPr>
          <w:rStyle w:val="17"/>
          <w:rFonts w:ascii="Times New Roman" w:hAnsi="Times New Roman" w:cs="Times New Roman"/>
          <w:color w:val="auto"/>
        </w:rPr>
      </w:pPr>
      <w:r>
        <w:rPr>
          <w:rFonts w:hint="eastAsia" w:eastAsia="黑体"/>
          <w:sz w:val="32"/>
          <w:szCs w:val="32"/>
          <w:lang w:eastAsia="zh-Hans"/>
        </w:rPr>
        <w:t>六</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2.因轮岗、调动、等因素使我单位绩效工作人员流动频繁，造成了工作衔接不到位的情况。</w:t>
      </w:r>
    </w:p>
    <w:p>
      <w:pPr>
        <w:shd w:val="clear"/>
        <w:spacing w:line="600" w:lineRule="exact"/>
        <w:ind w:firstLine="640" w:firstLineChars="200"/>
        <w:outlineLvl w:val="0"/>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3.项目绩效考核依据需要更加充分，量化指标需要更加明细，需要充分反映本项目开展的过程及成效。建立一套与预算管理相结合，多渠道应用评价结果的有机机制，以达到资金使用效益。</w:t>
      </w:r>
    </w:p>
    <w:p>
      <w:pPr>
        <w:spacing w:line="560" w:lineRule="exact"/>
        <w:ind w:firstLine="640" w:firstLineChars="200"/>
        <w:rPr>
          <w:rFonts w:eastAsia="黑体"/>
          <w:sz w:val="32"/>
          <w:szCs w:val="32"/>
        </w:rPr>
      </w:pPr>
      <w:r>
        <w:rPr>
          <w:rFonts w:hint="eastAsia" w:eastAsia="黑体"/>
          <w:sz w:val="32"/>
          <w:szCs w:val="32"/>
          <w:lang w:eastAsia="zh-Hans"/>
        </w:rPr>
        <w:t>七、</w:t>
      </w:r>
      <w:r>
        <w:rPr>
          <w:rFonts w:eastAsia="黑体"/>
          <w:sz w:val="32"/>
          <w:szCs w:val="32"/>
        </w:rPr>
        <w:t>有关建议</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sz w:val="22"/>
          <w:szCs w:val="28"/>
        </w:rPr>
      </w:pPr>
      <w:r>
        <w:rPr>
          <w:rFonts w:hint="eastAsia" w:ascii="仿宋_GB2312" w:hAnsi="仿宋_GB2312" w:eastAsia="仿宋_GB2312" w:cs="仿宋_GB2312"/>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eastAsia" w:ascii="仿宋_GB2312" w:hAnsi="仿宋_GB2312" w:eastAsia="仿宋_GB2312" w:cs="仿宋_GB2312"/>
          <w:sz w:val="36"/>
          <w:szCs w:val="32"/>
        </w:rPr>
        <w:t>。</w:t>
      </w:r>
    </w:p>
    <w:p>
      <w:pPr>
        <w:shd w:val="clear"/>
        <w:spacing w:line="600" w:lineRule="exact"/>
        <w:ind w:firstLine="640" w:firstLineChars="200"/>
        <w:outlineLvl w:val="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lang w:eastAsia="zh-Hans"/>
        </w:rPr>
        <w:t>八、</w:t>
      </w:r>
      <w:r>
        <w:rPr>
          <w:rFonts w:eastAsia="黑体"/>
          <w:sz w:val="32"/>
          <w:szCs w:val="32"/>
        </w:rPr>
        <w:t>其他需要说</w:t>
      </w:r>
      <w:bookmarkStart w:id="6" w:name="page8"/>
      <w:bookmarkEnd w:id="6"/>
      <w:r>
        <w:rPr>
          <w:rFonts w:eastAsia="黑体"/>
          <w:sz w:val="32"/>
          <w:szCs w:val="32"/>
        </w:rPr>
        <w:t>明的问题</w:t>
      </w:r>
    </w:p>
    <w:p>
      <w:pPr>
        <w:pStyle w:val="12"/>
        <w:spacing w:after="0" w:line="560" w:lineRule="exact"/>
        <w:ind w:left="0" w:leftChars="0" w:firstLine="640"/>
        <w:rPr>
          <w:rFonts w:ascii="仿宋_GB2312" w:hAnsi="仿宋_GB2312" w:eastAsia="仿宋_GB2312" w:cs="仿宋_GB2312"/>
          <w:sz w:val="32"/>
          <w:szCs w:val="32"/>
        </w:rPr>
      </w:pPr>
      <w:r>
        <w:rPr>
          <w:rFonts w:hint="eastAsia" w:ascii="仿宋_GB2312" w:hAnsi="仿宋_GB2312" w:eastAsia="仿宋_GB2312" w:cs="仿宋_GB2312"/>
          <w:sz w:val="32"/>
          <w:szCs w:val="32"/>
          <w:lang w:eastAsia="zh-Hans"/>
        </w:rPr>
        <w:t>本项目无其他需说明的问题。</w:t>
      </w:r>
    </w:p>
    <w:p>
      <w:pPr>
        <w:pStyle w:val="12"/>
        <w:spacing w:after="0" w:line="560" w:lineRule="exact"/>
        <w:ind w:left="0" w:leftChars="0" w:firstLine="640"/>
        <w:rPr>
          <w:rFonts w:ascii="仿宋_GB2312" w:hAnsi="仿宋_GB2312" w:eastAsia="仿宋_GB2312" w:cs="仿宋_GB2312"/>
          <w:sz w:val="32"/>
          <w:szCs w:val="32"/>
        </w:rPr>
      </w:pPr>
    </w:p>
    <w:p>
      <w:pPr>
        <w:pStyle w:val="12"/>
        <w:spacing w:after="0" w:line="560" w:lineRule="exact"/>
        <w:ind w:left="0" w:leftChars="0" w:firstLine="640"/>
        <w:rPr>
          <w:rFonts w:ascii="仿宋_GB2312" w:hAnsi="仿宋_GB2312" w:eastAsia="仿宋_GB2312" w:cs="仿宋_GB2312"/>
          <w:sz w:val="32"/>
          <w:szCs w:val="32"/>
        </w:rPr>
      </w:pPr>
    </w:p>
    <w:p>
      <w:pPr>
        <w:widowControl/>
        <w:jc w:val="center"/>
        <w:textAlignment w:val="center"/>
        <w:rPr>
          <w:rFonts w:eastAsia="方正小标宋简体"/>
          <w:b/>
          <w:kern w:val="0"/>
          <w:sz w:val="32"/>
          <w:szCs w:val="32"/>
          <w:lang w:bidi="ar"/>
        </w:rPr>
        <w:sectPr>
          <w:pgSz w:w="11906" w:h="16838"/>
          <w:pgMar w:top="1440" w:right="1558" w:bottom="1440" w:left="1800" w:header="851" w:footer="992" w:gutter="0"/>
          <w:cols w:space="425" w:num="1"/>
          <w:docGrid w:type="lines" w:linePitch="312" w:charSpace="0"/>
        </w:sectPr>
      </w:pPr>
    </w:p>
    <w:tbl>
      <w:tblPr>
        <w:tblW w:w="1372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080"/>
        <w:gridCol w:w="1080"/>
        <w:gridCol w:w="1080"/>
        <w:gridCol w:w="1080"/>
        <w:gridCol w:w="1005"/>
        <w:gridCol w:w="630"/>
        <w:gridCol w:w="1500"/>
        <w:gridCol w:w="1335"/>
        <w:gridCol w:w="870"/>
        <w:gridCol w:w="780"/>
        <w:gridCol w:w="885"/>
        <w:gridCol w:w="615"/>
        <w:gridCol w:w="70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5" w:hRule="atLeast"/>
        </w:trPr>
        <w:tc>
          <w:tcPr>
            <w:tcW w:w="13725" w:type="dxa"/>
            <w:gridSpan w:val="14"/>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13725" w:type="dxa"/>
            <w:gridSpan w:val="14"/>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(2023年度)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2023年化解工程项目（信访）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奇台县西地镇人民政府</w:t>
            </w:r>
          </w:p>
        </w:tc>
        <w:tc>
          <w:tcPr>
            <w:tcW w:w="220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奇台县西地镇人民政府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10.00</w:t>
            </w:r>
          </w:p>
        </w:tc>
        <w:tc>
          <w:tcPr>
            <w:tcW w:w="213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149.71</w:t>
            </w:r>
          </w:p>
        </w:tc>
        <w:tc>
          <w:tcPr>
            <w:tcW w:w="220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149.71</w:t>
            </w:r>
          </w:p>
        </w:tc>
        <w:tc>
          <w:tcPr>
            <w:tcW w:w="166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100.00%</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213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149.71</w:t>
            </w:r>
          </w:p>
        </w:tc>
        <w:tc>
          <w:tcPr>
            <w:tcW w:w="220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149.71</w:t>
            </w:r>
          </w:p>
        </w:tc>
        <w:tc>
          <w:tcPr>
            <w:tcW w:w="166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13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20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40"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w:t>
            </w:r>
          </w:p>
        </w:tc>
        <w:tc>
          <w:tcPr>
            <w:tcW w:w="213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0</w:t>
            </w:r>
          </w:p>
        </w:tc>
        <w:tc>
          <w:tcPr>
            <w:tcW w:w="220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54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6375" w:type="dxa"/>
            <w:gridSpan w:val="6"/>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2023年计划完成4笔共计149.710781万化债支付（西地镇集贸市场信访化债项目款22.598492万元；西地镇韩沟村为民服务中心化债10万元，西地镇农村综合服务大厅117.112289万元。）债务资金支付完成率100%，债务还款准确率100%有效保障单位良好信用度。</w:t>
            </w:r>
          </w:p>
        </w:tc>
        <w:tc>
          <w:tcPr>
            <w:tcW w:w="6270" w:type="dxa"/>
            <w:gridSpan w:val="7"/>
            <w:tcBorders>
              <w:top w:val="single" w:color="000000" w:sz="4" w:space="0"/>
              <w:left w:val="single" w:color="000000" w:sz="4" w:space="0"/>
              <w:bottom w:val="single" w:color="000000" w:sz="4" w:space="0"/>
              <w:right w:val="single" w:color="000000" w:sz="4" w:space="0"/>
            </w:tcBorders>
            <w:shd w:val="clear"/>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2023年完成4笔共计149.710781万化债支付（西地镇集贸市场信访化债项目款22.598492万元；西地镇韩沟村为民服务中心化债10万元，西地镇农村综合服务大厅117.112289万元。）债务资金支付完成率100%，债务还款准确率100%，有效保障了单位良好信用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得分</w:t>
            </w:r>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0" w:type="auto"/>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债务支付笔数</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=4笔</w:t>
            </w:r>
          </w:p>
        </w:tc>
        <w:tc>
          <w:tcPr>
            <w:tcW w:w="13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=4笔</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债务资金支付完成率</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0" w:type="auto"/>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债务还款准确率</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0" w:type="auto"/>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债务资金按时完成支付率</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债务资金支付率</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w:t>
            </w:r>
          </w:p>
        </w:tc>
        <w:tc>
          <w:tcPr>
            <w:tcW w:w="178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生态环境成本指标</w:t>
            </w:r>
          </w:p>
        </w:tc>
        <w:tc>
          <w:tcPr>
            <w:tcW w:w="0" w:type="auto"/>
            <w:gridSpan w:val="3"/>
            <w:tcBorders>
              <w:top w:val="single" w:color="000000" w:sz="4" w:space="0"/>
              <w:left w:val="single" w:color="000000" w:sz="4" w:space="0"/>
              <w:bottom w:val="single" w:color="000000" w:sz="4" w:space="0"/>
              <w:right w:val="single" w:color="000000" w:sz="4" w:space="0"/>
            </w:tcBorders>
            <w:shd w:val="clear"/>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单位良好信用度</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有效保障</w:t>
            </w:r>
          </w:p>
        </w:tc>
        <w:tc>
          <w:tcPr>
            <w:tcW w:w="13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有效保障</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w:t>
            </w:r>
          </w:p>
        </w:tc>
        <w:tc>
          <w:tcPr>
            <w:tcW w:w="150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w:t>
            </w:r>
          </w:p>
        </w:tc>
        <w:tc>
          <w:tcPr>
            <w:tcW w:w="178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0" w:type="auto"/>
            <w:gridSpan w:val="3"/>
            <w:tcBorders>
              <w:top w:val="single" w:color="000000" w:sz="4" w:space="0"/>
              <w:left w:val="single" w:color="000000" w:sz="4" w:space="0"/>
              <w:bottom w:val="single" w:color="000000" w:sz="4" w:space="0"/>
              <w:right w:val="single" w:color="000000" w:sz="4" w:space="0"/>
            </w:tcBorders>
            <w:shd w:val="clear"/>
            <w:noWrap/>
            <w:vAlign w:val="center"/>
          </w:tcPr>
          <w:p>
            <w:pPr>
              <w:jc w:val="left"/>
              <w:rPr>
                <w:rFonts w:hint="eastAsia" w:ascii="宋体" w:hAnsi="宋体" w:eastAsia="宋体" w:cs="宋体"/>
                <w:i w:val="0"/>
                <w:iCs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40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0" w:type="auto"/>
            <w:gridSpan w:val="3"/>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信访人满意度</w:t>
            </w:r>
          </w:p>
        </w:tc>
        <w:tc>
          <w:tcPr>
            <w:tcW w:w="15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&gt;=95%</w:t>
            </w:r>
          </w:p>
        </w:tc>
        <w:tc>
          <w:tcPr>
            <w:tcW w:w="1335"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对人员进行了测评满意度超出预期值，故存在偏差，改进措施：下年度合理预测目标值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100.00分</w:t>
            </w:r>
          </w:p>
        </w:tc>
        <w:tc>
          <w:tcPr>
            <w:tcW w:w="1785" w:type="dxa"/>
            <w:gridSpan w:val="2"/>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20"/>
                <w:szCs w:val="20"/>
                <w:u w:val="none"/>
              </w:rPr>
            </w:pPr>
          </w:p>
        </w:tc>
      </w:tr>
    </w:tbl>
    <w:p>
      <w:pPr>
        <w:pStyle w:val="2"/>
        <w:jc w:val="both"/>
        <w:rPr>
          <w:rFonts w:ascii="Times New Roman" w:hAnsi="Times New Roman" w:eastAsia="黑体"/>
          <w:b w:val="0"/>
          <w:bCs w:val="0"/>
        </w:rPr>
      </w:pPr>
    </w:p>
    <w:p>
      <w:pPr>
        <w:spacing w:line="600" w:lineRule="exact"/>
        <w:rPr>
          <w:rFonts w:hint="eastAsia" w:ascii="黑体" w:hAnsi="黑体" w:eastAsia="黑体" w:cs="黑体"/>
          <w:bCs/>
          <w:sz w:val="32"/>
          <w:szCs w:val="32"/>
        </w:rPr>
      </w:pPr>
    </w:p>
    <w:p>
      <w:pPr>
        <w:spacing w:line="600" w:lineRule="exact"/>
        <w:rPr>
          <w:rFonts w:hint="eastAsia" w:ascii="黑体" w:hAnsi="黑体" w:eastAsia="黑体" w:cs="黑体"/>
          <w:bCs/>
          <w:sz w:val="32"/>
          <w:szCs w:val="32"/>
        </w:rPr>
      </w:pPr>
    </w:p>
    <w:p>
      <w:pPr>
        <w:spacing w:line="600" w:lineRule="exact"/>
        <w:rPr>
          <w:rFonts w:hint="eastAsia" w:ascii="黑体" w:hAnsi="黑体" w:eastAsia="黑体" w:cs="黑体"/>
          <w:bCs/>
          <w:sz w:val="32"/>
          <w:szCs w:val="32"/>
        </w:rPr>
      </w:pPr>
      <w:bookmarkStart w:id="9" w:name="_GoBack"/>
      <w:bookmarkEnd w:id="9"/>
    </w:p>
    <w:p>
      <w:pPr>
        <w:spacing w:line="600" w:lineRule="exact"/>
        <w:rPr>
          <w:rFonts w:hint="eastAsia" w:ascii="黑体" w:hAnsi="黑体" w:eastAsia="黑体" w:cs="黑体"/>
          <w:bCs/>
          <w:sz w:val="32"/>
          <w:szCs w:val="32"/>
        </w:rPr>
      </w:pPr>
    </w:p>
    <w:p>
      <w:pPr>
        <w:spacing w:line="600" w:lineRule="exact"/>
        <w:rPr>
          <w:rFonts w:hint="eastAsia" w:ascii="黑体" w:hAnsi="黑体" w:eastAsia="黑体" w:cs="黑体"/>
        </w:rPr>
      </w:pPr>
      <w:r>
        <w:rPr>
          <w:rFonts w:hint="eastAsia" w:ascii="黑体" w:hAnsi="黑体" w:eastAsia="黑体" w:cs="黑体"/>
          <w:bCs/>
          <w:sz w:val="32"/>
          <w:szCs w:val="32"/>
        </w:rPr>
        <w:t>附件1</w:t>
      </w:r>
    </w:p>
    <w:p>
      <w:pPr>
        <w:pStyle w:val="18"/>
        <w:ind w:firstLine="562"/>
        <w:jc w:val="center"/>
        <w:rPr>
          <w:sz w:val="28"/>
          <w:szCs w:val="40"/>
          <w:highlight w:val="none"/>
        </w:rPr>
      </w:pPr>
      <w:bookmarkStart w:id="7" w:name="_Toc26499_WPSOffice_Level2"/>
      <w:bookmarkStart w:id="8" w:name="_Toc30064_WPSOffice_Level1"/>
      <w:r>
        <w:rPr>
          <w:rFonts w:hint="eastAsia"/>
          <w:b/>
          <w:bCs/>
          <w:sz w:val="28"/>
          <w:szCs w:val="40"/>
          <w:highlight w:val="none"/>
          <w:lang w:val="en-US" w:eastAsia="zh-CN"/>
        </w:rPr>
        <w:t>2023年化解工程项目（信访）</w:t>
      </w:r>
      <w:r>
        <w:rPr>
          <w:rFonts w:hint="eastAsia"/>
          <w:b/>
          <w:bCs/>
          <w:sz w:val="28"/>
          <w:szCs w:val="40"/>
          <w:highlight w:val="none"/>
        </w:rPr>
        <w:t>绩效评价指标体系及综合评分表</w:t>
      </w:r>
      <w:bookmarkEnd w:id="7"/>
      <w:bookmarkEnd w:id="8"/>
    </w:p>
    <w:tbl>
      <w:tblPr>
        <w:tblStyle w:val="13"/>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32"/>
        <w:gridCol w:w="764"/>
        <w:gridCol w:w="873"/>
        <w:gridCol w:w="2353"/>
        <w:gridCol w:w="5198"/>
        <w:gridCol w:w="1300"/>
        <w:gridCol w:w="136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32"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一级指标</w:t>
            </w:r>
          </w:p>
        </w:tc>
        <w:tc>
          <w:tcPr>
            <w:tcW w:w="764"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二级指标</w:t>
            </w:r>
          </w:p>
        </w:tc>
        <w:tc>
          <w:tcPr>
            <w:tcW w:w="87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三级指标</w:t>
            </w:r>
          </w:p>
        </w:tc>
        <w:tc>
          <w:tcPr>
            <w:tcW w:w="235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指标解释</w:t>
            </w:r>
          </w:p>
        </w:tc>
        <w:tc>
          <w:tcPr>
            <w:tcW w:w="5198"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指标说明</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权重</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p>
          <w:p>
            <w:pPr>
              <w:widowControl/>
              <w:spacing w:line="0" w:lineRule="atLeast"/>
              <w:jc w:val="center"/>
              <w:rPr>
                <w:color w:val="000000"/>
                <w:kern w:val="0"/>
                <w:sz w:val="22"/>
                <w:szCs w:val="22"/>
              </w:rPr>
            </w:pPr>
            <w:r>
              <w:rPr>
                <w:color w:val="000000"/>
                <w:kern w:val="0"/>
                <w:sz w:val="22"/>
                <w:szCs w:val="22"/>
              </w:rPr>
              <w:t>决策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项目立项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立项依据</w:t>
            </w:r>
          </w:p>
          <w:p>
            <w:pPr>
              <w:widowControl/>
              <w:spacing w:line="0" w:lineRule="atLeast"/>
              <w:jc w:val="center"/>
              <w:rPr>
                <w:color w:val="000000"/>
                <w:kern w:val="0"/>
                <w:sz w:val="22"/>
                <w:szCs w:val="22"/>
              </w:rPr>
            </w:pPr>
            <w:r>
              <w:rPr>
                <w:color w:val="000000"/>
                <w:kern w:val="0"/>
                <w:sz w:val="22"/>
                <w:szCs w:val="22"/>
              </w:rPr>
              <w:t>充分性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项目立项是否符合法律法规、相关政策、发展规划以及部门职责，用以反映和考核项目立项依据情况。</w:t>
            </w:r>
          </w:p>
        </w:tc>
        <w:tc>
          <w:tcPr>
            <w:tcW w:w="519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①项目立项是否符合国家法律法规、国民经济发展规划和相关政策；</w:t>
            </w:r>
            <w:r>
              <w:rPr>
                <w:color w:val="000000"/>
                <w:kern w:val="0"/>
                <w:sz w:val="22"/>
                <w:szCs w:val="22"/>
              </w:rPr>
              <w:br w:type="textWrapping"/>
            </w:r>
            <w:r>
              <w:rPr>
                <w:color w:val="000000"/>
                <w:kern w:val="0"/>
                <w:sz w:val="22"/>
                <w:szCs w:val="22"/>
              </w:rPr>
              <w:t>②项目立项是否符合行业发展规划和政策要求；</w:t>
            </w:r>
            <w:r>
              <w:rPr>
                <w:color w:val="000000"/>
                <w:kern w:val="0"/>
                <w:sz w:val="22"/>
                <w:szCs w:val="22"/>
              </w:rPr>
              <w:br w:type="textWrapping"/>
            </w:r>
            <w:r>
              <w:rPr>
                <w:color w:val="000000"/>
                <w:kern w:val="0"/>
                <w:sz w:val="22"/>
                <w:szCs w:val="22"/>
              </w:rPr>
              <w:t>③项目立项是否与部门职责范围相符，属于部门履职所需；</w:t>
            </w:r>
            <w:r>
              <w:rPr>
                <w:color w:val="000000"/>
                <w:kern w:val="0"/>
                <w:sz w:val="22"/>
                <w:szCs w:val="22"/>
              </w:rPr>
              <w:br w:type="textWrapping"/>
            </w:r>
            <w:r>
              <w:rPr>
                <w:color w:val="000000"/>
                <w:kern w:val="0"/>
                <w:sz w:val="22"/>
                <w:szCs w:val="22"/>
              </w:rPr>
              <w:t>④项目是否属于公共财政支持范围，是否符合中央、地方事权支出责任划分原则；</w:t>
            </w:r>
            <w:r>
              <w:rPr>
                <w:color w:val="000000"/>
                <w:kern w:val="0"/>
                <w:sz w:val="22"/>
                <w:szCs w:val="22"/>
              </w:rPr>
              <w:br w:type="textWrapping"/>
            </w:r>
            <w:r>
              <w:rPr>
                <w:color w:val="000000"/>
                <w:kern w:val="0"/>
                <w:sz w:val="22"/>
                <w:szCs w:val="22"/>
              </w:rPr>
              <w:t>⑤项目是否与相关部门同类项目或部门内部相关项目重复。</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立项程序</w:t>
            </w:r>
          </w:p>
          <w:p>
            <w:pPr>
              <w:widowControl/>
              <w:spacing w:line="0" w:lineRule="atLeast"/>
              <w:jc w:val="center"/>
              <w:rPr>
                <w:color w:val="000000"/>
                <w:kern w:val="0"/>
                <w:sz w:val="22"/>
                <w:szCs w:val="22"/>
              </w:rPr>
            </w:pPr>
            <w:r>
              <w:rPr>
                <w:color w:val="000000"/>
                <w:kern w:val="0"/>
                <w:sz w:val="22"/>
                <w:szCs w:val="22"/>
              </w:rPr>
              <w:t>规范性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项目申请、设立过程是否符合相关要求，用以反映和考核项目立项的规范情况。</w:t>
            </w:r>
          </w:p>
        </w:tc>
        <w:tc>
          <w:tcPr>
            <w:tcW w:w="5198" w:type="dxa"/>
            <w:shd w:val="clear" w:color="auto"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①项目是否按照规定的程序申请设立；</w:t>
            </w:r>
            <w:r>
              <w:rPr>
                <w:color w:val="000000"/>
                <w:kern w:val="0"/>
                <w:sz w:val="22"/>
                <w:szCs w:val="22"/>
              </w:rPr>
              <w:br w:type="textWrapping"/>
            </w:r>
            <w:r>
              <w:rPr>
                <w:color w:val="000000"/>
                <w:kern w:val="0"/>
                <w:sz w:val="22"/>
                <w:szCs w:val="22"/>
              </w:rPr>
              <w:t>②审批文件、材料是否符合相关要求；</w:t>
            </w:r>
            <w:r>
              <w:rPr>
                <w:color w:val="000000"/>
                <w:kern w:val="0"/>
                <w:sz w:val="22"/>
                <w:szCs w:val="22"/>
              </w:rPr>
              <w:br w:type="textWrapping"/>
            </w:r>
            <w:r>
              <w:rPr>
                <w:color w:val="000000"/>
                <w:kern w:val="0"/>
                <w:sz w:val="22"/>
                <w:szCs w:val="22"/>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绩效目标</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pPr>
              <w:widowControl/>
              <w:spacing w:line="0" w:lineRule="atLeast"/>
              <w:jc w:val="lef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（如未设定预算绩效目标，也可考核其他工作任务目标）</w:t>
            </w:r>
            <w:r>
              <w:rPr>
                <w:color w:val="000000"/>
                <w:kern w:val="0"/>
                <w:sz w:val="22"/>
                <w:szCs w:val="22"/>
              </w:rPr>
              <w:br w:type="textWrapping"/>
            </w:r>
            <w:r>
              <w:rPr>
                <w:color w:val="000000"/>
                <w:kern w:val="0"/>
                <w:sz w:val="22"/>
                <w:szCs w:val="22"/>
              </w:rPr>
              <w:t>①项目是否有绩效目标；</w:t>
            </w:r>
            <w:r>
              <w:rPr>
                <w:color w:val="000000"/>
                <w:kern w:val="0"/>
                <w:sz w:val="22"/>
                <w:szCs w:val="22"/>
              </w:rPr>
              <w:br w:type="textWrapping"/>
            </w:r>
            <w:r>
              <w:rPr>
                <w:color w:val="000000"/>
                <w:kern w:val="0"/>
                <w:sz w:val="22"/>
                <w:szCs w:val="22"/>
              </w:rPr>
              <w:t>②项目绩效目标与实际工作内容是否具有相关性；</w:t>
            </w:r>
            <w:r>
              <w:rPr>
                <w:color w:val="000000"/>
                <w:kern w:val="0"/>
                <w:sz w:val="22"/>
                <w:szCs w:val="22"/>
              </w:rPr>
              <w:br w:type="textWrapping"/>
            </w:r>
            <w:r>
              <w:rPr>
                <w:color w:val="000000"/>
                <w:kern w:val="0"/>
                <w:sz w:val="22"/>
                <w:szCs w:val="22"/>
              </w:rPr>
              <w:t>③项目预期产出效益和效果是否符合正常的业绩水平；</w:t>
            </w:r>
          </w:p>
          <w:p>
            <w:pPr>
              <w:widowControl/>
              <w:spacing w:line="0" w:lineRule="atLeast"/>
              <w:jc w:val="left"/>
              <w:rPr>
                <w:color w:val="000000"/>
                <w:kern w:val="0"/>
                <w:sz w:val="22"/>
                <w:szCs w:val="22"/>
              </w:rPr>
            </w:pPr>
            <w:r>
              <w:rPr>
                <w:color w:val="000000"/>
                <w:kern w:val="0"/>
                <w:sz w:val="22"/>
                <w:szCs w:val="22"/>
              </w:rPr>
              <w:t>④是否与预算确定的项目投资额或资金量相匹配。</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绩效指标</w:t>
            </w:r>
          </w:p>
          <w:p>
            <w:pPr>
              <w:widowControl/>
              <w:spacing w:line="0" w:lineRule="atLeast"/>
              <w:jc w:val="center"/>
              <w:rPr>
                <w:color w:val="000000"/>
                <w:kern w:val="0"/>
                <w:sz w:val="22"/>
                <w:szCs w:val="22"/>
              </w:rPr>
            </w:pPr>
            <w:r>
              <w:rPr>
                <w:color w:val="000000"/>
                <w:kern w:val="0"/>
                <w:sz w:val="22"/>
                <w:szCs w:val="22"/>
              </w:rPr>
              <w:t>明确性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①是否将项目绩效目标细化分解为具体的绩效指标；</w:t>
            </w:r>
            <w:r>
              <w:rPr>
                <w:color w:val="000000"/>
                <w:kern w:val="0"/>
                <w:sz w:val="22"/>
                <w:szCs w:val="22"/>
              </w:rPr>
              <w:br w:type="textWrapping"/>
            </w:r>
            <w:r>
              <w:rPr>
                <w:color w:val="000000"/>
                <w:kern w:val="0"/>
                <w:sz w:val="22"/>
                <w:szCs w:val="22"/>
              </w:rPr>
              <w:t>②是否通过清晰、可衡量的指标值予以体现；</w:t>
            </w:r>
            <w:r>
              <w:rPr>
                <w:color w:val="000000"/>
                <w:kern w:val="0"/>
                <w:sz w:val="22"/>
                <w:szCs w:val="22"/>
              </w:rPr>
              <w:br w:type="textWrapping"/>
            </w:r>
            <w:r>
              <w:rPr>
                <w:color w:val="000000"/>
                <w:kern w:val="0"/>
                <w:sz w:val="22"/>
                <w:szCs w:val="22"/>
              </w:rPr>
              <w:t>③是否与项目目标任务数或计划数相对应。</w:t>
            </w:r>
            <w:r>
              <w:rPr>
                <w:color w:val="000000"/>
                <w:kern w:val="0"/>
                <w:sz w:val="22"/>
                <w:szCs w:val="22"/>
              </w:rPr>
              <w:br w:type="textWrapping"/>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资金投入</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预算编制</w:t>
            </w:r>
          </w:p>
          <w:p>
            <w:pPr>
              <w:widowControl/>
              <w:spacing w:line="0" w:lineRule="atLeast"/>
              <w:jc w:val="center"/>
              <w:rPr>
                <w:color w:val="000000"/>
                <w:kern w:val="0"/>
                <w:sz w:val="22"/>
                <w:szCs w:val="22"/>
              </w:rPr>
            </w:pPr>
            <w:r>
              <w:rPr>
                <w:color w:val="000000"/>
                <w:kern w:val="0"/>
                <w:sz w:val="22"/>
                <w:szCs w:val="22"/>
              </w:rPr>
              <w:t>科学性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①预算编制是否经过科学论证；</w:t>
            </w:r>
            <w:r>
              <w:rPr>
                <w:color w:val="000000"/>
                <w:kern w:val="0"/>
                <w:sz w:val="22"/>
                <w:szCs w:val="22"/>
              </w:rPr>
              <w:br w:type="textWrapping"/>
            </w:r>
            <w:r>
              <w:rPr>
                <w:color w:val="000000"/>
                <w:kern w:val="0"/>
                <w:sz w:val="22"/>
                <w:szCs w:val="22"/>
              </w:rPr>
              <w:t>②预算内容与项目内容是否匹配；</w:t>
            </w:r>
            <w:r>
              <w:rPr>
                <w:color w:val="000000"/>
                <w:kern w:val="0"/>
                <w:sz w:val="22"/>
                <w:szCs w:val="22"/>
              </w:rPr>
              <w:br w:type="textWrapping"/>
            </w:r>
            <w:r>
              <w:rPr>
                <w:color w:val="000000"/>
                <w:kern w:val="0"/>
                <w:sz w:val="22"/>
                <w:szCs w:val="22"/>
              </w:rPr>
              <w:t>③预算额度测算依据是否充分，是否按照标准编制；</w:t>
            </w:r>
            <w:r>
              <w:rPr>
                <w:color w:val="000000"/>
                <w:kern w:val="0"/>
                <w:sz w:val="22"/>
                <w:szCs w:val="22"/>
              </w:rPr>
              <w:br w:type="textWrapping"/>
            </w:r>
            <w:r>
              <w:rPr>
                <w:color w:val="000000"/>
                <w:kern w:val="0"/>
                <w:sz w:val="22"/>
                <w:szCs w:val="22"/>
              </w:rPr>
              <w:t>④预算确定的项目投资额或资金量是否与工作任务相匹配。</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资金分配</w:t>
            </w:r>
          </w:p>
          <w:p>
            <w:pPr>
              <w:widowControl/>
              <w:spacing w:line="0" w:lineRule="atLeast"/>
              <w:jc w:val="center"/>
              <w:rPr>
                <w:color w:val="000000"/>
                <w:kern w:val="0"/>
                <w:sz w:val="22"/>
                <w:szCs w:val="22"/>
              </w:rPr>
            </w:pPr>
            <w:r>
              <w:rPr>
                <w:color w:val="000000"/>
                <w:kern w:val="0"/>
                <w:sz w:val="22"/>
                <w:szCs w:val="22"/>
              </w:rPr>
              <w:t>合理性</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①预算资金分配依据是否充分；</w:t>
            </w:r>
            <w:r>
              <w:rPr>
                <w:color w:val="000000"/>
                <w:kern w:val="0"/>
                <w:sz w:val="22"/>
                <w:szCs w:val="22"/>
              </w:rPr>
              <w:br w:type="textWrapping"/>
            </w:r>
            <w:r>
              <w:rPr>
                <w:color w:val="000000"/>
                <w:kern w:val="0"/>
                <w:sz w:val="22"/>
                <w:szCs w:val="22"/>
              </w:rPr>
              <w:t>②资金分配额度是否合理，与项目单位或地方实际是否相适应。</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32" w:type="dxa"/>
            <w:vMerge w:val="restart"/>
            <w:shd w:val="clear" w:color="auto" w:fill="FFFFFF"/>
            <w:vAlign w:val="center"/>
          </w:tcPr>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p>
          <w:p>
            <w:pPr>
              <w:spacing w:line="0" w:lineRule="atLeast"/>
              <w:jc w:val="center"/>
              <w:rPr>
                <w:color w:val="000000"/>
                <w:kern w:val="0"/>
                <w:sz w:val="22"/>
                <w:szCs w:val="22"/>
              </w:rPr>
            </w:pPr>
            <w:r>
              <w:rPr>
                <w:color w:val="000000"/>
                <w:kern w:val="0"/>
                <w:sz w:val="22"/>
                <w:szCs w:val="22"/>
              </w:rPr>
              <w:t>过程</w:t>
            </w:r>
          </w:p>
          <w:p>
            <w:pPr>
              <w:widowControl/>
              <w:spacing w:line="0" w:lineRule="atLeast"/>
              <w:jc w:val="center"/>
              <w:rPr>
                <w:color w:val="000000"/>
                <w:kern w:val="0"/>
                <w:sz w:val="22"/>
                <w:szCs w:val="22"/>
              </w:rPr>
            </w:pPr>
            <w:r>
              <w:rPr>
                <w:color w:val="000000"/>
                <w:kern w:val="0"/>
                <w:sz w:val="22"/>
                <w:szCs w:val="22"/>
              </w:rPr>
              <w:t>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资金到位率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实际到位资金与预算资金的比率，用以反映和考核资金落实情况对项目实施的总体保障程度。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资金到位率=（实际到位资金/预算资金）×100%。</w:t>
            </w:r>
          </w:p>
          <w:p>
            <w:pPr>
              <w:widowControl/>
              <w:spacing w:line="0" w:lineRule="atLeast"/>
              <w:rPr>
                <w:color w:val="000000"/>
                <w:kern w:val="0"/>
                <w:sz w:val="22"/>
                <w:szCs w:val="22"/>
              </w:rPr>
            </w:pPr>
            <w:r>
              <w:rPr>
                <w:color w:val="000000"/>
                <w:kern w:val="0"/>
                <w:sz w:val="22"/>
                <w:szCs w:val="22"/>
              </w:rPr>
              <w:t>实际到位资金：一定时期（本年度或项目期）内落实到具体项目的资金。</w:t>
            </w:r>
          </w:p>
          <w:p>
            <w:pPr>
              <w:widowControl/>
              <w:spacing w:line="0" w:lineRule="atLeast"/>
              <w:rPr>
                <w:color w:val="000000"/>
                <w:kern w:val="0"/>
                <w:sz w:val="22"/>
                <w:szCs w:val="22"/>
              </w:rPr>
            </w:pPr>
            <w:r>
              <w:rPr>
                <w:color w:val="000000"/>
                <w:kern w:val="0"/>
                <w:sz w:val="22"/>
                <w:szCs w:val="22"/>
              </w:rPr>
              <w:t>预算资金：一定时期（本年度或项目期）内预算安排到具体项目的资金。</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continue"/>
            <w:shd w:val="clear" w:color="auto" w:fill="FFFFFF"/>
            <w:vAlign w:val="center"/>
          </w:tcPr>
          <w:p>
            <w:pPr>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预算执行率</w:t>
            </w:r>
          </w:p>
        </w:tc>
        <w:tc>
          <w:tcPr>
            <w:tcW w:w="2353" w:type="dxa"/>
            <w:shd w:val="clear" w:color="auto" w:fill="FFFFFF"/>
            <w:vAlign w:val="center"/>
          </w:tcPr>
          <w:p>
            <w:pPr>
              <w:widowControl/>
              <w:spacing w:line="0" w:lineRule="atLeast"/>
              <w:rPr>
                <w:color w:val="000000"/>
                <w:kern w:val="0"/>
                <w:sz w:val="22"/>
                <w:szCs w:val="22"/>
              </w:rPr>
            </w:pPr>
            <w:r>
              <w:rPr>
                <w:color w:val="000000"/>
                <w:kern w:val="0"/>
                <w:sz w:val="22"/>
                <w:szCs w:val="22"/>
              </w:rPr>
              <w:t>项目预算资金是否按照计划执行，用以反映或考核项目预算执行情况。</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预算执行率=（实际支出资金/实际到位资金）×100%。</w:t>
            </w:r>
            <w:r>
              <w:rPr>
                <w:color w:val="000000"/>
                <w:kern w:val="0"/>
                <w:sz w:val="22"/>
                <w:szCs w:val="22"/>
              </w:rPr>
              <w:br w:type="textWrapping"/>
            </w:r>
            <w:r>
              <w:rPr>
                <w:color w:val="000000"/>
                <w:kern w:val="0"/>
                <w:sz w:val="22"/>
                <w:szCs w:val="22"/>
              </w:rPr>
              <w:t>实际支出资金：一定时期（本年度或项目期）内项目实际拨付的资金。</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资金管理</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资金使用</w:t>
            </w:r>
          </w:p>
          <w:p>
            <w:pPr>
              <w:widowControl/>
              <w:spacing w:line="0" w:lineRule="atLeast"/>
              <w:jc w:val="center"/>
              <w:rPr>
                <w:color w:val="000000"/>
                <w:kern w:val="0"/>
                <w:sz w:val="22"/>
                <w:szCs w:val="22"/>
              </w:rPr>
            </w:pPr>
            <w:r>
              <w:rPr>
                <w:color w:val="000000"/>
                <w:kern w:val="0"/>
                <w:sz w:val="22"/>
                <w:szCs w:val="22"/>
              </w:rPr>
              <w:t>合规性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项目资金使用是否符合相关的财务管理制度规定，用以反映和考核项目资金的规范运行情况。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①是否符合国家财经法规和财务管理制度以及有关专项资金管理办法的规定；</w:t>
            </w:r>
            <w:r>
              <w:rPr>
                <w:color w:val="000000"/>
                <w:kern w:val="0"/>
                <w:sz w:val="22"/>
                <w:szCs w:val="22"/>
              </w:rPr>
              <w:br w:type="textWrapping"/>
            </w:r>
            <w:r>
              <w:rPr>
                <w:color w:val="000000"/>
                <w:kern w:val="0"/>
                <w:sz w:val="22"/>
                <w:szCs w:val="22"/>
              </w:rPr>
              <w:t>②资金的拨付是否有完整的审批程序和手续；</w:t>
            </w:r>
            <w:r>
              <w:rPr>
                <w:color w:val="000000"/>
                <w:kern w:val="0"/>
                <w:sz w:val="22"/>
                <w:szCs w:val="22"/>
              </w:rPr>
              <w:br w:type="textWrapping"/>
            </w:r>
            <w:r>
              <w:rPr>
                <w:color w:val="000000"/>
                <w:kern w:val="0"/>
                <w:sz w:val="22"/>
                <w:szCs w:val="22"/>
              </w:rPr>
              <w:t>③是否符合项目预算批复或合同规定的用途；</w:t>
            </w:r>
            <w:r>
              <w:rPr>
                <w:color w:val="000000"/>
                <w:kern w:val="0"/>
                <w:sz w:val="22"/>
                <w:szCs w:val="22"/>
              </w:rPr>
              <w:br w:type="textWrapping"/>
            </w:r>
            <w:r>
              <w:rPr>
                <w:color w:val="000000"/>
                <w:kern w:val="0"/>
                <w:sz w:val="22"/>
                <w:szCs w:val="22"/>
              </w:rPr>
              <w:t>④是否存在截留、挤占、挪用、虚列支出等情况。</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组织实施</w:t>
            </w:r>
          </w:p>
          <w:p>
            <w:pPr>
              <w:spacing w:line="0" w:lineRule="atLeast"/>
              <w:jc w:val="center"/>
              <w:rPr>
                <w:color w:val="000000"/>
                <w:kern w:val="0"/>
                <w:sz w:val="22"/>
                <w:szCs w:val="22"/>
              </w:rPr>
            </w:pPr>
            <w:r>
              <w:rPr>
                <w:color w:val="000000"/>
                <w:kern w:val="0"/>
                <w:sz w:val="22"/>
                <w:szCs w:val="22"/>
              </w:rPr>
              <w:t>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管理制度</w:t>
            </w:r>
          </w:p>
          <w:p>
            <w:pPr>
              <w:widowControl/>
              <w:spacing w:line="0" w:lineRule="atLeast"/>
              <w:jc w:val="center"/>
              <w:rPr>
                <w:color w:val="000000"/>
                <w:kern w:val="0"/>
                <w:sz w:val="22"/>
                <w:szCs w:val="22"/>
              </w:rPr>
            </w:pPr>
            <w:r>
              <w:rPr>
                <w:color w:val="000000"/>
                <w:kern w:val="0"/>
                <w:sz w:val="22"/>
                <w:szCs w:val="22"/>
              </w:rPr>
              <w:t>健全性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①是否已制定或具有相应的财务和业务管理制度；</w:t>
            </w:r>
            <w:r>
              <w:rPr>
                <w:color w:val="000000"/>
                <w:kern w:val="0"/>
                <w:sz w:val="22"/>
                <w:szCs w:val="22"/>
              </w:rPr>
              <w:br w:type="textWrapping"/>
            </w:r>
            <w:r>
              <w:rPr>
                <w:color w:val="000000"/>
                <w:kern w:val="0"/>
                <w:sz w:val="22"/>
                <w:szCs w:val="22"/>
              </w:rPr>
              <w:t>②财务和业务管理制度是否合法、合规、完整。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制度执行</w:t>
            </w:r>
          </w:p>
          <w:p>
            <w:pPr>
              <w:widowControl/>
              <w:spacing w:line="0" w:lineRule="atLeast"/>
              <w:jc w:val="center"/>
              <w:rPr>
                <w:color w:val="000000"/>
                <w:kern w:val="0"/>
                <w:sz w:val="22"/>
                <w:szCs w:val="22"/>
              </w:rPr>
            </w:pPr>
            <w:r>
              <w:rPr>
                <w:color w:val="000000"/>
                <w:kern w:val="0"/>
                <w:sz w:val="22"/>
                <w:szCs w:val="22"/>
              </w:rPr>
              <w:t>有效性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项目实施是否符合相关管理规定，用以反映和考核相关管理制度的有效执行情况。</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评价要点：</w:t>
            </w:r>
            <w:r>
              <w:rPr>
                <w:color w:val="000000"/>
                <w:kern w:val="0"/>
                <w:sz w:val="22"/>
                <w:szCs w:val="22"/>
              </w:rPr>
              <w:br w:type="textWrapping"/>
            </w:r>
            <w:r>
              <w:rPr>
                <w:color w:val="000000"/>
                <w:kern w:val="0"/>
                <w:sz w:val="22"/>
                <w:szCs w:val="22"/>
              </w:rPr>
              <w:t>①是否遵守相关法律法规和相关管理规定；</w:t>
            </w:r>
            <w:r>
              <w:rPr>
                <w:color w:val="000000"/>
                <w:kern w:val="0"/>
                <w:sz w:val="22"/>
                <w:szCs w:val="22"/>
              </w:rPr>
              <w:br w:type="textWrapping"/>
            </w:r>
            <w:r>
              <w:rPr>
                <w:color w:val="000000"/>
                <w:kern w:val="0"/>
                <w:sz w:val="22"/>
                <w:szCs w:val="22"/>
              </w:rPr>
              <w:t>②项目调整及支出调整手续是否完备；</w:t>
            </w:r>
            <w:r>
              <w:rPr>
                <w:color w:val="000000"/>
                <w:kern w:val="0"/>
                <w:sz w:val="22"/>
                <w:szCs w:val="22"/>
              </w:rPr>
              <w:br w:type="textWrapping"/>
            </w:r>
            <w:r>
              <w:rPr>
                <w:color w:val="000000"/>
                <w:kern w:val="0"/>
                <w:sz w:val="22"/>
                <w:szCs w:val="22"/>
              </w:rPr>
              <w:t>③项目合同书、验收报告、技术鉴定等资料是否齐全并及时归档；</w:t>
            </w:r>
            <w:r>
              <w:rPr>
                <w:color w:val="000000"/>
                <w:kern w:val="0"/>
                <w:sz w:val="22"/>
                <w:szCs w:val="22"/>
              </w:rPr>
              <w:br w:type="textWrapping"/>
            </w:r>
            <w:r>
              <w:rPr>
                <w:color w:val="000000"/>
                <w:kern w:val="0"/>
                <w:sz w:val="22"/>
                <w:szCs w:val="22"/>
              </w:rPr>
              <w:t>④项目实施的人员条件、场地设备、信息支撑等是否落实到位。</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产出</w:t>
            </w: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产出数量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实际完成率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项目实施的实际产出数与计划产出数的比率，用以反映和考核项目产出数量目标的实现程度。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实际完成率=（实际产出数/计划产出数）×100%。</w:t>
            </w:r>
            <w:r>
              <w:rPr>
                <w:color w:val="000000"/>
                <w:kern w:val="0"/>
                <w:sz w:val="22"/>
                <w:szCs w:val="22"/>
              </w:rPr>
              <w:br w:type="textWrapping"/>
            </w:r>
            <w:r>
              <w:rPr>
                <w:color w:val="000000"/>
                <w:kern w:val="0"/>
                <w:sz w:val="22"/>
                <w:szCs w:val="22"/>
              </w:rPr>
              <w:t>实际产出数：一定时期（本年度或项目期）内项目实际产出的产品或提供的服务数量。</w:t>
            </w:r>
            <w:r>
              <w:rPr>
                <w:color w:val="000000"/>
                <w:kern w:val="0"/>
                <w:sz w:val="22"/>
                <w:szCs w:val="22"/>
              </w:rPr>
              <w:br w:type="textWrapping"/>
            </w:r>
            <w:r>
              <w:rPr>
                <w:color w:val="000000"/>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产出质量</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质量达标率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质量达标率=（质量达标产出数/实际产出数）×100%。</w:t>
            </w:r>
          </w:p>
          <w:p>
            <w:pPr>
              <w:widowControl/>
              <w:spacing w:line="0" w:lineRule="atLeast"/>
              <w:rPr>
                <w:color w:val="000000"/>
                <w:kern w:val="0"/>
                <w:sz w:val="22"/>
                <w:szCs w:val="22"/>
              </w:rPr>
            </w:pPr>
            <w:r>
              <w:rPr>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32" w:type="dxa"/>
            <w:vMerge w:val="continue"/>
            <w:shd w:val="clear" w:color="auto" w:fill="FFFFFF"/>
            <w:vAlign w:val="center"/>
          </w:tcPr>
          <w:p>
            <w:pPr>
              <w:spacing w:line="0" w:lineRule="atLeast"/>
              <w:jc w:val="center"/>
              <w:rPr>
                <w:color w:val="000000"/>
                <w:kern w:val="0"/>
                <w:sz w:val="22"/>
                <w:szCs w:val="22"/>
              </w:rPr>
            </w:pPr>
          </w:p>
        </w:tc>
        <w:tc>
          <w:tcPr>
            <w:tcW w:w="764" w:type="dxa"/>
            <w:shd w:val="clear" w:color="auto" w:fill="FFFFFF"/>
            <w:vAlign w:val="center"/>
          </w:tcPr>
          <w:p>
            <w:pPr>
              <w:spacing w:line="0" w:lineRule="atLeast"/>
              <w:jc w:val="center"/>
              <w:rPr>
                <w:color w:val="000000"/>
                <w:kern w:val="0"/>
                <w:sz w:val="22"/>
                <w:szCs w:val="22"/>
              </w:rPr>
            </w:pPr>
            <w:r>
              <w:rPr>
                <w:color w:val="000000"/>
                <w:kern w:val="0"/>
                <w:sz w:val="22"/>
                <w:szCs w:val="22"/>
              </w:rPr>
              <w:t>产出时效</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完成及时性</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项目实际完成时间与计划完成时间的比较，用以反映和考核项目产出时效目标的实现程度。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实际完成时间：项目实施单位完成该项目实际所耗用的时间。</w:t>
            </w:r>
            <w:r>
              <w:rPr>
                <w:color w:val="000000"/>
                <w:kern w:val="0"/>
                <w:sz w:val="22"/>
                <w:szCs w:val="22"/>
              </w:rPr>
              <w:br w:type="textWrapping"/>
            </w:r>
            <w:r>
              <w:rPr>
                <w:color w:val="000000"/>
                <w:kern w:val="0"/>
                <w:sz w:val="22"/>
                <w:szCs w:val="22"/>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产出成本</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成本节约率</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br w:type="textWrapping"/>
            </w:r>
            <w:r>
              <w:rPr>
                <w:color w:val="000000"/>
                <w:kern w:val="0"/>
                <w:sz w:val="22"/>
                <w:szCs w:val="22"/>
              </w:rPr>
              <w:t>成本节约率=[（计划成本-实际成本）/计划成本]×100%。</w:t>
            </w:r>
            <w:r>
              <w:rPr>
                <w:color w:val="000000"/>
                <w:kern w:val="0"/>
                <w:sz w:val="22"/>
                <w:szCs w:val="22"/>
              </w:rPr>
              <w:br w:type="textWrapping"/>
            </w:r>
            <w:r>
              <w:rPr>
                <w:color w:val="000000"/>
                <w:kern w:val="0"/>
                <w:sz w:val="22"/>
                <w:szCs w:val="22"/>
              </w:rPr>
              <w:t>实际成本：项目实施单位如期、保质、保量完成既定工作目标实际所耗费的支出。</w:t>
            </w:r>
            <w:r>
              <w:rPr>
                <w:color w:val="000000"/>
                <w:kern w:val="0"/>
                <w:sz w:val="22"/>
                <w:szCs w:val="22"/>
              </w:rPr>
              <w:br w:type="textWrapping"/>
            </w:r>
            <w:r>
              <w:rPr>
                <w:color w:val="000000"/>
                <w:kern w:val="0"/>
                <w:sz w:val="22"/>
                <w:szCs w:val="22"/>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32"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效益　</w:t>
            </w:r>
          </w:p>
        </w:tc>
        <w:tc>
          <w:tcPr>
            <w:tcW w:w="764" w:type="dxa"/>
            <w:vMerge w:val="restart"/>
            <w:shd w:val="clear" w:color="auto" w:fill="FFFFFF"/>
            <w:vAlign w:val="center"/>
          </w:tcPr>
          <w:p>
            <w:pPr>
              <w:widowControl/>
              <w:spacing w:line="0" w:lineRule="atLeast"/>
              <w:jc w:val="center"/>
              <w:rPr>
                <w:color w:val="000000"/>
                <w:kern w:val="0"/>
                <w:sz w:val="22"/>
                <w:szCs w:val="22"/>
              </w:rPr>
            </w:pPr>
            <w:r>
              <w:rPr>
                <w:color w:val="000000"/>
                <w:kern w:val="0"/>
                <w:sz w:val="22"/>
                <w:szCs w:val="22"/>
              </w:rPr>
              <w:t>项目效益　</w:t>
            </w: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实施效益</w:t>
            </w:r>
          </w:p>
        </w:tc>
        <w:tc>
          <w:tcPr>
            <w:tcW w:w="2353" w:type="dxa"/>
            <w:shd w:val="clear" w:color="auto" w:fill="FFFFFF"/>
            <w:vAlign w:val="center"/>
          </w:tcPr>
          <w:p>
            <w:pPr>
              <w:widowControl/>
              <w:spacing w:line="0" w:lineRule="atLeast"/>
              <w:jc w:val="left"/>
              <w:rPr>
                <w:color w:val="000000"/>
                <w:kern w:val="0"/>
                <w:sz w:val="22"/>
                <w:szCs w:val="22"/>
              </w:rPr>
            </w:pPr>
            <w:r>
              <w:rPr>
                <w:color w:val="000000"/>
                <w:kern w:val="0"/>
                <w:sz w:val="22"/>
                <w:szCs w:val="22"/>
              </w:rPr>
              <w:t>项目实施所产生的效益。</w:t>
            </w:r>
          </w:p>
        </w:tc>
        <w:tc>
          <w:tcPr>
            <w:tcW w:w="5198" w:type="dxa"/>
            <w:shd w:val="clear" w:color="auto" w:fill="FFFFFF"/>
            <w:vAlign w:val="center"/>
          </w:tcPr>
          <w:p>
            <w:pPr>
              <w:widowControl/>
              <w:spacing w:line="0" w:lineRule="atLeast"/>
              <w:rPr>
                <w:color w:val="000000"/>
                <w:kern w:val="0"/>
                <w:sz w:val="22"/>
                <w:szCs w:val="22"/>
              </w:rPr>
            </w:pPr>
            <w:r>
              <w:rPr>
                <w:color w:val="000000"/>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auto"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32" w:type="dxa"/>
            <w:vMerge w:val="continue"/>
            <w:shd w:val="clear" w:color="auto" w:fill="FFFFFF"/>
            <w:vAlign w:val="center"/>
          </w:tcPr>
          <w:p>
            <w:pPr>
              <w:widowControl/>
              <w:spacing w:line="0" w:lineRule="atLeast"/>
              <w:jc w:val="center"/>
              <w:rPr>
                <w:color w:val="000000"/>
                <w:kern w:val="0"/>
                <w:sz w:val="22"/>
                <w:szCs w:val="22"/>
              </w:rPr>
            </w:pPr>
          </w:p>
        </w:tc>
        <w:tc>
          <w:tcPr>
            <w:tcW w:w="764" w:type="dxa"/>
            <w:vMerge w:val="continue"/>
            <w:shd w:val="clear" w:color="auto" w:fill="FFFFFF"/>
            <w:vAlign w:val="center"/>
          </w:tcPr>
          <w:p>
            <w:pPr>
              <w:widowControl/>
              <w:spacing w:line="0" w:lineRule="atLeast"/>
              <w:jc w:val="center"/>
              <w:rPr>
                <w:color w:val="000000"/>
                <w:kern w:val="0"/>
                <w:sz w:val="22"/>
                <w:szCs w:val="22"/>
              </w:rPr>
            </w:pPr>
          </w:p>
        </w:tc>
        <w:tc>
          <w:tcPr>
            <w:tcW w:w="873" w:type="dxa"/>
            <w:shd w:val="clear" w:color="auto" w:fill="FFFFFF"/>
            <w:vAlign w:val="center"/>
          </w:tcPr>
          <w:p>
            <w:pPr>
              <w:widowControl/>
              <w:spacing w:line="0" w:lineRule="atLeast"/>
              <w:jc w:val="center"/>
              <w:rPr>
                <w:color w:val="000000"/>
                <w:kern w:val="0"/>
                <w:sz w:val="22"/>
                <w:szCs w:val="22"/>
              </w:rPr>
            </w:pPr>
            <w:r>
              <w:rPr>
                <w:color w:val="000000"/>
                <w:kern w:val="0"/>
                <w:sz w:val="22"/>
                <w:szCs w:val="22"/>
              </w:rPr>
              <w:t>满意度</w:t>
            </w:r>
          </w:p>
        </w:tc>
        <w:tc>
          <w:tcPr>
            <w:tcW w:w="2353"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社会公众或服务对象对项目实施效果的满意程度。</w:t>
            </w:r>
          </w:p>
        </w:tc>
        <w:tc>
          <w:tcPr>
            <w:tcW w:w="5198" w:type="dxa"/>
            <w:shd w:val="clear" w:color="000000" w:fill="FFFFFF"/>
            <w:vAlign w:val="center"/>
          </w:tcPr>
          <w:p>
            <w:pPr>
              <w:widowControl/>
              <w:spacing w:line="0" w:lineRule="atLeast"/>
              <w:rPr>
                <w:color w:val="000000"/>
                <w:kern w:val="0"/>
                <w:sz w:val="22"/>
                <w:szCs w:val="22"/>
              </w:rPr>
            </w:pPr>
            <w:r>
              <w:rPr>
                <w:color w:val="000000"/>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c>
          <w:tcPr>
            <w:tcW w:w="1363" w:type="dxa"/>
            <w:shd w:val="clear" w:color="000000" w:fill="FFFFFF"/>
            <w:vAlign w:val="center"/>
          </w:tcPr>
          <w:p>
            <w:pPr>
              <w:widowControl/>
              <w:spacing w:line="0" w:lineRule="atLeast"/>
              <w:jc w:val="center"/>
              <w:rPr>
                <w:b/>
                <w:bCs/>
                <w:color w:val="000000"/>
                <w:kern w:val="0"/>
                <w:sz w:val="22"/>
                <w:szCs w:val="22"/>
              </w:rPr>
            </w:pPr>
            <w:r>
              <w:rPr>
                <w:b/>
                <w:bCs/>
                <w:color w:val="000000"/>
                <w:kern w:val="0"/>
                <w:sz w:val="22"/>
                <w:szCs w:val="22"/>
              </w:rPr>
              <w:t>10</w:t>
            </w: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Calibri Light">
    <w:panose1 w:val="020F03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A00002BF" w:usb1="38CF7CFA" w:usb2="00082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ZjE3NmFjMDI4MGYzZjRhODNkNjIwOGRjYzVhMWMifQ=="/>
  </w:docVars>
  <w:rsids>
    <w:rsidRoot w:val="FF6C4049"/>
    <w:rsid w:val="006F7242"/>
    <w:rsid w:val="007B168A"/>
    <w:rsid w:val="008B2CFE"/>
    <w:rsid w:val="00F26FF6"/>
    <w:rsid w:val="07397B77"/>
    <w:rsid w:val="13471461"/>
    <w:rsid w:val="13B90F01"/>
    <w:rsid w:val="181066D2"/>
    <w:rsid w:val="1C671E73"/>
    <w:rsid w:val="2A06253E"/>
    <w:rsid w:val="2FB56378"/>
    <w:rsid w:val="38CA40DD"/>
    <w:rsid w:val="395F2B56"/>
    <w:rsid w:val="3BE60F64"/>
    <w:rsid w:val="3BECE841"/>
    <w:rsid w:val="3FF7797D"/>
    <w:rsid w:val="441B2960"/>
    <w:rsid w:val="485C43F9"/>
    <w:rsid w:val="5BFF6039"/>
    <w:rsid w:val="5D76A616"/>
    <w:rsid w:val="5D7F20B9"/>
    <w:rsid w:val="5DAC7D0E"/>
    <w:rsid w:val="5E5F1000"/>
    <w:rsid w:val="5F98B5AF"/>
    <w:rsid w:val="5FA45262"/>
    <w:rsid w:val="5FFE8511"/>
    <w:rsid w:val="5FFEACE2"/>
    <w:rsid w:val="63D0156C"/>
    <w:rsid w:val="643EE26D"/>
    <w:rsid w:val="6B1E6CDC"/>
    <w:rsid w:val="6B7C3E51"/>
    <w:rsid w:val="6D572E2F"/>
    <w:rsid w:val="6EA23FA7"/>
    <w:rsid w:val="6F023B70"/>
    <w:rsid w:val="6F5C41AC"/>
    <w:rsid w:val="6FAF6C78"/>
    <w:rsid w:val="7317C656"/>
    <w:rsid w:val="734ED73F"/>
    <w:rsid w:val="76761CA3"/>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annotation text"/>
    <w:basedOn w:val="1"/>
    <w:link w:val="21"/>
    <w:qFormat/>
    <w:uiPriority w:val="0"/>
    <w:pPr>
      <w:jc w:val="left"/>
    </w:pPr>
  </w:style>
  <w:style w:type="paragraph" w:styleId="5">
    <w:name w:val="Body Text"/>
    <w:basedOn w:val="1"/>
    <w:qFormat/>
    <w:uiPriority w:val="0"/>
    <w:pPr>
      <w:spacing w:after="120"/>
    </w:pPr>
  </w:style>
  <w:style w:type="paragraph" w:styleId="6">
    <w:name w:val="Body Text Indent"/>
    <w:basedOn w:val="1"/>
    <w:qFormat/>
    <w:uiPriority w:val="0"/>
    <w:pPr>
      <w:spacing w:after="120"/>
      <w:ind w:left="420" w:leftChars="200"/>
    </w:pPr>
    <w:rPr>
      <w:rFonts w:ascii="Calibri" w:hAnsi="Calibri"/>
    </w:rPr>
  </w:style>
  <w:style w:type="paragraph" w:styleId="7">
    <w:name w:val="Balloon Text"/>
    <w:basedOn w:val="1"/>
    <w:link w:val="19"/>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0"/>
    <w:qFormat/>
    <w:uiPriority w:val="0"/>
    <w:pPr>
      <w:pBdr>
        <w:bottom w:val="single" w:color="auto" w:sz="6" w:space="1"/>
      </w:pBdr>
      <w:tabs>
        <w:tab w:val="center" w:pos="4153"/>
        <w:tab w:val="right" w:pos="8306"/>
      </w:tabs>
      <w:snapToGrid w:val="0"/>
      <w:jc w:val="center"/>
    </w:pPr>
    <w:rPr>
      <w:sz w:val="18"/>
      <w:szCs w:val="18"/>
    </w:rPr>
  </w:style>
  <w:style w:type="paragraph" w:styleId="10">
    <w:name w:val="annotation subject"/>
    <w:basedOn w:val="4"/>
    <w:next w:val="4"/>
    <w:link w:val="22"/>
    <w:qFormat/>
    <w:uiPriority w:val="0"/>
    <w:rPr>
      <w:b/>
      <w:bCs/>
    </w:rPr>
  </w:style>
  <w:style w:type="paragraph" w:styleId="11">
    <w:name w:val="Body Text First Indent"/>
    <w:basedOn w:val="5"/>
    <w:qFormat/>
    <w:uiPriority w:val="0"/>
    <w:pPr>
      <w:spacing w:after="0"/>
      <w:ind w:firstLine="200" w:firstLineChars="200"/>
    </w:pPr>
  </w:style>
  <w:style w:type="paragraph" w:styleId="12">
    <w:name w:val="Body Text First Indent 2"/>
    <w:basedOn w:val="6"/>
    <w:qFormat/>
    <w:uiPriority w:val="0"/>
    <w:pPr>
      <w:ind w:firstLine="420" w:firstLineChars="200"/>
    </w:p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character" w:customStyle="1" w:styleId="17">
    <w:name w:val="fontstyle01"/>
    <w:qFormat/>
    <w:uiPriority w:val="0"/>
    <w:rPr>
      <w:rFonts w:ascii="仿宋_GB2312" w:hAnsi="仿宋_GB2312" w:eastAsia="仿宋_GB2312" w:cs="仿宋_GB2312"/>
      <w:color w:val="000000"/>
      <w:sz w:val="32"/>
      <w:szCs w:val="32"/>
    </w:rPr>
  </w:style>
  <w:style w:type="paragraph" w:customStyle="1" w:styleId="18">
    <w:name w:val="闻政-正文段落文字"/>
    <w:basedOn w:val="1"/>
    <w:qFormat/>
    <w:uiPriority w:val="3"/>
    <w:pPr>
      <w:spacing w:line="500" w:lineRule="exact"/>
      <w:ind w:firstLine="200"/>
    </w:pPr>
    <w:rPr>
      <w:kern w:val="0"/>
      <w:szCs w:val="28"/>
    </w:rPr>
  </w:style>
  <w:style w:type="character" w:customStyle="1" w:styleId="19">
    <w:name w:val="批注框文本 字符"/>
    <w:basedOn w:val="14"/>
    <w:link w:val="7"/>
    <w:qFormat/>
    <w:uiPriority w:val="0"/>
    <w:rPr>
      <w:rFonts w:ascii="Times New Roman" w:hAnsi="Times New Roman" w:eastAsia="宋体" w:cs="Times New Roman"/>
      <w:kern w:val="2"/>
      <w:sz w:val="18"/>
      <w:szCs w:val="18"/>
    </w:rPr>
  </w:style>
  <w:style w:type="character" w:customStyle="1" w:styleId="20">
    <w:name w:val="页眉 字符"/>
    <w:basedOn w:val="14"/>
    <w:link w:val="9"/>
    <w:qFormat/>
    <w:uiPriority w:val="0"/>
    <w:rPr>
      <w:rFonts w:ascii="Times New Roman" w:hAnsi="Times New Roman" w:eastAsia="宋体" w:cs="Times New Roman"/>
      <w:kern w:val="2"/>
      <w:sz w:val="18"/>
      <w:szCs w:val="18"/>
    </w:rPr>
  </w:style>
  <w:style w:type="character" w:customStyle="1" w:styleId="21">
    <w:name w:val="批注文字 字符"/>
    <w:basedOn w:val="14"/>
    <w:link w:val="4"/>
    <w:qFormat/>
    <w:uiPriority w:val="0"/>
    <w:rPr>
      <w:rFonts w:ascii="Times New Roman" w:hAnsi="Times New Roman" w:eastAsia="宋体" w:cs="Times New Roman"/>
      <w:kern w:val="2"/>
      <w:sz w:val="21"/>
      <w:szCs w:val="24"/>
    </w:rPr>
  </w:style>
  <w:style w:type="character" w:customStyle="1" w:styleId="22">
    <w:name w:val="批注主题 字符"/>
    <w:basedOn w:val="21"/>
    <w:link w:val="10"/>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23</Pages>
  <Words>8469</Words>
  <Characters>8724</Characters>
  <Lines>58</Lines>
  <Paragraphs>16</Paragraphs>
  <TotalTime>10</TotalTime>
  <ScaleCrop>false</ScaleCrop>
  <LinksUpToDate>false</LinksUpToDate>
  <CharactersWithSpaces>8775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ゆ ＂淡然、回眸</cp:lastModifiedBy>
  <dcterms:modified xsi:type="dcterms:W3CDTF">2024-04-25T07:48:32Z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DEB37354E36D40D48F20A3DAB18895C3</vt:lpwstr>
  </property>
</Properties>
</file>