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2023年工会经费</w:t>
      </w:r>
      <w:r>
        <w:rPr>
          <w:rFonts w:eastAsia="方正小标宋_GBK"/>
          <w:kern w:val="0"/>
          <w:sz w:val="48"/>
          <w:szCs w:val="48"/>
        </w:rPr>
        <w:t>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2023年工会经费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奇台县总工会</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奇台县总工会</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陈建兵</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2023年是全面贯彻落实党的二十大精神的开局之年、实施 ‘十四五’规划的关键之年。县总工会在</w:t>
      </w:r>
      <w:r>
        <w:rPr>
          <w:rFonts w:hint="eastAsia" w:ascii="仿宋_GB2312" w:hAnsi="仿宋_GB2312" w:eastAsia="仿宋_GB2312" w:cs="仿宋_GB2312"/>
          <w:sz w:val="30"/>
          <w:szCs w:val="30"/>
          <w:lang w:eastAsia="zh-CN"/>
        </w:rPr>
        <w:t>县委、县政府</w:t>
      </w:r>
      <w:r>
        <w:rPr>
          <w:rFonts w:hint="eastAsia" w:ascii="仿宋_GB2312" w:hAnsi="仿宋_GB2312" w:eastAsia="仿宋_GB2312" w:cs="仿宋_GB2312"/>
          <w:sz w:val="30"/>
          <w:szCs w:val="30"/>
        </w:rPr>
        <w:t>以及上级工会的领导下，立足本职，当好联系职工群众的桥梁纽带，发挥好工会的作用，引领职工发挥国家主人翁的作用，通过各种途径和形式，参与管理国家事务、管理经济和文化事业、管理社会事务;协助人民政府开展工作，维护工人阶级领导的、以工农联盟为基础的人民民主专政的社会主义国家政权，维护职工合法权益、竭诚服务职工群众。</w:t>
      </w:r>
    </w:p>
    <w:p>
      <w:pPr>
        <w:pStyle w:val="2"/>
        <w:spacing w:before="0" w:after="0" w:line="560" w:lineRule="exact"/>
        <w:ind w:firstLine="643" w:firstLineChars="200"/>
        <w:jc w:val="both"/>
        <w:rPr>
          <w:rFonts w:ascii="Times New Roman" w:hAnsi="Times New Roman" w:eastAsia="仿宋_GB2312"/>
          <w:kern w:val="2"/>
        </w:rPr>
      </w:pPr>
      <w:r>
        <w:rPr>
          <w:rFonts w:hint="eastAsia" w:ascii="Times New Roman" w:hAnsi="Times New Roman" w:eastAsia="仿宋_GB2312"/>
          <w:kern w:val="2"/>
        </w:rPr>
        <w:t>2、</w:t>
      </w:r>
      <w:r>
        <w:rPr>
          <w:rFonts w:ascii="Times New Roman" w:hAnsi="Times New Roman" w:eastAsia="仿宋_GB2312"/>
          <w:kern w:val="2"/>
        </w:rPr>
        <w:t>项目主要内容：</w:t>
      </w:r>
    </w:p>
    <w:p>
      <w:pPr>
        <w:spacing w:line="560" w:lineRule="exact"/>
        <w:ind w:firstLine="640" w:firstLineChars="200"/>
        <w:rPr>
          <w:rFonts w:eastAsia="仿宋_GB2312"/>
          <w:sz w:val="32"/>
          <w:szCs w:val="32"/>
        </w:rPr>
      </w:pPr>
      <w:r>
        <w:rPr>
          <w:rFonts w:hint="eastAsia" w:eastAsia="仿宋_GB2312"/>
          <w:sz w:val="32"/>
          <w:szCs w:val="32"/>
        </w:rPr>
        <w:t>项目主要内容：坚持工会经费用之于职工，切实维护职工合法权益，根据《中华人民共和国工会法》和《中国工会章程》等有关规定，2023年计划做到落实全县职工节日福利及工会活动。</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落实职工福利人数达6484人。</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该项目年初预算数1501万元，全年预算数1501万元实际总投入1501万元，该项目资金已全部落实到位，资金来源为县级财政拨款。</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1501元，全年预算数1501万元,全年执行数1501元，预算执行率为100%，主要用于：主要用于全县职工节日福利发放，补助下级工会经费，于2023年12月31日前实施完成，通过项目的实施，极力满足全县职工节日福利，使满意度达到90%以上。</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自治区党委《第二十五次常委会议纪要》听取自治区工工会工作汇报，依据《中华人民共和国工会法》有关规定，按单位职工工资总额的2%计提工会经费。用于全县职工福利费发放，补助下级工会经费，确保全县职工应享有职工福利费。于2023年12月31日前实施完成，通过项目的实施，极力满足基层妇女群众的文化生活需要，使满意度达到90%以上。</w:t>
      </w:r>
    </w:p>
    <w:p>
      <w:pPr>
        <w:numPr>
          <w:ilvl w:val="0"/>
          <w:numId w:val="1"/>
        </w:numPr>
        <w:spacing w:line="560" w:lineRule="exact"/>
        <w:ind w:firstLine="640" w:firstLineChars="200"/>
        <w:rPr>
          <w:rFonts w:eastAsia="仿宋_GB2312"/>
          <w:sz w:val="32"/>
          <w:szCs w:val="32"/>
        </w:rPr>
      </w:pPr>
      <w:r>
        <w:rPr>
          <w:rFonts w:eastAsia="仿宋_GB2312"/>
          <w:sz w:val="32"/>
          <w:szCs w:val="32"/>
        </w:rPr>
        <w:t>阶段性目标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本年度县工会通过元旦、春节、端午节、中秋节、国庆节、古尔邦节、肉孜节等国家和自治区规定的法定节日宣传，落实职工节日福利，通过项目的实施极力满足全县职工的节日需求。</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2023年工会经费项目所包含的全部项目内容。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2023年工会经费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w:t>
      </w:r>
      <w:r>
        <w:rPr>
          <w:rFonts w:hint="eastAsia" w:eastAsia="仿宋_GB2312"/>
          <w:spacing w:val="17"/>
          <w:sz w:val="32"/>
          <w:szCs w:val="32"/>
        </w:rPr>
        <w:t>产出</w:t>
      </w:r>
      <w:r>
        <w:rPr>
          <w:rFonts w:eastAsia="仿宋_GB2312"/>
          <w:spacing w:val="17"/>
          <w:sz w:val="32"/>
          <w:szCs w:val="32"/>
        </w:rPr>
        <w:t>指标、</w:t>
      </w:r>
      <w:r>
        <w:rPr>
          <w:rFonts w:hint="eastAsia" w:eastAsia="仿宋_GB2312"/>
          <w:spacing w:val="17"/>
          <w:sz w:val="32"/>
          <w:szCs w:val="32"/>
        </w:rPr>
        <w:t>项目成本</w:t>
      </w:r>
      <w:r>
        <w:rPr>
          <w:rFonts w:eastAsia="仿宋_GB2312"/>
          <w:spacing w:val="17"/>
          <w:sz w:val="32"/>
          <w:szCs w:val="32"/>
        </w:rPr>
        <w:t>指标、</w:t>
      </w:r>
      <w:r>
        <w:rPr>
          <w:rFonts w:hint="eastAsia" w:eastAsia="仿宋_GB2312"/>
          <w:spacing w:val="17"/>
          <w:sz w:val="32"/>
          <w:szCs w:val="32"/>
        </w:rPr>
        <w:t>项目效益</w:t>
      </w:r>
      <w:r>
        <w:rPr>
          <w:rFonts w:eastAsia="仿宋_GB2312"/>
          <w:spacing w:val="17"/>
          <w:sz w:val="32"/>
          <w:szCs w:val="32"/>
        </w:rPr>
        <w:t>指标、项目</w:t>
      </w:r>
      <w:r>
        <w:rPr>
          <w:rFonts w:hint="eastAsia" w:eastAsia="仿宋_GB2312"/>
          <w:spacing w:val="17"/>
          <w:sz w:val="32"/>
          <w:szCs w:val="32"/>
        </w:rPr>
        <w:t>满意度</w:t>
      </w:r>
      <w:r>
        <w:rPr>
          <w:rFonts w:eastAsia="仿宋_GB2312"/>
          <w:spacing w:val="17"/>
          <w:sz w:val="32"/>
          <w:szCs w:val="32"/>
        </w:rPr>
        <w:t>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w:t>
      </w:r>
      <w:r>
        <w:rPr>
          <w:rFonts w:hint="eastAsia" w:eastAsia="仿宋_GB2312"/>
          <w:spacing w:val="17"/>
          <w:sz w:val="32"/>
          <w:szCs w:val="32"/>
        </w:rPr>
        <w:t>产出</w:t>
      </w:r>
      <w:r>
        <w:rPr>
          <w:rFonts w:eastAsia="仿宋_GB2312"/>
          <w:spacing w:val="17"/>
          <w:sz w:val="32"/>
          <w:szCs w:val="32"/>
        </w:rPr>
        <w:t>指标权重为</w:t>
      </w:r>
      <w:r>
        <w:rPr>
          <w:rFonts w:hint="eastAsia" w:eastAsia="仿宋_GB2312"/>
          <w:spacing w:val="17"/>
          <w:sz w:val="32"/>
          <w:szCs w:val="32"/>
        </w:rPr>
        <w:t>40</w:t>
      </w:r>
      <w:r>
        <w:rPr>
          <w:rFonts w:eastAsia="仿宋_GB2312"/>
          <w:spacing w:val="17"/>
          <w:sz w:val="32"/>
          <w:szCs w:val="32"/>
        </w:rPr>
        <w:t>分，项目</w:t>
      </w:r>
      <w:r>
        <w:rPr>
          <w:rFonts w:hint="eastAsia" w:eastAsia="仿宋_GB2312"/>
          <w:spacing w:val="17"/>
          <w:sz w:val="32"/>
          <w:szCs w:val="32"/>
        </w:rPr>
        <w:t>成本指标</w:t>
      </w:r>
      <w:r>
        <w:rPr>
          <w:rFonts w:eastAsia="仿宋_GB2312"/>
          <w:spacing w:val="17"/>
          <w:sz w:val="32"/>
          <w:szCs w:val="32"/>
        </w:rPr>
        <w:t>权重为20分，</w:t>
      </w:r>
      <w:r>
        <w:rPr>
          <w:rFonts w:hint="eastAsia" w:eastAsia="仿宋_GB2312"/>
          <w:spacing w:val="17"/>
          <w:sz w:val="32"/>
          <w:szCs w:val="32"/>
        </w:rPr>
        <w:t>效益指标</w:t>
      </w:r>
      <w:r>
        <w:rPr>
          <w:rFonts w:eastAsia="仿宋_GB2312"/>
          <w:spacing w:val="17"/>
          <w:sz w:val="32"/>
          <w:szCs w:val="32"/>
        </w:rPr>
        <w:t>权重为</w:t>
      </w:r>
      <w:r>
        <w:rPr>
          <w:rFonts w:hint="eastAsia" w:eastAsia="仿宋_GB2312"/>
          <w:spacing w:val="17"/>
          <w:sz w:val="32"/>
          <w:szCs w:val="32"/>
        </w:rPr>
        <w:t>20</w:t>
      </w:r>
      <w:r>
        <w:rPr>
          <w:rFonts w:eastAsia="仿宋_GB2312"/>
          <w:spacing w:val="17"/>
          <w:sz w:val="32"/>
          <w:szCs w:val="32"/>
        </w:rPr>
        <w:t>分，项目</w:t>
      </w:r>
      <w:r>
        <w:rPr>
          <w:rFonts w:hint="eastAsia" w:eastAsia="仿宋_GB2312"/>
          <w:spacing w:val="17"/>
          <w:sz w:val="32"/>
          <w:szCs w:val="32"/>
        </w:rPr>
        <w:t>满意度指标</w:t>
      </w:r>
      <w:r>
        <w:rPr>
          <w:rFonts w:eastAsia="仿宋_GB2312"/>
          <w:spacing w:val="17"/>
          <w:sz w:val="32"/>
          <w:szCs w:val="32"/>
        </w:rPr>
        <w:t>权重为</w:t>
      </w:r>
      <w:r>
        <w:rPr>
          <w:rFonts w:hint="eastAsia" w:eastAsia="仿宋_GB2312"/>
          <w:spacing w:val="17"/>
          <w:sz w:val="32"/>
          <w:szCs w:val="32"/>
        </w:rPr>
        <w:t>1</w:t>
      </w:r>
      <w:r>
        <w:rPr>
          <w:rFonts w:eastAsia="仿宋_GB2312"/>
          <w:spacing w:val="17"/>
          <w:sz w:val="32"/>
          <w:szCs w:val="32"/>
        </w:rPr>
        <w:t>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w:t>
      </w:r>
      <w:r>
        <w:rPr>
          <w:rFonts w:hint="eastAsia" w:eastAsia="仿宋_GB2312"/>
          <w:spacing w:val="17"/>
          <w:sz w:val="32"/>
          <w:szCs w:val="32"/>
        </w:rPr>
        <w:t>产出</w:t>
      </w:r>
      <w:r>
        <w:rPr>
          <w:rFonts w:eastAsia="仿宋_GB2312"/>
          <w:spacing w:val="17"/>
          <w:sz w:val="32"/>
          <w:szCs w:val="32"/>
        </w:rPr>
        <w:t>指标、</w:t>
      </w:r>
      <w:r>
        <w:rPr>
          <w:rFonts w:hint="eastAsia" w:eastAsia="仿宋_GB2312"/>
          <w:spacing w:val="17"/>
          <w:sz w:val="32"/>
          <w:szCs w:val="32"/>
        </w:rPr>
        <w:t>项目成本</w:t>
      </w:r>
      <w:r>
        <w:rPr>
          <w:rFonts w:eastAsia="仿宋_GB2312"/>
          <w:spacing w:val="17"/>
          <w:sz w:val="32"/>
          <w:szCs w:val="32"/>
        </w:rPr>
        <w:t>指标、</w:t>
      </w:r>
      <w:r>
        <w:rPr>
          <w:rFonts w:hint="eastAsia" w:eastAsia="仿宋_GB2312"/>
          <w:spacing w:val="17"/>
          <w:sz w:val="32"/>
          <w:szCs w:val="32"/>
        </w:rPr>
        <w:t>项目效益</w:t>
      </w:r>
      <w:r>
        <w:rPr>
          <w:rFonts w:eastAsia="仿宋_GB2312"/>
          <w:spacing w:val="17"/>
          <w:sz w:val="32"/>
          <w:szCs w:val="32"/>
        </w:rPr>
        <w:t>指标、项目</w:t>
      </w:r>
      <w:r>
        <w:rPr>
          <w:rFonts w:hint="eastAsia" w:eastAsia="仿宋_GB2312"/>
          <w:spacing w:val="17"/>
          <w:sz w:val="32"/>
          <w:szCs w:val="32"/>
        </w:rPr>
        <w:t>满意度</w:t>
      </w:r>
      <w:r>
        <w:rPr>
          <w:rFonts w:eastAsia="仿宋_GB2312"/>
          <w:spacing w:val="17"/>
          <w:sz w:val="32"/>
          <w:szCs w:val="32"/>
        </w:rPr>
        <w:t>指标四个维度进行评价。评价对象为项目目标实施情况，评价核心为资金的支出完成情况和项目的产出效益。</w:t>
      </w:r>
    </w:p>
    <w:p>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spacing w:val="17"/>
          <w:sz w:val="32"/>
          <w:szCs w:val="32"/>
        </w:rPr>
      </w:pPr>
      <w:r>
        <w:rPr>
          <w:rFonts w:eastAsia="仿宋_GB2312"/>
          <w:spacing w:val="17"/>
          <w:sz w:val="32"/>
          <w:szCs w:val="32"/>
        </w:rPr>
        <w:t>（1）比较法</w:t>
      </w:r>
    </w:p>
    <w:p>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560" w:lineRule="exact"/>
        <w:ind w:firstLine="708" w:firstLineChars="200"/>
        <w:rPr>
          <w:rFonts w:eastAsia="仿宋_GB2312"/>
          <w:spacing w:val="17"/>
          <w:sz w:val="32"/>
          <w:szCs w:val="32"/>
        </w:rPr>
      </w:pPr>
      <w:r>
        <w:rPr>
          <w:rFonts w:eastAsia="仿宋_GB2312"/>
          <w:spacing w:val="17"/>
          <w:sz w:val="32"/>
          <w:szCs w:val="32"/>
        </w:rPr>
        <w:t>（2）因素分析法</w:t>
      </w:r>
    </w:p>
    <w:p>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spacing w:val="17"/>
          <w:sz w:val="32"/>
          <w:szCs w:val="32"/>
        </w:rPr>
      </w:pPr>
      <w:bookmarkStart w:id="0" w:name="_Toc31464"/>
      <w:bookmarkStart w:id="1" w:name="_Toc17882"/>
      <w:r>
        <w:rPr>
          <w:rFonts w:hint="eastAsia" w:eastAsia="仿宋_GB2312"/>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spacing w:val="17"/>
          <w:sz w:val="32"/>
          <w:szCs w:val="32"/>
        </w:rPr>
      </w:pPr>
      <w:bookmarkStart w:id="2" w:name="_Toc5633"/>
      <w:bookmarkStart w:id="3" w:name="_Toc2318"/>
      <w:r>
        <w:rPr>
          <w:rFonts w:hint="eastAsia" w:eastAsia="仿宋_GB2312"/>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430"/>
      <w:bookmarkStart w:id="5" w:name="_Toc16028"/>
      <w:r>
        <w:rPr>
          <w:rFonts w:hint="eastAsia" w:eastAsia="仿宋_GB2312"/>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spacing w:val="17"/>
        </w:rPr>
      </w:pPr>
      <w:r>
        <w:rPr>
          <w:rFonts w:hint="eastAsia" w:ascii="楷体" w:hAnsi="楷体" w:eastAsia="楷体" w:cs="楷体"/>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本项目总投资1501万元，财政资金及时足额到位，到位率100%，预算资金按计划进度执行。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预算编制较为详细，项目资金支出总体能够按照预算执行，预算资金支出1501，预算执行率为100%。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项目产出类指标包括产出数量、产出质量、产出时效、三个方面的内容，由5个三级指标构成，权重分为40分，实际得分40分，得分率为100%。具体产出指标完成情况如下：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指标1：发放福利费的人数，指标值：&gt;=6484人，实际完成值：=6484人，指标完成率100%；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指标2：发放福利费行政单位的个数，指标值：&gt;=38家，实际完成值：=38家，指标完成率100%；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指标3：发放福利费事业单位的个数，指标值：&gt;=53家，实际完成值：=53家，指标完成率100%；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指标1：资金发放准确率，指标值：&gt;=100%，实际完成值：=100%，指标完成率100%；</w:t>
      </w:r>
    </w:p>
    <w:p>
      <w:pPr>
        <w:spacing w:line="600" w:lineRule="exact"/>
        <w:ind w:firstLine="640" w:firstLineChars="200"/>
        <w:outlineLvl w:val="0"/>
        <w:rPr>
          <w:rFonts w:hint="eastAsia" w:ascii="仿宋_GB2312" w:hAnsi="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pPr>
      <w:r>
        <w:rPr>
          <w:rFonts w:hint="eastAsia" w:ascii="仿宋_GB2312" w:hAnsi="仿宋_GB2312" w:eastAsia="仿宋_GB2312" w:cs="仿宋_GB2312"/>
          <w:sz w:val="32"/>
          <w:szCs w:val="32"/>
        </w:rPr>
        <w:t>指标1：资金发放及时率，指标值：=100%，实际完成值：=100%，指标完成率100%。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宋体" w:hAnsi="宋体" w:cs="宋体"/>
          <w:sz w:val="32"/>
          <w:szCs w:val="32"/>
        </w:rPr>
        <w:t>④</w:t>
      </w:r>
      <w:r>
        <w:rPr>
          <w:rFonts w:hint="eastAsia" w:ascii="仿宋_GB2312" w:hAnsi="仿宋_GB2312" w:eastAsia="仿宋_GB2312" w:cs="仿宋_GB2312"/>
          <w:sz w:val="32"/>
          <w:szCs w:val="32"/>
        </w:rPr>
        <w:t>经济成本指标：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指标1：工会经费福利费发放标准，指标值：=1800元/人，实际完成值：=1800元/人，指标完成率100%。</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w:t>
      </w:r>
      <w:r>
        <w:rPr>
          <w:rFonts w:hint="eastAsia" w:eastAsia="楷体_GB2312"/>
          <w:b/>
          <w:bCs/>
          <w:sz w:val="32"/>
          <w:szCs w:val="32"/>
        </w:rPr>
        <w:t>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项目效益指标包括社会效益指标一个方面的内容，由1个三级指标构成，权重分为20分，实际得分20分，得分率为100%。具体效益指标完成情况如下：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指标1：享受福利费的职工提升工作积极性，指标值：有效提升，实际完成值：有效提升，指标完成率100%。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满意度指标：</w:t>
      </w:r>
    </w:p>
    <w:p>
      <w:pPr>
        <w:spacing w:line="600" w:lineRule="exact"/>
        <w:ind w:firstLine="640" w:firstLineChars="200"/>
        <w:outlineLvl w:val="0"/>
      </w:pPr>
      <w:r>
        <w:rPr>
          <w:rFonts w:hint="eastAsia" w:ascii="仿宋_GB2312" w:hAnsi="仿宋_GB2312" w:eastAsia="仿宋_GB2312" w:cs="仿宋_GB2312"/>
          <w:sz w:val="32"/>
          <w:szCs w:val="32"/>
        </w:rPr>
        <w:t>指标1：职工满意度指标，指标值：&gt;=90%，实际完成值：=90%，，指标完成率100%。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2023年工会经费项目年初预算1506万元，全年预算1506万元，实际支出1506，预算执行率为100%，项目绩效指标总体完成率为100%，</w:t>
      </w:r>
      <w:r>
        <w:rPr>
          <w:rFonts w:hint="eastAsia" w:eastAsia="仿宋_GB2312"/>
          <w:kern w:val="2"/>
          <w:sz w:val="32"/>
          <w:szCs w:val="32"/>
          <w:lang w:eastAsia="zh-Hans"/>
        </w:rPr>
        <w:t>总体</w:t>
      </w:r>
      <w:r>
        <w:rPr>
          <w:rFonts w:hint="eastAsia" w:eastAsia="仿宋_GB2312"/>
          <w:kern w:val="2"/>
          <w:sz w:val="32"/>
          <w:szCs w:val="32"/>
        </w:rPr>
        <w:t>偏差率为0%。</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spacing w:line="600" w:lineRule="exact"/>
        <w:ind w:firstLine="640" w:firstLineChars="200"/>
        <w:outlineLvl w:val="0"/>
        <w:rPr>
          <w:rFonts w:hint="eastAsia" w:ascii="仿宋_GB2312" w:hAnsi="仿宋_GB2312" w:eastAsia="仿宋_GB2312" w:cs="仿宋_GB2312"/>
          <w:sz w:val="32"/>
          <w:szCs w:val="32"/>
          <w:highlight w:val="yellow"/>
        </w:rPr>
      </w:pPr>
      <w:r>
        <w:rPr>
          <w:rFonts w:hint="eastAsia" w:ascii="仿宋_GB2312" w:hAnsi="仿宋_GB2312" w:eastAsia="仿宋_GB2312" w:cs="仿宋_GB2312"/>
          <w:sz w:val="32"/>
          <w:szCs w:val="32"/>
        </w:rPr>
        <w:t>3.对项目支出绩效工作的人事有待于提高，项目资金的支出导致做绩效工作的工作人员对项目流程不够熟悉，项目相关资料收集不够及时。预算执行的约束力不够，受政策非连续性与预算执行率等不协调因素影响，预算项目在执行过程中缺乏有效的监督机制，预算执行审核缺乏常态性。由于部门专业监督人员缺乏，很难做到对财政预算资金进行全覆盖跟踪监督，同时，审核监督独立性不够充分也限制了监督职责的发挥。项目流程过于繁琐，项目人员配置偏少，造成工作强度偏大。</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妇联工作实际，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14077" w:type="dxa"/>
        <w:tblInd w:w="98" w:type="dxa"/>
        <w:tblLayout w:type="fixed"/>
        <w:tblCellMar>
          <w:top w:w="0" w:type="dxa"/>
          <w:left w:w="108" w:type="dxa"/>
          <w:bottom w:w="0" w:type="dxa"/>
          <w:right w:w="108" w:type="dxa"/>
        </w:tblCellMar>
      </w:tblPr>
      <w:tblGrid>
        <w:gridCol w:w="1071"/>
        <w:gridCol w:w="1226"/>
        <w:gridCol w:w="2090"/>
        <w:gridCol w:w="167"/>
        <w:gridCol w:w="2610"/>
        <w:gridCol w:w="1262"/>
        <w:gridCol w:w="1293"/>
        <w:gridCol w:w="135"/>
        <w:gridCol w:w="1153"/>
        <w:gridCol w:w="497"/>
        <w:gridCol w:w="743"/>
        <w:gridCol w:w="583"/>
        <w:gridCol w:w="1090"/>
        <w:gridCol w:w="157"/>
      </w:tblGrid>
      <w:tr>
        <w:tblPrEx>
          <w:tblLayout w:type="fixed"/>
          <w:tblCellMar>
            <w:top w:w="0" w:type="dxa"/>
            <w:left w:w="108" w:type="dxa"/>
            <w:bottom w:w="0" w:type="dxa"/>
            <w:right w:w="108" w:type="dxa"/>
          </w:tblCellMar>
        </w:tblPrEx>
        <w:trPr>
          <w:gridAfter w:val="1"/>
          <w:wAfter w:w="157" w:type="dxa"/>
          <w:trHeight w:val="322" w:hRule="atLeast"/>
        </w:trPr>
        <w:tc>
          <w:tcPr>
            <w:tcW w:w="13920" w:type="dxa"/>
            <w:gridSpan w:val="13"/>
            <w:tcBorders>
              <w:top w:val="nil"/>
              <w:left w:val="nil"/>
              <w:bottom w:val="nil"/>
              <w:right w:val="nil"/>
            </w:tcBorders>
            <w:shd w:val="clear" w:color="auto" w:fill="auto"/>
            <w:vAlign w:val="center"/>
          </w:tcPr>
          <w:p>
            <w:pPr>
              <w:widowControl/>
              <w:jc w:val="center"/>
              <w:textAlignment w:val="center"/>
              <w:rPr>
                <w:rFonts w:hint="eastAsia" w:ascii="宋体" w:hAnsi="宋体" w:cs="宋体"/>
                <w:b/>
                <w:bCs/>
                <w:sz w:val="32"/>
                <w:szCs w:val="32"/>
              </w:rPr>
            </w:pPr>
            <w:r>
              <w:rPr>
                <w:rFonts w:hint="eastAsia" w:ascii="宋体" w:hAnsi="宋体" w:cs="宋体"/>
                <w:b/>
                <w:bCs/>
                <w:kern w:val="0"/>
                <w:sz w:val="32"/>
                <w:szCs w:val="32"/>
                <w:lang w:bidi="ar"/>
              </w:rPr>
              <w:t>项目支出绩效自评表</w:t>
            </w:r>
          </w:p>
        </w:tc>
      </w:tr>
      <w:tr>
        <w:tblPrEx>
          <w:tblLayout w:type="fixed"/>
          <w:tblCellMar>
            <w:top w:w="0" w:type="dxa"/>
            <w:left w:w="108" w:type="dxa"/>
            <w:bottom w:w="0" w:type="dxa"/>
            <w:right w:w="108" w:type="dxa"/>
          </w:tblCellMar>
        </w:tblPrEx>
        <w:trPr>
          <w:gridAfter w:val="1"/>
          <w:wAfter w:w="157" w:type="dxa"/>
          <w:trHeight w:val="90" w:hRule="atLeast"/>
        </w:trPr>
        <w:tc>
          <w:tcPr>
            <w:tcW w:w="13920" w:type="dxa"/>
            <w:gridSpan w:val="13"/>
            <w:tcBorders>
              <w:top w:val="nil"/>
              <w:left w:val="nil"/>
              <w:bottom w:val="nil"/>
              <w:right w:val="nil"/>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(2023年度)</w:t>
            </w:r>
          </w:p>
        </w:tc>
      </w:tr>
      <w:tr>
        <w:tblPrEx>
          <w:tblLayout w:type="fixed"/>
          <w:tblCellMar>
            <w:top w:w="0" w:type="dxa"/>
            <w:left w:w="108" w:type="dxa"/>
            <w:bottom w:w="0" w:type="dxa"/>
            <w:right w:w="108" w:type="dxa"/>
          </w:tblCellMar>
        </w:tblPrEx>
        <w:trPr>
          <w:gridAfter w:val="1"/>
          <w:wAfter w:w="157" w:type="dxa"/>
          <w:trHeight w:val="286" w:hRule="atLeast"/>
        </w:trPr>
        <w:tc>
          <w:tcPr>
            <w:tcW w:w="2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项目名称</w:t>
            </w:r>
          </w:p>
        </w:tc>
        <w:tc>
          <w:tcPr>
            <w:tcW w:w="1162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2023年工会经费</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主管部门</w:t>
            </w:r>
          </w:p>
        </w:tc>
        <w:tc>
          <w:tcPr>
            <w:tcW w:w="61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奇台县总工会</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实施单位</w:t>
            </w:r>
          </w:p>
        </w:tc>
        <w:tc>
          <w:tcPr>
            <w:tcW w:w="40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奇台县总工会</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项目资金</w:t>
            </w:r>
            <w:r>
              <w:rPr>
                <w:rFonts w:hint="eastAsia" w:ascii="宋体" w:hAnsi="宋体" w:cs="宋体"/>
                <w:kern w:val="0"/>
                <w:sz w:val="20"/>
                <w:szCs w:val="20"/>
                <w:lang w:bidi="ar"/>
              </w:rPr>
              <w:br w:type="textWrapping"/>
            </w:r>
            <w:r>
              <w:rPr>
                <w:rFonts w:hint="eastAsia" w:ascii="宋体" w:hAnsi="宋体" w:cs="宋体"/>
                <w:kern w:val="0"/>
                <w:sz w:val="20"/>
                <w:szCs w:val="20"/>
                <w:lang w:bidi="ar"/>
              </w:rPr>
              <w:t>（万元）</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年初预算数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全年预算数</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全年执行数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年度资金总额</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1501</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1501</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1501</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10.00分</w:t>
            </w:r>
          </w:p>
        </w:tc>
      </w:tr>
      <w:tr>
        <w:tblPrEx>
          <w:tblLayout w:type="fixed"/>
          <w:tblCellMar>
            <w:top w:w="0" w:type="dxa"/>
            <w:left w:w="108" w:type="dxa"/>
            <w:bottom w:w="0" w:type="dxa"/>
            <w:right w:w="108" w:type="dxa"/>
          </w:tblCellMar>
        </w:tblPrEx>
        <w:trPr>
          <w:gridAfter w:val="1"/>
          <w:wAfter w:w="157" w:type="dxa"/>
          <w:trHeight w:val="201"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其中：当年财政拨款</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1501</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1501</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sz w:val="20"/>
                <w:szCs w:val="20"/>
              </w:rPr>
              <w:t>1501</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上年结转资金</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其他资金</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年度总体目标</w:t>
            </w:r>
          </w:p>
        </w:tc>
        <w:tc>
          <w:tcPr>
            <w:tcW w:w="7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预期目标</w:t>
            </w:r>
          </w:p>
        </w:tc>
        <w:tc>
          <w:tcPr>
            <w:tcW w:w="54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实际完成情况</w:t>
            </w:r>
          </w:p>
        </w:tc>
      </w:tr>
      <w:tr>
        <w:tblPrEx>
          <w:tblLayout w:type="fixed"/>
          <w:tblCellMar>
            <w:top w:w="0" w:type="dxa"/>
            <w:left w:w="108" w:type="dxa"/>
            <w:bottom w:w="0" w:type="dxa"/>
            <w:right w:w="108" w:type="dxa"/>
          </w:tblCellMar>
        </w:tblPrEx>
        <w:trPr>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355" w:type="dxa"/>
            <w:gridSpan w:val="5"/>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exact"/>
              <w:jc w:val="left"/>
              <w:textAlignment w:val="top"/>
              <w:rPr>
                <w:rFonts w:hint="eastAsia" w:ascii="宋体" w:hAnsi="宋体" w:cs="宋体"/>
                <w:sz w:val="16"/>
                <w:szCs w:val="16"/>
              </w:rPr>
            </w:pPr>
            <w:r>
              <w:rPr>
                <w:rFonts w:hint="eastAsia" w:ascii="宋体" w:hAnsi="宋体" w:cs="宋体"/>
                <w:kern w:val="0"/>
                <w:sz w:val="16"/>
                <w:szCs w:val="16"/>
                <w:lang w:bidi="ar"/>
              </w:rPr>
              <w:t>按照自治区党委《第二十五次常委会议纪要》听取自治区工工会工作汇报，一依据《中华人民共和国工会法》有关规定，按单位职工工资总额的2%计提工会经费。用于全县职工福利费发放，补助下级工会经费，确保全县职工应享有职工福利费。2023年工会经费用于全县职工福利费发放，补助下级工会经费，确保全县职工应享有职工福利费</w:t>
            </w:r>
          </w:p>
        </w:tc>
        <w:tc>
          <w:tcPr>
            <w:tcW w:w="5651" w:type="dxa"/>
            <w:gridSpan w:val="8"/>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exact"/>
              <w:jc w:val="left"/>
              <w:textAlignment w:val="top"/>
              <w:rPr>
                <w:rFonts w:hint="eastAsia" w:ascii="宋体" w:hAnsi="宋体" w:cs="宋体"/>
                <w:sz w:val="16"/>
                <w:szCs w:val="16"/>
              </w:rPr>
            </w:pPr>
            <w:r>
              <w:rPr>
                <w:rFonts w:hint="eastAsia" w:ascii="宋体" w:hAnsi="宋体" w:cs="宋体"/>
                <w:kern w:val="0"/>
                <w:sz w:val="16"/>
                <w:szCs w:val="16"/>
                <w:lang w:bidi="ar"/>
              </w:rPr>
              <w:t>2023年工会经费，发放发放行政事业单位91家计6484人。全县职工应享有职工福利费。并于2023年12月31日前实施完成，通过本项目的实施，极力满足全县职工节日的需要，使满意度达到90%以上，全县职工增强发展信心、传递社会正能量的信心逐步增强，能紧密地团结在党的周围。</w:t>
            </w:r>
          </w:p>
        </w:tc>
      </w:tr>
      <w:tr>
        <w:tblPrEx>
          <w:tblLayout w:type="fixed"/>
          <w:tblCellMar>
            <w:top w:w="0" w:type="dxa"/>
            <w:left w:w="108" w:type="dxa"/>
            <w:bottom w:w="0" w:type="dxa"/>
            <w:right w:w="108" w:type="dxa"/>
          </w:tblCellMar>
        </w:tblPrEx>
        <w:trPr>
          <w:gridAfter w:val="1"/>
          <w:wAfter w:w="157" w:type="dxa"/>
          <w:trHeight w:val="316"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一级指标</w:t>
            </w:r>
          </w:p>
        </w:tc>
        <w:tc>
          <w:tcPr>
            <w:tcW w:w="20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二级指标</w:t>
            </w:r>
          </w:p>
        </w:tc>
        <w:tc>
          <w:tcPr>
            <w:tcW w:w="27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三级指标</w:t>
            </w:r>
          </w:p>
        </w:tc>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年度指标值</w:t>
            </w: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实际完成值</w:t>
            </w:r>
          </w:p>
        </w:tc>
        <w:tc>
          <w:tcPr>
            <w:tcW w:w="12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2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c>
          <w:tcPr>
            <w:tcW w:w="16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sz w:val="20"/>
                <w:szCs w:val="20"/>
              </w:rPr>
            </w:pPr>
            <w:r>
              <w:rPr>
                <w:rFonts w:hint="eastAsia" w:ascii="宋体" w:hAnsi="宋体" w:cs="宋体"/>
                <w:kern w:val="0"/>
                <w:sz w:val="20"/>
                <w:szCs w:val="20"/>
                <w:lang w:bidi="ar"/>
              </w:rPr>
              <w:t>偏差原因分析及改进措施</w:t>
            </w:r>
          </w:p>
        </w:tc>
      </w:tr>
      <w:tr>
        <w:tblPrEx>
          <w:tblLayout w:type="fixed"/>
          <w:tblCellMar>
            <w:top w:w="0" w:type="dxa"/>
            <w:left w:w="108" w:type="dxa"/>
            <w:bottom w:w="0" w:type="dxa"/>
            <w:right w:w="108" w:type="dxa"/>
          </w:tblCellMar>
        </w:tblPrEx>
        <w:trPr>
          <w:gridAfter w:val="1"/>
          <w:wAfter w:w="157" w:type="dxa"/>
          <w:trHeight w:val="316"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7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年度绩效指标完成情况</w:t>
            </w: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产出指标</w:t>
            </w:r>
          </w:p>
        </w:tc>
        <w:tc>
          <w:tcPr>
            <w:tcW w:w="2090"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发放福利费的人数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&gt;=6484人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=6484人</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276"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vMerge w:val="continue"/>
            <w:tcBorders>
              <w:left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发放福利费行政单位的个数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&gt;=38家</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=38家</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发放福利费事业单位的个数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&gt;=53家</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=53家</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资金发放准确率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时效指标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资金发放及时率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成本指标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工会经费福利费的发放标准</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=1800元/人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=1800元/人</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生态环境成本指标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效益指标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享受福利费的职工提升工作积极性</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有效提升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有效提升</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职工满意度</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&gt;=90%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=90%</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97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总分</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sz w:val="20"/>
                <w:szCs w:val="20"/>
              </w:rPr>
              <w:t>100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sz w:val="20"/>
                <w:szCs w:val="20"/>
              </w:rPr>
              <w:t>100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tcBorders>
              <w:top w:val="single" w:color="000000" w:sz="4" w:space="0"/>
              <w:left w:val="nil"/>
              <w:bottom w:val="nil"/>
              <w:right w:val="nil"/>
            </w:tcBorders>
            <w:shd w:val="clear" w:color="auto" w:fill="auto"/>
            <w:vAlign w:val="center"/>
          </w:tcPr>
          <w:p>
            <w:pPr>
              <w:jc w:val="right"/>
              <w:rPr>
                <w:rFonts w:hint="eastAsia" w:ascii="宋体" w:hAnsi="宋体" w:cs="宋体"/>
                <w:sz w:val="20"/>
                <w:szCs w:val="20"/>
              </w:rPr>
            </w:pPr>
          </w:p>
        </w:tc>
        <w:tc>
          <w:tcPr>
            <w:tcW w:w="4867" w:type="dxa"/>
            <w:gridSpan w:val="3"/>
            <w:tcBorders>
              <w:top w:val="single" w:color="000000" w:sz="4" w:space="0"/>
              <w:left w:val="nil"/>
              <w:bottom w:val="nil"/>
              <w:right w:val="nil"/>
            </w:tcBorders>
            <w:shd w:val="clear" w:color="auto" w:fill="auto"/>
            <w:vAlign w:val="center"/>
          </w:tcPr>
          <w:p>
            <w:pPr>
              <w:jc w:val="left"/>
              <w:rPr>
                <w:rFonts w:hint="eastAsia" w:ascii="宋体" w:hAnsi="宋体" w:cs="宋体"/>
                <w:sz w:val="20"/>
                <w:szCs w:val="20"/>
              </w:rPr>
            </w:pPr>
          </w:p>
        </w:tc>
        <w:tc>
          <w:tcPr>
            <w:tcW w:w="2690" w:type="dxa"/>
            <w:gridSpan w:val="3"/>
            <w:tcBorders>
              <w:top w:val="single" w:color="000000" w:sz="4" w:space="0"/>
              <w:left w:val="nil"/>
              <w:bottom w:val="nil"/>
              <w:right w:val="nil"/>
            </w:tcBorders>
            <w:shd w:val="clear" w:color="auto" w:fill="auto"/>
            <w:vAlign w:val="center"/>
          </w:tcPr>
          <w:p>
            <w:pPr>
              <w:jc w:val="right"/>
              <w:rPr>
                <w:rFonts w:hint="eastAsia" w:ascii="宋体" w:hAnsi="宋体" w:cs="宋体"/>
                <w:sz w:val="20"/>
                <w:szCs w:val="20"/>
              </w:rPr>
            </w:pPr>
          </w:p>
          <w:p/>
        </w:tc>
        <w:tc>
          <w:tcPr>
            <w:tcW w:w="4066" w:type="dxa"/>
            <w:gridSpan w:val="5"/>
            <w:tcBorders>
              <w:top w:val="single" w:color="000000" w:sz="4" w:space="0"/>
              <w:left w:val="nil"/>
              <w:bottom w:val="nil"/>
              <w:right w:val="nil"/>
            </w:tcBorders>
            <w:shd w:val="clear" w:color="auto" w:fill="auto"/>
            <w:vAlign w:val="center"/>
          </w:tcPr>
          <w:p>
            <w:pPr>
              <w:jc w:val="left"/>
              <w:rPr>
                <w:rFonts w:hint="eastAsia" w:ascii="宋体" w:hAnsi="宋体" w:cs="宋体"/>
                <w:sz w:val="20"/>
                <w:szCs w:val="20"/>
              </w:rPr>
            </w:pPr>
          </w:p>
        </w:tc>
      </w:tr>
    </w:tbl>
    <w:p>
      <w:pPr>
        <w:pStyle w:val="2"/>
        <w:rPr>
          <w:rFonts w:ascii="Times New Roman" w:hAnsi="Times New Roman" w:eastAsia="黑体"/>
          <w:b w:val="0"/>
          <w:bCs w:val="0"/>
        </w:rPr>
      </w:pPr>
    </w:p>
    <w:p>
      <w:pPr>
        <w:pStyle w:val="2"/>
        <w:jc w:val="both"/>
        <w:rPr>
          <w:rFonts w:ascii="Times New Roman" w:hAnsi="Times New Roman"/>
        </w:rPr>
        <w:sectPr>
          <w:pgSz w:w="16838" w:h="11906" w:orient="landscape"/>
          <w:pgMar w:top="1803" w:right="1440" w:bottom="1559" w:left="1440" w:header="851" w:footer="992" w:gutter="0"/>
          <w:cols w:space="0" w:num="1"/>
          <w:docGrid w:type="lines" w:linePitch="316"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30064_WPSOffice_Level1"/>
      <w:bookmarkStart w:id="8" w:name="_Toc26499_WPSOffice_Level2"/>
      <w:r>
        <w:rPr>
          <w:rFonts w:hint="eastAsia"/>
          <w:b/>
          <w:bCs/>
          <w:sz w:val="28"/>
          <w:szCs w:val="40"/>
        </w:rPr>
        <w:t>2023年县福利活动经费项目绩效评价指标体系及综合评分表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27"/>
        <w:gridCol w:w="764"/>
        <w:gridCol w:w="873"/>
        <w:gridCol w:w="2353"/>
        <w:gridCol w:w="5203"/>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27" w:type="dxa"/>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764" w:type="dxa"/>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873" w:type="dxa"/>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2353" w:type="dxa"/>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5203" w:type="dxa"/>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1363" w:type="dxa"/>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27" w:type="dxa"/>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2353" w:type="dxa"/>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5203"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2353" w:type="dxa"/>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5203"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2353" w:type="dxa"/>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5203" w:type="dxa"/>
            <w:shd w:val="clear" w:color="000000"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pPr>
              <w:widowControl/>
              <w:spacing w:line="0" w:lineRule="atLeast"/>
              <w:jc w:val="left"/>
              <w:rPr>
                <w:kern w:val="0"/>
                <w:sz w:val="22"/>
                <w:szCs w:val="22"/>
              </w:rPr>
            </w:pPr>
            <w:r>
              <w:rPr>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2353" w:type="dxa"/>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2353" w:type="dxa"/>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5203"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2353" w:type="dxa"/>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5203"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27" w:type="dxa"/>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2353" w:type="dxa"/>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5203" w:type="dxa"/>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2353" w:type="dxa"/>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5203" w:type="dxa"/>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2353" w:type="dxa"/>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2353" w:type="dxa"/>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2353" w:type="dxa"/>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27"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2353" w:type="dxa"/>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2353" w:type="dxa"/>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27"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spacing w:line="0" w:lineRule="atLeast"/>
              <w:jc w:val="center"/>
              <w:rPr>
                <w:kern w:val="0"/>
                <w:sz w:val="22"/>
                <w:szCs w:val="22"/>
              </w:rPr>
            </w:pPr>
            <w:r>
              <w:rPr>
                <w:kern w:val="0"/>
                <w:sz w:val="22"/>
                <w:szCs w:val="22"/>
              </w:rPr>
              <w:t>产出时效</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2353" w:type="dxa"/>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873"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2353" w:type="dxa"/>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5203" w:type="dxa"/>
            <w:shd w:val="clear" w:color="000000" w:fill="FFFFFF"/>
            <w:vAlign w:val="center"/>
          </w:tcPr>
          <w:p>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27"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实施效益</w:t>
            </w:r>
          </w:p>
        </w:tc>
        <w:tc>
          <w:tcPr>
            <w:tcW w:w="2353" w:type="dxa"/>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5203" w:type="dxa"/>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27"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2353" w:type="dxa"/>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5203" w:type="dxa"/>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CC9A3F"/>
    <w:multiLevelType w:val="singleLevel"/>
    <w:tmpl w:val="98CC9A3F"/>
    <w:lvl w:ilvl="0" w:tentative="0">
      <w:start w:val="2"/>
      <w:numFmt w:val="decimal"/>
      <w:suff w:val="nothing"/>
      <w:lvlText w:val="%1、"/>
      <w:lvlJc w:val="left"/>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8"/>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0B46EC"/>
    <w:rsid w:val="004C644B"/>
    <w:rsid w:val="00532174"/>
    <w:rsid w:val="006F7242"/>
    <w:rsid w:val="007B168A"/>
    <w:rsid w:val="008B2CFE"/>
    <w:rsid w:val="00D73886"/>
    <w:rsid w:val="00F26FF6"/>
    <w:rsid w:val="033F3C45"/>
    <w:rsid w:val="048879D3"/>
    <w:rsid w:val="06274EEB"/>
    <w:rsid w:val="064D7BFE"/>
    <w:rsid w:val="06DF5404"/>
    <w:rsid w:val="07397B77"/>
    <w:rsid w:val="09C52A8D"/>
    <w:rsid w:val="0CB9065E"/>
    <w:rsid w:val="0D0D352C"/>
    <w:rsid w:val="11E22D2A"/>
    <w:rsid w:val="13455E51"/>
    <w:rsid w:val="13471461"/>
    <w:rsid w:val="13B90F01"/>
    <w:rsid w:val="181066D2"/>
    <w:rsid w:val="1C671E73"/>
    <w:rsid w:val="1D0517B0"/>
    <w:rsid w:val="1DEF7F3A"/>
    <w:rsid w:val="1E514220"/>
    <w:rsid w:val="210107AD"/>
    <w:rsid w:val="24F9541B"/>
    <w:rsid w:val="27534910"/>
    <w:rsid w:val="2A06253E"/>
    <w:rsid w:val="2B1F1CBC"/>
    <w:rsid w:val="2CC8216D"/>
    <w:rsid w:val="2D9418A3"/>
    <w:rsid w:val="2FB56378"/>
    <w:rsid w:val="35E555E0"/>
    <w:rsid w:val="36985FA4"/>
    <w:rsid w:val="37986BB0"/>
    <w:rsid w:val="38CA40DD"/>
    <w:rsid w:val="395F2B56"/>
    <w:rsid w:val="3B325CAB"/>
    <w:rsid w:val="3BECE841"/>
    <w:rsid w:val="3EE80C29"/>
    <w:rsid w:val="3EED2569"/>
    <w:rsid w:val="3FF7797D"/>
    <w:rsid w:val="43B80D64"/>
    <w:rsid w:val="43BC04DA"/>
    <w:rsid w:val="441B2960"/>
    <w:rsid w:val="4D8E7C60"/>
    <w:rsid w:val="4FC41116"/>
    <w:rsid w:val="58AD21A2"/>
    <w:rsid w:val="59D116D8"/>
    <w:rsid w:val="5BFF6039"/>
    <w:rsid w:val="5C490FB1"/>
    <w:rsid w:val="5C7506CE"/>
    <w:rsid w:val="5C9801B1"/>
    <w:rsid w:val="5CCF6610"/>
    <w:rsid w:val="5D76A616"/>
    <w:rsid w:val="5D7F20B9"/>
    <w:rsid w:val="5DAC7D0E"/>
    <w:rsid w:val="5E5F1000"/>
    <w:rsid w:val="5F98B5AF"/>
    <w:rsid w:val="5FFE8511"/>
    <w:rsid w:val="5FFEACE2"/>
    <w:rsid w:val="60947AEA"/>
    <w:rsid w:val="616122B4"/>
    <w:rsid w:val="63942771"/>
    <w:rsid w:val="63D0156C"/>
    <w:rsid w:val="643EE26D"/>
    <w:rsid w:val="6D572E2F"/>
    <w:rsid w:val="6F5C41AC"/>
    <w:rsid w:val="6FAF6C78"/>
    <w:rsid w:val="701A1593"/>
    <w:rsid w:val="7317C656"/>
    <w:rsid w:val="734ED73F"/>
    <w:rsid w:val="75D55938"/>
    <w:rsid w:val="77FD8BE9"/>
    <w:rsid w:val="793C0810"/>
    <w:rsid w:val="79A9BD3F"/>
    <w:rsid w:val="7BFFFDD0"/>
    <w:rsid w:val="7C336E5F"/>
    <w:rsid w:val="7CC934A8"/>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1609</Words>
  <Characters>9175</Characters>
  <Lines>76</Lines>
  <Paragraphs>21</Paragraphs>
  <TotalTime>43</TotalTime>
  <ScaleCrop>false</ScaleCrop>
  <LinksUpToDate>false</LinksUpToDate>
  <CharactersWithSpaces>10763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2024-10-15T04:07:41Z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9FADC94094884B378F60710D3C9CDAD9_13</vt:lpwstr>
  </property>
</Properties>
</file>