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D761FF" w:rsidRDefault="00D761FF">
      <w:pPr>
        <w:rPr>
          <w:rFonts w:ascii="黑体" w:eastAsia="黑体" w:hAnsi="黑体" w:hint="eastAsia"/>
          <w:sz w:val="32"/>
          <w:szCs w:val="32"/>
        </w:rPr>
      </w:pPr>
    </w:p>
    <w:p w:rsidR="00D761FF" w:rsidRDefault="00D761FF">
      <w:pPr>
        <w:jc w:val="center"/>
        <w:rPr>
          <w:rFonts w:ascii="方正小标宋_GBK" w:eastAsia="方正小标宋_GBK" w:hAnsi="宋体" w:hint="eastAsia"/>
          <w:sz w:val="44"/>
          <w:szCs w:val="44"/>
        </w:rPr>
      </w:pPr>
    </w:p>
    <w:p w:rsidR="00D761FF" w:rsidRDefault="00000000">
      <w:pPr>
        <w:jc w:val="center"/>
        <w:rPr>
          <w:rFonts w:ascii="方正小标宋_GBK" w:eastAsia="方正小标宋_GBK" w:hAnsi="宋体" w:hint="eastAsia"/>
          <w:sz w:val="44"/>
          <w:szCs w:val="44"/>
        </w:rPr>
      </w:pPr>
      <w:r>
        <w:rPr>
          <w:rFonts w:ascii="方正小标宋_GBK" w:eastAsia="方正小标宋_GBK" w:hAnsi="宋体" w:hint="eastAsia"/>
          <w:sz w:val="44"/>
          <w:szCs w:val="44"/>
        </w:rPr>
        <w:t>奇台县项目代建管理局</w:t>
      </w:r>
    </w:p>
    <w:p w:rsidR="00D761FF" w:rsidRDefault="00000000">
      <w:pPr>
        <w:jc w:val="center"/>
        <w:rPr>
          <w:rFonts w:ascii="方正小标宋_GBK" w:eastAsia="方正小标宋_GBK" w:hAnsi="宋体" w:hint="eastAsia"/>
          <w:sz w:val="44"/>
          <w:szCs w:val="44"/>
        </w:rPr>
      </w:pPr>
      <w:r>
        <w:rPr>
          <w:rFonts w:ascii="方正小标宋_GBK" w:eastAsia="方正小标宋_GBK" w:hAnsi="宋体" w:hint="eastAsia"/>
          <w:sz w:val="44"/>
          <w:szCs w:val="44"/>
        </w:rPr>
        <w:t>2023年度部门决算</w:t>
      </w:r>
    </w:p>
    <w:p w:rsidR="00D761FF" w:rsidRDefault="00000000">
      <w:pPr>
        <w:jc w:val="center"/>
        <w:rPr>
          <w:rFonts w:ascii="方正小标宋_GBK" w:eastAsia="方正小标宋_GBK" w:hAnsi="宋体" w:hint="eastAsia"/>
          <w:sz w:val="44"/>
          <w:szCs w:val="44"/>
        </w:rPr>
      </w:pPr>
      <w:r>
        <w:rPr>
          <w:rFonts w:ascii="方正小标宋_GBK" w:eastAsia="方正小标宋_GBK" w:hAnsi="宋体" w:hint="eastAsia"/>
          <w:sz w:val="44"/>
          <w:szCs w:val="44"/>
        </w:rPr>
        <w:t>公开说明</w:t>
      </w:r>
    </w:p>
    <w:p w:rsidR="00D761FF" w:rsidRDefault="00000000">
      <w:pPr>
        <w:rPr>
          <w:rFonts w:ascii="方正小标宋_GBK" w:eastAsia="方正小标宋_GBK" w:hAnsi="宋体" w:hint="eastAsia"/>
          <w:sz w:val="44"/>
          <w:szCs w:val="44"/>
        </w:rPr>
      </w:pPr>
      <w:r>
        <w:rPr>
          <w:rFonts w:ascii="方正小标宋_GBK" w:eastAsia="方正小标宋_GBK" w:hAnsi="宋体" w:hint="eastAsia"/>
          <w:sz w:val="44"/>
          <w:szCs w:val="44"/>
        </w:rPr>
        <w:br w:type="page"/>
      </w:r>
    </w:p>
    <w:p w:rsidR="00D761FF" w:rsidRDefault="00000000">
      <w:pPr>
        <w:jc w:val="center"/>
        <w:rPr>
          <w:rFonts w:ascii="仿宋_GB2312" w:eastAsia="仿宋_GB2312" w:hAnsi="仿宋_GB2312" w:cs="仿宋_GB2312" w:hint="eastAsia"/>
          <w:bCs/>
          <w:kern w:val="0"/>
          <w:sz w:val="32"/>
          <w:szCs w:val="32"/>
        </w:rPr>
      </w:pPr>
      <w:r>
        <w:rPr>
          <w:rFonts w:ascii="仿宋_GB2312" w:eastAsia="仿宋_GB2312" w:hAnsi="仿宋_GB2312" w:cs="仿宋_GB2312" w:hint="eastAsia"/>
          <w:b/>
          <w:kern w:val="0"/>
          <w:sz w:val="36"/>
          <w:szCs w:val="36"/>
        </w:rPr>
        <w:lastRenderedPageBreak/>
        <w:t>目  录</w:t>
      </w:r>
    </w:p>
    <w:p w:rsidR="00D761FF" w:rsidRDefault="00000000">
      <w:pPr>
        <w:pStyle w:val="TOC1"/>
        <w:tabs>
          <w:tab w:val="right" w:pos="8306"/>
        </w:tabs>
        <w:rPr>
          <w:rFonts w:ascii="仿宋_GB2312" w:eastAsia="仿宋_GB2312" w:hAnsi="仿宋_GB2312" w:cs="仿宋_GB2312" w:hint="eastAsia"/>
          <w:b/>
          <w:bCs/>
          <w:sz w:val="32"/>
          <w:szCs w:val="32"/>
        </w:rPr>
      </w:pPr>
      <w:r>
        <w:rPr>
          <w:rFonts w:ascii="仿宋_GB2312" w:eastAsia="仿宋_GB2312" w:hAnsi="仿宋_GB2312" w:cs="仿宋_GB2312" w:hint="eastAsia"/>
          <w:sz w:val="32"/>
          <w:szCs w:val="32"/>
        </w:rPr>
        <w:fldChar w:fldCharType="begin"/>
      </w:r>
      <w:r>
        <w:rPr>
          <w:rFonts w:ascii="仿宋_GB2312" w:eastAsia="仿宋_GB2312" w:hAnsi="仿宋_GB2312" w:cs="仿宋_GB2312" w:hint="eastAsia"/>
          <w:sz w:val="32"/>
          <w:szCs w:val="32"/>
        </w:rPr>
        <w:instrText xml:space="preserve">TOC \o "1-3" \n  \h \u </w:instrText>
      </w:r>
      <w:r>
        <w:rPr>
          <w:rFonts w:ascii="仿宋_GB2312" w:eastAsia="仿宋_GB2312" w:hAnsi="仿宋_GB2312" w:cs="仿宋_GB2312" w:hint="eastAsia"/>
          <w:sz w:val="32"/>
          <w:szCs w:val="32"/>
        </w:rPr>
        <w:fldChar w:fldCharType="separate"/>
      </w:r>
      <w:hyperlink w:anchor="_Toc32314" w:history="1">
        <w:r>
          <w:rPr>
            <w:rFonts w:ascii="仿宋_GB2312" w:eastAsia="仿宋_GB2312" w:hAnsi="仿宋_GB2312" w:cs="仿宋_GB2312" w:hint="eastAsia"/>
            <w:b/>
            <w:bCs/>
            <w:sz w:val="32"/>
            <w:szCs w:val="32"/>
          </w:rPr>
          <w:t>第一部分 单位概况</w:t>
        </w:r>
      </w:hyperlink>
    </w:p>
    <w:p w:rsidR="00D761FF" w:rsidRDefault="00000000">
      <w:pPr>
        <w:pStyle w:val="TOC2"/>
        <w:tabs>
          <w:tab w:val="right" w:pos="8306"/>
        </w:tabs>
        <w:ind w:leftChars="0" w:left="0"/>
        <w:rPr>
          <w:rFonts w:ascii="仿宋_GB2312" w:eastAsia="仿宋_GB2312" w:hAnsi="仿宋_GB2312" w:cs="仿宋_GB2312" w:hint="eastAsia"/>
          <w:sz w:val="32"/>
          <w:szCs w:val="32"/>
        </w:rPr>
      </w:pPr>
      <w:hyperlink w:anchor="_Toc30567" w:history="1">
        <w:r>
          <w:rPr>
            <w:rFonts w:ascii="仿宋_GB2312" w:eastAsia="仿宋_GB2312" w:hAnsi="仿宋_GB2312" w:cs="仿宋_GB2312" w:hint="eastAsia"/>
            <w:bCs/>
            <w:kern w:val="0"/>
            <w:sz w:val="32"/>
            <w:szCs w:val="32"/>
          </w:rPr>
          <w:t>一、主要职能</w:t>
        </w:r>
      </w:hyperlink>
    </w:p>
    <w:p w:rsidR="00D761FF" w:rsidRDefault="00000000">
      <w:pPr>
        <w:pStyle w:val="TOC2"/>
        <w:tabs>
          <w:tab w:val="right" w:pos="8306"/>
        </w:tabs>
        <w:ind w:leftChars="0" w:left="0"/>
        <w:rPr>
          <w:rFonts w:ascii="仿宋_GB2312" w:eastAsia="仿宋_GB2312" w:hAnsi="仿宋_GB2312" w:cs="仿宋_GB2312" w:hint="eastAsia"/>
          <w:sz w:val="32"/>
          <w:szCs w:val="32"/>
        </w:rPr>
      </w:pPr>
      <w:hyperlink w:anchor="_Toc2151" w:history="1">
        <w:r>
          <w:rPr>
            <w:rFonts w:ascii="仿宋_GB2312" w:eastAsia="仿宋_GB2312" w:hAnsi="仿宋_GB2312" w:cs="仿宋_GB2312" w:hint="eastAsia"/>
            <w:bCs/>
            <w:kern w:val="0"/>
            <w:sz w:val="32"/>
            <w:szCs w:val="32"/>
          </w:rPr>
          <w:t>二、机构设置及人员情况</w:t>
        </w:r>
      </w:hyperlink>
    </w:p>
    <w:p w:rsidR="00D761FF" w:rsidRDefault="00000000">
      <w:pPr>
        <w:pStyle w:val="TOC1"/>
        <w:tabs>
          <w:tab w:val="right" w:pos="8306"/>
        </w:tabs>
        <w:rPr>
          <w:rFonts w:ascii="仿宋_GB2312" w:eastAsia="仿宋_GB2312" w:hAnsi="仿宋_GB2312" w:cs="仿宋_GB2312" w:hint="eastAsia"/>
          <w:b/>
          <w:bCs/>
          <w:sz w:val="32"/>
          <w:szCs w:val="32"/>
        </w:rPr>
      </w:pPr>
      <w:hyperlink w:anchor="_Toc29374" w:history="1">
        <w:r>
          <w:rPr>
            <w:rFonts w:ascii="仿宋_GB2312" w:eastAsia="仿宋_GB2312" w:hAnsi="仿宋_GB2312" w:cs="仿宋_GB2312" w:hint="eastAsia"/>
            <w:b/>
            <w:bCs/>
            <w:sz w:val="32"/>
            <w:szCs w:val="32"/>
          </w:rPr>
          <w:t>第二部分 部门决算情况说明</w:t>
        </w:r>
      </w:hyperlink>
    </w:p>
    <w:p w:rsidR="00D761FF" w:rsidRDefault="00000000">
      <w:pPr>
        <w:pStyle w:val="TOC2"/>
        <w:tabs>
          <w:tab w:val="right" w:pos="8306"/>
        </w:tabs>
        <w:ind w:leftChars="0" w:left="0"/>
        <w:rPr>
          <w:rFonts w:ascii="仿宋_GB2312" w:eastAsia="仿宋_GB2312" w:hAnsi="仿宋_GB2312" w:cs="仿宋_GB2312" w:hint="eastAsia"/>
          <w:sz w:val="32"/>
          <w:szCs w:val="32"/>
        </w:rPr>
      </w:pPr>
      <w:hyperlink w:anchor="_Toc25314" w:history="1">
        <w:r>
          <w:rPr>
            <w:rFonts w:ascii="仿宋_GB2312" w:eastAsia="仿宋_GB2312" w:hAnsi="仿宋_GB2312" w:cs="仿宋_GB2312" w:hint="eastAsia"/>
            <w:bCs/>
            <w:kern w:val="0"/>
            <w:sz w:val="32"/>
            <w:szCs w:val="32"/>
          </w:rPr>
          <w:t>一、收入支出决算总体情况说明</w:t>
        </w:r>
      </w:hyperlink>
    </w:p>
    <w:p w:rsidR="00D761FF" w:rsidRDefault="00000000">
      <w:pPr>
        <w:pStyle w:val="TOC2"/>
        <w:tabs>
          <w:tab w:val="right" w:pos="8306"/>
        </w:tabs>
        <w:ind w:leftChars="0" w:left="0"/>
        <w:rPr>
          <w:rFonts w:ascii="仿宋_GB2312" w:eastAsia="仿宋_GB2312" w:hAnsi="仿宋_GB2312" w:cs="仿宋_GB2312" w:hint="eastAsia"/>
          <w:sz w:val="32"/>
          <w:szCs w:val="32"/>
        </w:rPr>
      </w:pPr>
      <w:hyperlink w:anchor="_Toc12142" w:history="1">
        <w:r>
          <w:rPr>
            <w:rFonts w:ascii="仿宋_GB2312" w:eastAsia="仿宋_GB2312" w:hAnsi="仿宋_GB2312" w:cs="仿宋_GB2312" w:hint="eastAsia"/>
            <w:bCs/>
            <w:kern w:val="0"/>
            <w:sz w:val="32"/>
            <w:szCs w:val="32"/>
          </w:rPr>
          <w:t>二、收入决算情况说明</w:t>
        </w:r>
      </w:hyperlink>
    </w:p>
    <w:p w:rsidR="00D761FF" w:rsidRDefault="00000000">
      <w:pPr>
        <w:pStyle w:val="TOC2"/>
        <w:tabs>
          <w:tab w:val="right" w:pos="8306"/>
        </w:tabs>
        <w:ind w:leftChars="0" w:left="0"/>
        <w:rPr>
          <w:rFonts w:ascii="仿宋_GB2312" w:eastAsia="仿宋_GB2312" w:hAnsi="仿宋_GB2312" w:cs="仿宋_GB2312" w:hint="eastAsia"/>
          <w:sz w:val="32"/>
          <w:szCs w:val="32"/>
        </w:rPr>
      </w:pPr>
      <w:hyperlink w:anchor="_Toc13201" w:history="1">
        <w:r>
          <w:rPr>
            <w:rFonts w:ascii="仿宋_GB2312" w:eastAsia="仿宋_GB2312" w:hAnsi="仿宋_GB2312" w:cs="仿宋_GB2312" w:hint="eastAsia"/>
            <w:bCs/>
            <w:kern w:val="0"/>
            <w:sz w:val="32"/>
            <w:szCs w:val="32"/>
          </w:rPr>
          <w:t>三、支出决算情况说明</w:t>
        </w:r>
      </w:hyperlink>
    </w:p>
    <w:p w:rsidR="00D761FF" w:rsidRDefault="00000000">
      <w:pPr>
        <w:pStyle w:val="TOC2"/>
        <w:tabs>
          <w:tab w:val="right" w:pos="8306"/>
        </w:tabs>
        <w:ind w:leftChars="0" w:left="0"/>
        <w:rPr>
          <w:rFonts w:ascii="仿宋_GB2312" w:eastAsia="仿宋_GB2312" w:hAnsi="仿宋_GB2312" w:cs="仿宋_GB2312" w:hint="eastAsia"/>
          <w:sz w:val="32"/>
          <w:szCs w:val="32"/>
        </w:rPr>
      </w:pPr>
      <w:hyperlink w:anchor="_Toc26564" w:history="1">
        <w:r>
          <w:rPr>
            <w:rFonts w:ascii="仿宋_GB2312" w:eastAsia="仿宋_GB2312" w:hAnsi="仿宋_GB2312" w:cs="仿宋_GB2312" w:hint="eastAsia"/>
            <w:bCs/>
            <w:kern w:val="0"/>
            <w:sz w:val="32"/>
            <w:szCs w:val="32"/>
          </w:rPr>
          <w:t>四、财政拨款收入支出决算总体情况说明</w:t>
        </w:r>
      </w:hyperlink>
    </w:p>
    <w:p w:rsidR="00D761FF" w:rsidRDefault="00000000">
      <w:pPr>
        <w:pStyle w:val="TOC2"/>
        <w:tabs>
          <w:tab w:val="right" w:pos="8306"/>
        </w:tabs>
        <w:ind w:leftChars="0" w:left="0"/>
        <w:rPr>
          <w:rFonts w:ascii="仿宋_GB2312" w:eastAsia="仿宋_GB2312" w:hAnsi="仿宋_GB2312" w:cs="仿宋_GB2312" w:hint="eastAsia"/>
          <w:sz w:val="32"/>
          <w:szCs w:val="32"/>
        </w:rPr>
      </w:pPr>
      <w:hyperlink w:anchor="_Toc20360" w:history="1">
        <w:r>
          <w:rPr>
            <w:rFonts w:ascii="仿宋_GB2312" w:eastAsia="仿宋_GB2312" w:hAnsi="仿宋_GB2312" w:cs="仿宋_GB2312" w:hint="eastAsia"/>
            <w:bCs/>
            <w:kern w:val="0"/>
            <w:sz w:val="32"/>
            <w:szCs w:val="32"/>
          </w:rPr>
          <w:t>五、一般公共预算财政拨款支出决算情况说明</w:t>
        </w:r>
      </w:hyperlink>
    </w:p>
    <w:p w:rsidR="00D761FF" w:rsidRDefault="00000000">
      <w:pPr>
        <w:pStyle w:val="TOC2"/>
        <w:tabs>
          <w:tab w:val="right" w:pos="8306"/>
        </w:tabs>
        <w:ind w:leftChars="0" w:left="0"/>
        <w:rPr>
          <w:rFonts w:ascii="仿宋_GB2312" w:eastAsia="仿宋_GB2312" w:hAnsi="仿宋_GB2312" w:cs="仿宋_GB2312" w:hint="eastAsia"/>
          <w:sz w:val="32"/>
          <w:szCs w:val="32"/>
        </w:rPr>
      </w:pPr>
      <w:hyperlink w:anchor="_Toc30870" w:history="1">
        <w:r>
          <w:rPr>
            <w:rFonts w:ascii="仿宋_GB2312" w:eastAsia="仿宋_GB2312" w:hAnsi="仿宋_GB2312" w:cs="仿宋_GB2312" w:hint="eastAsia"/>
            <w:bCs/>
            <w:kern w:val="0"/>
            <w:sz w:val="32"/>
            <w:szCs w:val="32"/>
          </w:rPr>
          <w:t>六、一般公共预算财政拨款基本支出决算情况说明</w:t>
        </w:r>
      </w:hyperlink>
    </w:p>
    <w:p w:rsidR="00D761FF" w:rsidRDefault="00000000">
      <w:pPr>
        <w:pStyle w:val="TOC2"/>
        <w:tabs>
          <w:tab w:val="right" w:pos="8306"/>
        </w:tabs>
        <w:ind w:leftChars="0" w:left="0"/>
        <w:rPr>
          <w:rFonts w:ascii="仿宋_GB2312" w:eastAsia="仿宋_GB2312" w:hAnsi="仿宋_GB2312" w:cs="仿宋_GB2312" w:hint="eastAsia"/>
          <w:sz w:val="32"/>
          <w:szCs w:val="32"/>
        </w:rPr>
      </w:pPr>
      <w:hyperlink w:anchor="_Toc21518" w:history="1">
        <w:r>
          <w:rPr>
            <w:rFonts w:ascii="仿宋_GB2312" w:eastAsia="仿宋_GB2312" w:hAnsi="仿宋_GB2312" w:cs="仿宋_GB2312" w:hint="eastAsia"/>
            <w:bCs/>
            <w:kern w:val="0"/>
            <w:sz w:val="32"/>
            <w:szCs w:val="32"/>
          </w:rPr>
          <w:t>七、财政拨款“三公”经费支出决算情况说明</w:t>
        </w:r>
      </w:hyperlink>
    </w:p>
    <w:p w:rsidR="00D761FF" w:rsidRDefault="00000000">
      <w:pPr>
        <w:pStyle w:val="TOC2"/>
        <w:tabs>
          <w:tab w:val="right" w:pos="8306"/>
        </w:tabs>
        <w:ind w:leftChars="0" w:left="0"/>
        <w:rPr>
          <w:rFonts w:ascii="仿宋_GB2312" w:eastAsia="仿宋_GB2312" w:hAnsi="仿宋_GB2312" w:cs="仿宋_GB2312" w:hint="eastAsia"/>
          <w:sz w:val="32"/>
          <w:szCs w:val="32"/>
        </w:rPr>
      </w:pPr>
      <w:hyperlink w:anchor="_Toc5810" w:history="1">
        <w:r>
          <w:rPr>
            <w:rFonts w:ascii="仿宋_GB2312" w:eastAsia="仿宋_GB2312" w:hAnsi="仿宋_GB2312" w:cs="仿宋_GB2312" w:hint="eastAsia"/>
            <w:bCs/>
            <w:kern w:val="0"/>
            <w:sz w:val="32"/>
            <w:szCs w:val="32"/>
          </w:rPr>
          <w:t>八、政府性基金预算财政拨款收入支出决算情况说明</w:t>
        </w:r>
      </w:hyperlink>
    </w:p>
    <w:p w:rsidR="00D761FF" w:rsidRDefault="00000000">
      <w:hyperlink w:anchor="_Toc5810" w:history="1">
        <w:r>
          <w:rPr>
            <w:rFonts w:ascii="仿宋_GB2312" w:eastAsia="仿宋_GB2312" w:hAnsi="仿宋_GB2312" w:cs="仿宋_GB2312" w:hint="eastAsia"/>
            <w:bCs/>
            <w:kern w:val="0"/>
            <w:sz w:val="32"/>
            <w:szCs w:val="32"/>
          </w:rPr>
          <w:t>九、国有资本经营预算财政拨款收入支出决算情况说明</w:t>
        </w:r>
      </w:hyperlink>
    </w:p>
    <w:p w:rsidR="00D761FF" w:rsidRDefault="00000000">
      <w:pPr>
        <w:pStyle w:val="TOC2"/>
        <w:tabs>
          <w:tab w:val="right" w:pos="8306"/>
        </w:tabs>
        <w:ind w:leftChars="0" w:left="0"/>
        <w:rPr>
          <w:rFonts w:ascii="仿宋_GB2312" w:eastAsia="仿宋_GB2312" w:hAnsi="仿宋_GB2312" w:cs="仿宋_GB2312" w:hint="eastAsia"/>
          <w:sz w:val="32"/>
          <w:szCs w:val="32"/>
        </w:rPr>
      </w:pPr>
      <w:hyperlink w:anchor="_Toc1235" w:history="1">
        <w:r>
          <w:rPr>
            <w:rFonts w:ascii="仿宋_GB2312" w:eastAsia="仿宋_GB2312" w:hAnsi="仿宋_GB2312" w:cs="仿宋_GB2312" w:hint="eastAsia"/>
            <w:sz w:val="32"/>
            <w:szCs w:val="32"/>
          </w:rPr>
          <w:t>十</w:t>
        </w:r>
        <w:r>
          <w:rPr>
            <w:rFonts w:ascii="仿宋_GB2312" w:eastAsia="仿宋_GB2312" w:hAnsi="仿宋_GB2312" w:cs="仿宋_GB2312" w:hint="eastAsia"/>
            <w:bCs/>
            <w:kern w:val="0"/>
            <w:sz w:val="32"/>
            <w:szCs w:val="32"/>
          </w:rPr>
          <w:t>、其他重要事项的情况说明</w:t>
        </w:r>
      </w:hyperlink>
    </w:p>
    <w:p w:rsidR="00D761FF" w:rsidRDefault="00000000">
      <w:pPr>
        <w:pStyle w:val="TOC3"/>
        <w:tabs>
          <w:tab w:val="right" w:pos="8306"/>
        </w:tabs>
        <w:ind w:leftChars="0" w:left="0"/>
        <w:rPr>
          <w:rFonts w:ascii="仿宋_GB2312" w:eastAsia="仿宋_GB2312" w:hAnsi="仿宋_GB2312" w:cs="仿宋_GB2312" w:hint="eastAsia"/>
          <w:sz w:val="32"/>
          <w:szCs w:val="32"/>
        </w:rPr>
      </w:pPr>
      <w:hyperlink w:anchor="_Toc14519" w:history="1">
        <w:r>
          <w:rPr>
            <w:rFonts w:ascii="仿宋_GB2312" w:eastAsia="仿宋_GB2312" w:hAnsi="仿宋_GB2312" w:cs="仿宋_GB2312" w:hint="eastAsia"/>
            <w:sz w:val="32"/>
            <w:szCs w:val="32"/>
          </w:rPr>
          <w:t>（一）机关运行经费支出情况</w:t>
        </w:r>
      </w:hyperlink>
    </w:p>
    <w:p w:rsidR="00D761FF" w:rsidRDefault="00000000">
      <w:pPr>
        <w:pStyle w:val="TOC3"/>
        <w:tabs>
          <w:tab w:val="right" w:pos="8306"/>
        </w:tabs>
        <w:ind w:leftChars="0" w:left="0"/>
        <w:rPr>
          <w:rFonts w:ascii="仿宋_GB2312" w:eastAsia="仿宋_GB2312" w:hAnsi="仿宋_GB2312" w:cs="仿宋_GB2312" w:hint="eastAsia"/>
          <w:sz w:val="32"/>
          <w:szCs w:val="32"/>
        </w:rPr>
      </w:pPr>
      <w:hyperlink w:anchor="_Toc227" w:history="1">
        <w:r>
          <w:rPr>
            <w:rFonts w:ascii="仿宋_GB2312" w:eastAsia="仿宋_GB2312" w:hAnsi="仿宋_GB2312" w:cs="仿宋_GB2312" w:hint="eastAsia"/>
            <w:sz w:val="32"/>
            <w:szCs w:val="32"/>
          </w:rPr>
          <w:t>（二）政府采购情况</w:t>
        </w:r>
      </w:hyperlink>
    </w:p>
    <w:p w:rsidR="00D761FF" w:rsidRDefault="00000000">
      <w:pPr>
        <w:pStyle w:val="TOC3"/>
        <w:tabs>
          <w:tab w:val="right" w:pos="8306"/>
        </w:tabs>
        <w:ind w:leftChars="0" w:left="0"/>
        <w:rPr>
          <w:rFonts w:ascii="仿宋_GB2312" w:eastAsia="仿宋_GB2312" w:hAnsi="仿宋_GB2312" w:cs="仿宋_GB2312" w:hint="eastAsia"/>
          <w:sz w:val="32"/>
          <w:szCs w:val="32"/>
        </w:rPr>
      </w:pPr>
      <w:hyperlink w:anchor="_Toc8391" w:history="1">
        <w:r>
          <w:rPr>
            <w:rFonts w:ascii="仿宋_GB2312" w:eastAsia="仿宋_GB2312" w:hAnsi="仿宋_GB2312" w:cs="仿宋_GB2312" w:hint="eastAsia"/>
            <w:sz w:val="32"/>
            <w:szCs w:val="32"/>
          </w:rPr>
          <w:t>（三）国有资产占用情况说明</w:t>
        </w:r>
      </w:hyperlink>
    </w:p>
    <w:p w:rsidR="00D761FF" w:rsidRDefault="00000000">
      <w:pPr>
        <w:pStyle w:val="TOC2"/>
        <w:tabs>
          <w:tab w:val="right" w:pos="8306"/>
        </w:tabs>
        <w:ind w:leftChars="0" w:left="0"/>
        <w:rPr>
          <w:rFonts w:ascii="仿宋_GB2312" w:eastAsia="仿宋_GB2312" w:hAnsi="仿宋_GB2312" w:cs="仿宋_GB2312" w:hint="eastAsia"/>
          <w:sz w:val="32"/>
          <w:szCs w:val="32"/>
        </w:rPr>
      </w:pPr>
      <w:hyperlink w:anchor="_Toc11283" w:history="1">
        <w:r>
          <w:rPr>
            <w:rFonts w:ascii="仿宋_GB2312" w:eastAsia="仿宋_GB2312" w:hAnsi="仿宋_GB2312" w:cs="仿宋_GB2312" w:hint="eastAsia"/>
            <w:bCs/>
            <w:kern w:val="0"/>
            <w:sz w:val="32"/>
            <w:szCs w:val="32"/>
          </w:rPr>
          <w:t>十一、预算绩效的情况说明</w:t>
        </w:r>
      </w:hyperlink>
    </w:p>
    <w:p w:rsidR="00D761FF" w:rsidRDefault="00000000">
      <w:pPr>
        <w:pStyle w:val="TOC2"/>
        <w:tabs>
          <w:tab w:val="right" w:pos="8306"/>
        </w:tabs>
        <w:ind w:leftChars="0" w:left="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十二、其他需说明的事项</w:t>
      </w:r>
    </w:p>
    <w:p w:rsidR="00D761FF" w:rsidRDefault="00000000">
      <w:pPr>
        <w:pStyle w:val="TOC1"/>
        <w:tabs>
          <w:tab w:val="right" w:pos="8306"/>
        </w:tabs>
        <w:rPr>
          <w:rFonts w:ascii="仿宋_GB2312" w:eastAsia="仿宋_GB2312" w:hAnsi="仿宋_GB2312" w:cs="仿宋_GB2312" w:hint="eastAsia"/>
          <w:b/>
          <w:bCs/>
          <w:sz w:val="32"/>
          <w:szCs w:val="32"/>
        </w:rPr>
      </w:pPr>
      <w:hyperlink w:anchor="_Toc3250" w:history="1">
        <w:r>
          <w:rPr>
            <w:rFonts w:ascii="仿宋_GB2312" w:eastAsia="仿宋_GB2312" w:hAnsi="仿宋_GB2312" w:cs="仿宋_GB2312" w:hint="eastAsia"/>
            <w:b/>
            <w:bCs/>
            <w:sz w:val="32"/>
            <w:szCs w:val="32"/>
          </w:rPr>
          <w:t>第三部分 专业名词解释</w:t>
        </w:r>
      </w:hyperlink>
    </w:p>
    <w:p w:rsidR="00D761FF" w:rsidRDefault="00000000">
      <w:pPr>
        <w:pStyle w:val="TOC1"/>
        <w:tabs>
          <w:tab w:val="right" w:pos="8306"/>
        </w:tabs>
        <w:rPr>
          <w:rFonts w:ascii="仿宋_GB2312" w:eastAsia="仿宋_GB2312" w:hAnsi="仿宋_GB2312" w:cs="仿宋_GB2312" w:hint="eastAsia"/>
          <w:b/>
          <w:bCs/>
          <w:sz w:val="32"/>
          <w:szCs w:val="32"/>
        </w:rPr>
      </w:pPr>
      <w:hyperlink w:anchor="_Toc22784" w:history="1">
        <w:r>
          <w:rPr>
            <w:rFonts w:ascii="仿宋_GB2312" w:eastAsia="仿宋_GB2312" w:hAnsi="仿宋_GB2312" w:cs="仿宋_GB2312" w:hint="eastAsia"/>
            <w:b/>
            <w:bCs/>
            <w:sz w:val="32"/>
            <w:szCs w:val="32"/>
          </w:rPr>
          <w:t>第四部分 部门决算报表（见附表）</w:t>
        </w:r>
      </w:hyperlink>
    </w:p>
    <w:p w:rsidR="00D761FF" w:rsidRDefault="00000000">
      <w:pPr>
        <w:pStyle w:val="TOC2"/>
        <w:tabs>
          <w:tab w:val="right" w:pos="8306"/>
        </w:tabs>
        <w:ind w:leftChars="0" w:left="0"/>
        <w:rPr>
          <w:rFonts w:ascii="仿宋_GB2312" w:eastAsia="仿宋_GB2312" w:hAnsi="仿宋_GB2312" w:cs="仿宋_GB2312" w:hint="eastAsia"/>
          <w:sz w:val="32"/>
          <w:szCs w:val="32"/>
        </w:rPr>
      </w:pPr>
      <w:hyperlink w:anchor="_Toc2183" w:history="1">
        <w:r>
          <w:rPr>
            <w:rFonts w:ascii="仿宋_GB2312" w:eastAsia="仿宋_GB2312" w:hAnsi="仿宋_GB2312" w:cs="仿宋_GB2312" w:hint="eastAsia"/>
            <w:bCs/>
            <w:kern w:val="0"/>
            <w:sz w:val="32"/>
            <w:szCs w:val="32"/>
          </w:rPr>
          <w:t>一、《收入支出决算总表》</w:t>
        </w:r>
      </w:hyperlink>
    </w:p>
    <w:p w:rsidR="00D761FF" w:rsidRDefault="00000000">
      <w:pPr>
        <w:pStyle w:val="TOC2"/>
        <w:tabs>
          <w:tab w:val="right" w:pos="8306"/>
        </w:tabs>
        <w:ind w:leftChars="0" w:left="0"/>
        <w:rPr>
          <w:rFonts w:ascii="仿宋_GB2312" w:eastAsia="仿宋_GB2312" w:hAnsi="仿宋_GB2312" w:cs="仿宋_GB2312" w:hint="eastAsia"/>
          <w:sz w:val="32"/>
          <w:szCs w:val="32"/>
        </w:rPr>
      </w:pPr>
      <w:hyperlink w:anchor="_Toc24532" w:history="1">
        <w:r>
          <w:rPr>
            <w:rFonts w:ascii="仿宋_GB2312" w:eastAsia="仿宋_GB2312" w:hAnsi="仿宋_GB2312" w:cs="仿宋_GB2312" w:hint="eastAsia"/>
            <w:bCs/>
            <w:kern w:val="0"/>
            <w:sz w:val="32"/>
            <w:szCs w:val="32"/>
          </w:rPr>
          <w:t>二、《收入决算表》</w:t>
        </w:r>
      </w:hyperlink>
    </w:p>
    <w:p w:rsidR="00D761FF" w:rsidRDefault="00000000">
      <w:pPr>
        <w:pStyle w:val="TOC2"/>
        <w:tabs>
          <w:tab w:val="right" w:pos="8306"/>
        </w:tabs>
        <w:ind w:leftChars="0" w:left="0"/>
        <w:rPr>
          <w:rFonts w:ascii="仿宋_GB2312" w:eastAsia="仿宋_GB2312" w:hAnsi="仿宋_GB2312" w:cs="仿宋_GB2312" w:hint="eastAsia"/>
          <w:sz w:val="32"/>
          <w:szCs w:val="32"/>
        </w:rPr>
      </w:pPr>
      <w:hyperlink w:anchor="_Toc32434" w:history="1">
        <w:r>
          <w:rPr>
            <w:rFonts w:ascii="仿宋_GB2312" w:eastAsia="仿宋_GB2312" w:hAnsi="仿宋_GB2312" w:cs="仿宋_GB2312" w:hint="eastAsia"/>
            <w:bCs/>
            <w:kern w:val="0"/>
            <w:sz w:val="32"/>
            <w:szCs w:val="32"/>
          </w:rPr>
          <w:t>三、《支出决算表》</w:t>
        </w:r>
      </w:hyperlink>
    </w:p>
    <w:p w:rsidR="00D761FF" w:rsidRDefault="00000000">
      <w:pPr>
        <w:pStyle w:val="TOC2"/>
        <w:tabs>
          <w:tab w:val="right" w:pos="8306"/>
        </w:tabs>
        <w:ind w:leftChars="0" w:left="0"/>
        <w:rPr>
          <w:rFonts w:ascii="仿宋_GB2312" w:eastAsia="仿宋_GB2312" w:hAnsi="仿宋_GB2312" w:cs="仿宋_GB2312" w:hint="eastAsia"/>
          <w:sz w:val="32"/>
          <w:szCs w:val="32"/>
        </w:rPr>
      </w:pPr>
      <w:hyperlink w:anchor="_Toc28786" w:history="1">
        <w:r>
          <w:rPr>
            <w:rFonts w:ascii="仿宋_GB2312" w:eastAsia="仿宋_GB2312" w:hAnsi="仿宋_GB2312" w:cs="仿宋_GB2312" w:hint="eastAsia"/>
            <w:bCs/>
            <w:kern w:val="0"/>
            <w:sz w:val="32"/>
            <w:szCs w:val="32"/>
          </w:rPr>
          <w:t>四、《财政拨款收入支出决算总表》</w:t>
        </w:r>
      </w:hyperlink>
    </w:p>
    <w:p w:rsidR="00D761FF" w:rsidRDefault="00000000">
      <w:pPr>
        <w:pStyle w:val="TOC2"/>
        <w:tabs>
          <w:tab w:val="right" w:pos="8306"/>
        </w:tabs>
        <w:ind w:leftChars="0" w:left="0"/>
        <w:rPr>
          <w:rFonts w:ascii="仿宋_GB2312" w:eastAsia="仿宋_GB2312" w:hAnsi="仿宋_GB2312" w:cs="仿宋_GB2312" w:hint="eastAsia"/>
          <w:sz w:val="32"/>
          <w:szCs w:val="32"/>
        </w:rPr>
      </w:pPr>
      <w:hyperlink w:anchor="_Toc14869" w:history="1">
        <w:r>
          <w:rPr>
            <w:rFonts w:ascii="仿宋_GB2312" w:eastAsia="仿宋_GB2312" w:hAnsi="仿宋_GB2312" w:cs="仿宋_GB2312" w:hint="eastAsia"/>
            <w:bCs/>
            <w:kern w:val="0"/>
            <w:sz w:val="32"/>
            <w:szCs w:val="32"/>
          </w:rPr>
          <w:t>五、《一般公共预算财政拨款支出决算表》</w:t>
        </w:r>
      </w:hyperlink>
    </w:p>
    <w:p w:rsidR="00D761FF" w:rsidRDefault="00000000">
      <w:pPr>
        <w:pStyle w:val="TOC2"/>
        <w:tabs>
          <w:tab w:val="right" w:pos="8306"/>
        </w:tabs>
        <w:ind w:leftChars="0" w:left="0"/>
        <w:rPr>
          <w:rFonts w:ascii="仿宋_GB2312" w:eastAsia="仿宋_GB2312" w:hAnsi="仿宋_GB2312" w:cs="仿宋_GB2312" w:hint="eastAsia"/>
          <w:sz w:val="32"/>
          <w:szCs w:val="32"/>
        </w:rPr>
      </w:pPr>
      <w:hyperlink w:anchor="_Toc8884" w:history="1">
        <w:r>
          <w:rPr>
            <w:rFonts w:ascii="仿宋_GB2312" w:eastAsia="仿宋_GB2312" w:hAnsi="仿宋_GB2312" w:cs="仿宋_GB2312" w:hint="eastAsia"/>
            <w:bCs/>
            <w:kern w:val="0"/>
            <w:sz w:val="32"/>
            <w:szCs w:val="32"/>
          </w:rPr>
          <w:t>六、《一般公共预算财政拨款基本支出决算表》</w:t>
        </w:r>
      </w:hyperlink>
    </w:p>
    <w:p w:rsidR="00D761FF" w:rsidRDefault="00000000">
      <w:pPr>
        <w:pStyle w:val="TOC2"/>
        <w:tabs>
          <w:tab w:val="right" w:pos="8306"/>
        </w:tabs>
        <w:ind w:leftChars="0" w:left="0"/>
        <w:rPr>
          <w:rFonts w:ascii="仿宋_GB2312" w:eastAsia="仿宋_GB2312" w:hAnsi="仿宋_GB2312" w:cs="仿宋_GB2312" w:hint="eastAsia"/>
          <w:sz w:val="32"/>
          <w:szCs w:val="32"/>
        </w:rPr>
      </w:pPr>
      <w:hyperlink w:anchor="_Toc29106" w:history="1">
        <w:r>
          <w:rPr>
            <w:rFonts w:ascii="仿宋_GB2312" w:eastAsia="仿宋_GB2312" w:hAnsi="仿宋_GB2312" w:cs="仿宋_GB2312" w:hint="eastAsia"/>
            <w:bCs/>
            <w:kern w:val="0"/>
            <w:sz w:val="32"/>
            <w:szCs w:val="32"/>
          </w:rPr>
          <w:t>七、《财政拨款“三公”经费支出决算表》</w:t>
        </w:r>
      </w:hyperlink>
    </w:p>
    <w:p w:rsidR="00D761FF" w:rsidRDefault="00000000">
      <w:pPr>
        <w:pStyle w:val="TOC2"/>
        <w:tabs>
          <w:tab w:val="right" w:pos="8306"/>
        </w:tabs>
        <w:ind w:leftChars="0" w:left="0"/>
        <w:rPr>
          <w:rFonts w:ascii="仿宋_GB2312" w:eastAsia="仿宋_GB2312" w:hAnsi="仿宋_GB2312" w:cs="仿宋_GB2312" w:hint="eastAsia"/>
          <w:bCs/>
          <w:kern w:val="0"/>
          <w:sz w:val="32"/>
          <w:szCs w:val="32"/>
        </w:rPr>
      </w:pPr>
      <w:hyperlink w:anchor="_Toc7643" w:history="1">
        <w:r>
          <w:rPr>
            <w:rFonts w:ascii="仿宋_GB2312" w:eastAsia="仿宋_GB2312" w:hAnsi="仿宋_GB2312" w:cs="仿宋_GB2312" w:hint="eastAsia"/>
            <w:bCs/>
            <w:kern w:val="0"/>
            <w:sz w:val="32"/>
            <w:szCs w:val="32"/>
          </w:rPr>
          <w:t>八、《政府性基金预算财政拨款收入支出决算表》</w:t>
        </w:r>
      </w:hyperlink>
    </w:p>
    <w:p w:rsidR="00D761FF" w:rsidRDefault="00000000">
      <w:pPr>
        <w:pStyle w:val="TOC2"/>
        <w:tabs>
          <w:tab w:val="right" w:pos="8306"/>
        </w:tabs>
        <w:ind w:leftChars="0" w:left="0"/>
        <w:rPr>
          <w:rFonts w:ascii="仿宋_GB2312" w:eastAsia="仿宋_GB2312" w:hAnsi="仿宋_GB2312" w:cs="仿宋_GB2312" w:hint="eastAsia"/>
          <w:bCs/>
          <w:kern w:val="0"/>
          <w:sz w:val="32"/>
          <w:szCs w:val="32"/>
        </w:rPr>
      </w:pPr>
      <w:r>
        <w:rPr>
          <w:rFonts w:ascii="仿宋_GB2312" w:eastAsia="仿宋_GB2312" w:hAnsi="仿宋_GB2312" w:cs="仿宋_GB2312" w:hint="eastAsia"/>
          <w:bCs/>
          <w:kern w:val="0"/>
          <w:sz w:val="32"/>
          <w:szCs w:val="32"/>
        </w:rPr>
        <w:t>九、《国有资本经营预算财政拨款收入支出决算表》</w:t>
      </w:r>
    </w:p>
    <w:p w:rsidR="00D761FF" w:rsidRDefault="00000000">
      <w:r>
        <w:rPr>
          <w:rFonts w:ascii="仿宋_GB2312" w:eastAsia="仿宋_GB2312" w:hAnsi="仿宋_GB2312" w:cs="仿宋_GB2312" w:hint="eastAsia"/>
          <w:sz w:val="32"/>
          <w:szCs w:val="32"/>
        </w:rPr>
        <w:fldChar w:fldCharType="end"/>
      </w:r>
    </w:p>
    <w:p w:rsidR="00D761FF" w:rsidRDefault="00000000">
      <w:pPr>
        <w:rPr>
          <w:rFonts w:ascii="仿宋_GB2312" w:eastAsia="仿宋_GB2312"/>
          <w:sz w:val="32"/>
          <w:szCs w:val="32"/>
        </w:rPr>
      </w:pPr>
      <w:r>
        <w:rPr>
          <w:rFonts w:ascii="仿宋_GB2312" w:eastAsia="仿宋_GB2312" w:hint="eastAsia"/>
          <w:sz w:val="32"/>
          <w:szCs w:val="32"/>
        </w:rPr>
        <w:br w:type="page"/>
      </w:r>
    </w:p>
    <w:p w:rsidR="00D761FF" w:rsidRDefault="00000000">
      <w:pPr>
        <w:jc w:val="center"/>
        <w:outlineLvl w:val="0"/>
        <w:rPr>
          <w:rFonts w:ascii="黑体" w:eastAsia="黑体" w:hAnsi="黑体" w:hint="eastAsia"/>
          <w:sz w:val="32"/>
          <w:szCs w:val="32"/>
        </w:rPr>
      </w:pPr>
      <w:bookmarkStart w:id="0" w:name="_Toc24028"/>
      <w:bookmarkStart w:id="1" w:name="_Toc32314"/>
      <w:r>
        <w:rPr>
          <w:rFonts w:ascii="黑体" w:eastAsia="黑体" w:hAnsi="黑体" w:hint="eastAsia"/>
          <w:sz w:val="32"/>
          <w:szCs w:val="32"/>
        </w:rPr>
        <w:lastRenderedPageBreak/>
        <w:t>第一部分 单位概况</w:t>
      </w:r>
      <w:bookmarkEnd w:id="0"/>
      <w:bookmarkEnd w:id="1"/>
    </w:p>
    <w:p w:rsidR="00D761FF" w:rsidRDefault="00000000">
      <w:pPr>
        <w:ind w:firstLineChars="200" w:firstLine="640"/>
        <w:outlineLvl w:val="1"/>
        <w:rPr>
          <w:rFonts w:ascii="黑体" w:eastAsia="黑体" w:hAnsi="黑体" w:cs="宋体" w:hint="eastAsia"/>
          <w:bCs/>
          <w:kern w:val="0"/>
          <w:sz w:val="32"/>
          <w:szCs w:val="32"/>
        </w:rPr>
      </w:pPr>
      <w:bookmarkStart w:id="2" w:name="_Toc30738"/>
      <w:bookmarkStart w:id="3" w:name="_Toc30567"/>
      <w:r>
        <w:rPr>
          <w:rFonts w:ascii="黑体" w:eastAsia="黑体" w:hAnsi="黑体" w:cs="宋体" w:hint="eastAsia"/>
          <w:bCs/>
          <w:kern w:val="0"/>
          <w:sz w:val="32"/>
          <w:szCs w:val="32"/>
        </w:rPr>
        <w:t>一、主要职能</w:t>
      </w:r>
      <w:bookmarkEnd w:id="2"/>
      <w:bookmarkEnd w:id="3"/>
    </w:p>
    <w:p w:rsidR="00D761FF" w:rsidRDefault="00000000">
      <w:pPr>
        <w:ind w:firstLineChars="200" w:firstLine="640"/>
        <w:jc w:val="left"/>
        <w:rPr>
          <w:rFonts w:ascii="仿宋_GB2312" w:eastAsia="仿宋_GB2312"/>
          <w:sz w:val="32"/>
          <w:szCs w:val="32"/>
        </w:rPr>
      </w:pPr>
      <w:r>
        <w:rPr>
          <w:rFonts w:ascii="仿宋_GB2312" w:eastAsia="仿宋_GB2312" w:hint="eastAsia"/>
          <w:sz w:val="32"/>
          <w:szCs w:val="32"/>
        </w:rPr>
        <w:t>昌吉州奇台县项目代建管理局负责政府投资建设的非经营性工程项目代建全过程的管理。</w:t>
      </w:r>
    </w:p>
    <w:p w:rsidR="00D761FF" w:rsidRDefault="00000000">
      <w:pPr>
        <w:ind w:firstLineChars="200" w:firstLine="640"/>
        <w:jc w:val="left"/>
        <w:rPr>
          <w:rFonts w:ascii="仿宋_GB2312" w:eastAsia="仿宋_GB2312"/>
          <w:sz w:val="32"/>
          <w:szCs w:val="32"/>
        </w:rPr>
      </w:pPr>
      <w:r>
        <w:rPr>
          <w:rFonts w:ascii="仿宋_GB2312" w:eastAsia="仿宋_GB2312" w:hint="eastAsia"/>
          <w:sz w:val="32"/>
          <w:szCs w:val="32"/>
        </w:rPr>
        <w:t>主要职责是:依据批准的政府投资建设项目立项批复，组织开展项目规划、勘察设计编制工作，办理项目建设前期各项手续；组织编制项目预算，按规定程序报批后申请拨款;组织工程施工、监理和设备、材料采购招标工作并签订合同;负责对建设项目工程质量、安全生产实行管理;负责编制项目竣工决算，组织项目竣工验收;负责向使用单位移交工程建设资料、档案，并办理资产移交手续。</w:t>
      </w:r>
    </w:p>
    <w:p w:rsidR="00D761FF" w:rsidRDefault="00000000">
      <w:pPr>
        <w:ind w:firstLineChars="200" w:firstLine="640"/>
        <w:jc w:val="left"/>
        <w:rPr>
          <w:rFonts w:ascii="仿宋_GB2312" w:eastAsia="仿宋_GB2312"/>
          <w:sz w:val="32"/>
          <w:szCs w:val="32"/>
        </w:rPr>
      </w:pPr>
      <w:r>
        <w:rPr>
          <w:rFonts w:ascii="仿宋_GB2312" w:eastAsia="仿宋_GB2312" w:hint="eastAsia"/>
          <w:sz w:val="32"/>
          <w:szCs w:val="32"/>
        </w:rPr>
        <w:t>承办县委、县政府交办的其他事项。</w:t>
      </w:r>
    </w:p>
    <w:p w:rsidR="00D761FF" w:rsidRDefault="00000000">
      <w:pPr>
        <w:ind w:firstLineChars="200" w:firstLine="640"/>
        <w:outlineLvl w:val="1"/>
        <w:rPr>
          <w:rFonts w:ascii="黑体" w:eastAsia="黑体" w:hAnsi="黑体" w:cs="宋体" w:hint="eastAsia"/>
          <w:bCs/>
          <w:kern w:val="0"/>
          <w:sz w:val="32"/>
          <w:szCs w:val="32"/>
        </w:rPr>
      </w:pPr>
      <w:bookmarkStart w:id="4" w:name="_Toc31238"/>
      <w:bookmarkStart w:id="5" w:name="_Toc2151"/>
      <w:r>
        <w:rPr>
          <w:rFonts w:ascii="黑体" w:eastAsia="黑体" w:hAnsi="黑体" w:cs="宋体" w:hint="eastAsia"/>
          <w:bCs/>
          <w:kern w:val="0"/>
          <w:sz w:val="32"/>
          <w:szCs w:val="32"/>
        </w:rPr>
        <w:t>二、机构设置及</w:t>
      </w:r>
      <w:bookmarkEnd w:id="4"/>
      <w:r>
        <w:rPr>
          <w:rFonts w:ascii="黑体" w:eastAsia="黑体" w:hAnsi="黑体" w:cs="宋体" w:hint="eastAsia"/>
          <w:bCs/>
          <w:kern w:val="0"/>
          <w:sz w:val="32"/>
          <w:szCs w:val="32"/>
        </w:rPr>
        <w:t>人员情况</w:t>
      </w:r>
      <w:bookmarkEnd w:id="5"/>
    </w:p>
    <w:p w:rsidR="00D761FF" w:rsidRDefault="00000000">
      <w:pPr>
        <w:ind w:firstLineChars="200" w:firstLine="640"/>
        <w:jc w:val="left"/>
        <w:rPr>
          <w:rFonts w:ascii="仿宋_GB2312" w:eastAsia="仿宋_GB2312" w:hAnsi="仿宋_GB2312" w:cs="仿宋_GB2312" w:hint="eastAsia"/>
          <w:b/>
          <w:sz w:val="32"/>
          <w:szCs w:val="32"/>
        </w:rPr>
      </w:pPr>
      <w:r>
        <w:rPr>
          <w:rFonts w:ascii="仿宋_GB2312" w:eastAsia="仿宋_GB2312" w:hint="eastAsia"/>
          <w:sz w:val="32"/>
          <w:szCs w:val="32"/>
        </w:rPr>
        <w:t>奇台县项目代建管理局2023年度，实有人数</w:t>
      </w:r>
      <w:r>
        <w:rPr>
          <w:rFonts w:ascii="仿宋_GB2312" w:eastAsia="仿宋_GB2312" w:hint="eastAsia"/>
          <w:sz w:val="32"/>
          <w:szCs w:val="32"/>
          <w:lang w:val="zh-CN"/>
        </w:rPr>
        <w:t>8</w:t>
      </w:r>
      <w:r>
        <w:rPr>
          <w:rFonts w:ascii="仿宋_GB2312" w:eastAsia="仿宋_GB2312" w:hint="eastAsia"/>
          <w:sz w:val="32"/>
          <w:szCs w:val="32"/>
        </w:rPr>
        <w:t>人，其中：在职人员</w:t>
      </w:r>
      <w:r>
        <w:rPr>
          <w:rFonts w:ascii="仿宋_GB2312" w:eastAsia="仿宋_GB2312" w:hint="eastAsia"/>
          <w:sz w:val="32"/>
          <w:szCs w:val="32"/>
          <w:lang w:val="zh-CN"/>
        </w:rPr>
        <w:t>8</w:t>
      </w:r>
      <w:r>
        <w:rPr>
          <w:rFonts w:ascii="仿宋_GB2312" w:eastAsia="仿宋_GB2312" w:hint="eastAsia"/>
          <w:sz w:val="32"/>
          <w:szCs w:val="32"/>
        </w:rPr>
        <w:t>人，离休人员</w:t>
      </w:r>
      <w:r>
        <w:rPr>
          <w:rFonts w:ascii="仿宋_GB2312" w:eastAsia="仿宋_GB2312" w:hint="eastAsia"/>
          <w:sz w:val="32"/>
          <w:szCs w:val="32"/>
          <w:lang w:val="zh-CN"/>
        </w:rPr>
        <w:t>0</w:t>
      </w:r>
      <w:r>
        <w:rPr>
          <w:rFonts w:ascii="仿宋_GB2312" w:eastAsia="仿宋_GB2312" w:hint="eastAsia"/>
          <w:sz w:val="32"/>
          <w:szCs w:val="32"/>
        </w:rPr>
        <w:t>人，退休人员</w:t>
      </w:r>
      <w:r>
        <w:rPr>
          <w:rFonts w:ascii="仿宋_GB2312" w:eastAsia="仿宋_GB2312" w:hint="eastAsia"/>
          <w:sz w:val="32"/>
          <w:szCs w:val="32"/>
          <w:lang w:val="zh-CN"/>
        </w:rPr>
        <w:t>0</w:t>
      </w:r>
      <w:r>
        <w:rPr>
          <w:rFonts w:ascii="仿宋_GB2312" w:eastAsia="仿宋_GB2312" w:hint="eastAsia"/>
          <w:sz w:val="32"/>
          <w:szCs w:val="32"/>
        </w:rPr>
        <w:t>人。</w:t>
      </w:r>
    </w:p>
    <w:p w:rsidR="00D761FF" w:rsidRDefault="00000000">
      <w:pPr>
        <w:ind w:firstLineChars="200" w:firstLine="640"/>
        <w:rPr>
          <w:rFonts w:ascii="仿宋_GB2312" w:eastAsia="仿宋_GB2312"/>
          <w:sz w:val="32"/>
          <w:szCs w:val="32"/>
        </w:rPr>
        <w:sectPr w:rsidR="00D761FF">
          <w:footerReference w:type="default" r:id="rId8"/>
          <w:pgSz w:w="11906" w:h="16838"/>
          <w:pgMar w:top="1440" w:right="1800" w:bottom="1440" w:left="1800" w:header="851" w:footer="992" w:gutter="0"/>
          <w:cols w:space="720"/>
          <w:docGrid w:type="lines" w:linePitch="312"/>
        </w:sectPr>
      </w:pPr>
      <w:r>
        <w:rPr>
          <w:rFonts w:ascii="仿宋_GB2312" w:eastAsia="仿宋_GB2312" w:hAnsi="黑体" w:cs="宋体" w:hint="eastAsia"/>
          <w:bCs/>
          <w:kern w:val="0"/>
          <w:sz w:val="32"/>
          <w:szCs w:val="32"/>
        </w:rPr>
        <w:t>单位无下属预算单位，下设</w:t>
      </w:r>
      <w:r>
        <w:rPr>
          <w:rFonts w:ascii="仿宋_GB2312" w:eastAsia="仿宋_GB2312" w:hint="eastAsia"/>
          <w:sz w:val="32"/>
          <w:szCs w:val="32"/>
        </w:rPr>
        <w:t>3</w:t>
      </w:r>
      <w:r>
        <w:rPr>
          <w:rFonts w:ascii="仿宋_GB2312" w:eastAsia="仿宋_GB2312" w:hAnsi="黑体" w:cs="宋体" w:hint="eastAsia"/>
          <w:bCs/>
          <w:kern w:val="0"/>
          <w:sz w:val="32"/>
          <w:szCs w:val="32"/>
        </w:rPr>
        <w:t>个处室，分别是：</w:t>
      </w:r>
      <w:r>
        <w:rPr>
          <w:rFonts w:ascii="仿宋_GB2312" w:eastAsia="仿宋_GB2312" w:hAnsi="宋体" w:cs="宋体" w:hint="eastAsia"/>
          <w:kern w:val="0"/>
          <w:sz w:val="32"/>
          <w:szCs w:val="32"/>
        </w:rPr>
        <w:t>综合办公室、招标合同办公室、项目建设管理办公室。</w:t>
      </w:r>
    </w:p>
    <w:p w:rsidR="00D761FF" w:rsidRDefault="00000000">
      <w:pPr>
        <w:jc w:val="center"/>
        <w:outlineLvl w:val="0"/>
        <w:rPr>
          <w:rFonts w:ascii="黑体" w:eastAsia="黑体" w:hAnsi="黑体" w:hint="eastAsia"/>
          <w:sz w:val="32"/>
          <w:szCs w:val="32"/>
        </w:rPr>
      </w:pPr>
      <w:bookmarkStart w:id="6" w:name="_Toc3092"/>
      <w:bookmarkStart w:id="7" w:name="_Toc29374"/>
      <w:r>
        <w:rPr>
          <w:rFonts w:ascii="黑体" w:eastAsia="黑体" w:hAnsi="黑体" w:hint="eastAsia"/>
          <w:sz w:val="32"/>
          <w:szCs w:val="32"/>
        </w:rPr>
        <w:lastRenderedPageBreak/>
        <w:t>第二部分 部门决算情况说明</w:t>
      </w:r>
      <w:bookmarkEnd w:id="6"/>
      <w:bookmarkEnd w:id="7"/>
    </w:p>
    <w:p w:rsidR="00D761FF" w:rsidRDefault="00000000">
      <w:pPr>
        <w:ind w:firstLineChars="200" w:firstLine="640"/>
        <w:outlineLvl w:val="1"/>
        <w:rPr>
          <w:rFonts w:ascii="黑体" w:eastAsia="黑体" w:hAnsi="黑体" w:cs="宋体" w:hint="eastAsia"/>
          <w:bCs/>
          <w:kern w:val="0"/>
          <w:sz w:val="32"/>
          <w:szCs w:val="32"/>
        </w:rPr>
      </w:pPr>
      <w:bookmarkStart w:id="8" w:name="_Toc25314"/>
      <w:bookmarkStart w:id="9" w:name="_Toc12566"/>
      <w:r>
        <w:rPr>
          <w:rFonts w:ascii="黑体" w:eastAsia="黑体" w:hAnsi="黑体" w:cs="宋体" w:hint="eastAsia"/>
          <w:bCs/>
          <w:kern w:val="0"/>
          <w:sz w:val="32"/>
          <w:szCs w:val="32"/>
        </w:rPr>
        <w:t>一、收入支出决算总体情况说明</w:t>
      </w:r>
      <w:bookmarkEnd w:id="8"/>
      <w:bookmarkEnd w:id="9"/>
    </w:p>
    <w:p w:rsidR="00D761FF"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2023年度收入总计1,841.45万元，其中：本年收入合计1,839.70万元，使用非财政拨款结余0.00万元，年初结转和结余1.75万元。</w:t>
      </w:r>
    </w:p>
    <w:p w:rsidR="00D761FF"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2023年度支出总计1,841.45万元，其中：本年支出合计1,841.45万元，结余分配0.00万元，年末结转和结余0.00万元。</w:t>
      </w:r>
    </w:p>
    <w:p w:rsidR="00D761FF" w:rsidRDefault="00000000">
      <w:pPr>
        <w:ind w:firstLineChars="200" w:firstLine="640"/>
        <w:jc w:val="left"/>
        <w:rPr>
          <w:rFonts w:ascii="仿宋_GB2312" w:eastAsia="仿宋_GB2312"/>
          <w:sz w:val="32"/>
          <w:szCs w:val="32"/>
        </w:rPr>
      </w:pPr>
      <w:r>
        <w:rPr>
          <w:rFonts w:ascii="仿宋_GB2312" w:eastAsia="仿宋_GB2312" w:hint="eastAsia"/>
          <w:sz w:val="32"/>
          <w:szCs w:val="32"/>
        </w:rPr>
        <w:t>收入支出总体与上年相比，</w:t>
      </w:r>
      <w:r>
        <w:rPr>
          <w:rFonts w:ascii="仿宋_GB2312" w:eastAsia="仿宋_GB2312" w:hint="eastAsia"/>
          <w:sz w:val="32"/>
          <w:szCs w:val="32"/>
          <w:lang w:val="zh-CN"/>
        </w:rPr>
        <w:t>增加861.84万元</w:t>
      </w:r>
      <w:r>
        <w:rPr>
          <w:rFonts w:ascii="仿宋_GB2312" w:eastAsia="仿宋_GB2312" w:hint="eastAsia"/>
          <w:sz w:val="32"/>
          <w:szCs w:val="32"/>
        </w:rPr>
        <w:t>，增长87.98%，主要原因是：2023年奇台县隐性债务工程欠款化解资金和昌吉州财预【2023】28号党校学员楼网架工程质保金增加。</w:t>
      </w:r>
    </w:p>
    <w:p w:rsidR="00D761FF" w:rsidRDefault="00000000">
      <w:pPr>
        <w:ind w:firstLineChars="200" w:firstLine="640"/>
        <w:jc w:val="left"/>
        <w:outlineLvl w:val="1"/>
        <w:rPr>
          <w:rFonts w:ascii="黑体" w:eastAsia="黑体" w:hAnsi="黑体" w:cs="宋体" w:hint="eastAsia"/>
          <w:bCs/>
          <w:kern w:val="0"/>
          <w:sz w:val="32"/>
          <w:szCs w:val="32"/>
        </w:rPr>
      </w:pPr>
      <w:bookmarkStart w:id="10" w:name="_Toc1979"/>
      <w:bookmarkStart w:id="11" w:name="_Toc12142"/>
      <w:r>
        <w:rPr>
          <w:rFonts w:ascii="黑体" w:eastAsia="黑体" w:hAnsi="黑体" w:cs="宋体" w:hint="eastAsia"/>
          <w:bCs/>
          <w:kern w:val="0"/>
          <w:sz w:val="32"/>
          <w:szCs w:val="32"/>
        </w:rPr>
        <w:t>二、收入决算情况说明</w:t>
      </w:r>
      <w:bookmarkEnd w:id="10"/>
      <w:bookmarkEnd w:id="11"/>
    </w:p>
    <w:p w:rsidR="00D761FF" w:rsidRDefault="00000000">
      <w:pPr>
        <w:ind w:firstLineChars="200" w:firstLine="640"/>
        <w:jc w:val="left"/>
        <w:rPr>
          <w:rFonts w:ascii="仿宋_GB2312" w:eastAsia="仿宋_GB2312"/>
          <w:sz w:val="32"/>
          <w:szCs w:val="32"/>
        </w:rPr>
      </w:pPr>
      <w:r>
        <w:rPr>
          <w:rFonts w:ascii="仿宋_GB2312" w:eastAsia="仿宋_GB2312" w:hint="eastAsia"/>
          <w:sz w:val="32"/>
          <w:szCs w:val="32"/>
        </w:rPr>
        <w:t>本年收入1,839.70万元，其中：财政拨款收入</w:t>
      </w:r>
      <w:r>
        <w:rPr>
          <w:rFonts w:ascii="仿宋_GB2312" w:eastAsia="仿宋_GB2312" w:hint="eastAsia"/>
          <w:sz w:val="32"/>
          <w:szCs w:val="32"/>
          <w:lang w:val="zh-CN"/>
        </w:rPr>
        <w:t>1,839.69</w:t>
      </w:r>
      <w:r>
        <w:rPr>
          <w:rFonts w:ascii="仿宋_GB2312" w:eastAsia="仿宋_GB2312" w:hint="eastAsia"/>
          <w:sz w:val="32"/>
          <w:szCs w:val="32"/>
        </w:rPr>
        <w:t>万元，占</w:t>
      </w:r>
      <w:r>
        <w:rPr>
          <w:rFonts w:ascii="仿宋_GB2312" w:eastAsia="仿宋_GB2312" w:hint="eastAsia"/>
          <w:sz w:val="32"/>
          <w:szCs w:val="32"/>
          <w:lang w:val="zh-CN"/>
        </w:rPr>
        <w:t>100.00%</w:t>
      </w:r>
      <w:r>
        <w:rPr>
          <w:rFonts w:ascii="仿宋_GB2312" w:eastAsia="仿宋_GB2312" w:hint="eastAsia"/>
          <w:sz w:val="32"/>
          <w:szCs w:val="32"/>
        </w:rPr>
        <w:t>；上级补助收入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；事业收入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；经营收入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；附属单位上缴收入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；其他收入</w:t>
      </w:r>
      <w:r>
        <w:rPr>
          <w:rFonts w:ascii="仿宋_GB2312" w:eastAsia="仿宋_GB2312" w:hint="eastAsia"/>
          <w:sz w:val="32"/>
          <w:szCs w:val="32"/>
          <w:lang w:val="zh-CN"/>
        </w:rPr>
        <w:t>0.01</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w:t>
      </w:r>
    </w:p>
    <w:p w:rsidR="00D761FF" w:rsidRDefault="00000000">
      <w:pPr>
        <w:ind w:firstLineChars="200" w:firstLine="640"/>
        <w:jc w:val="left"/>
        <w:outlineLvl w:val="1"/>
        <w:rPr>
          <w:rFonts w:ascii="黑体" w:eastAsia="黑体" w:hAnsi="黑体" w:cs="宋体" w:hint="eastAsia"/>
          <w:bCs/>
          <w:kern w:val="0"/>
          <w:sz w:val="32"/>
          <w:szCs w:val="32"/>
        </w:rPr>
      </w:pPr>
      <w:bookmarkStart w:id="12" w:name="_Toc27961"/>
      <w:bookmarkStart w:id="13" w:name="_Toc13201"/>
      <w:r>
        <w:rPr>
          <w:rFonts w:ascii="黑体" w:eastAsia="黑体" w:hAnsi="黑体" w:cs="宋体" w:hint="eastAsia"/>
          <w:bCs/>
          <w:kern w:val="0"/>
          <w:sz w:val="32"/>
          <w:szCs w:val="32"/>
        </w:rPr>
        <w:t>三、支出决算情况说明</w:t>
      </w:r>
      <w:bookmarkEnd w:id="12"/>
      <w:bookmarkEnd w:id="13"/>
    </w:p>
    <w:p w:rsidR="00D761FF"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lang w:val="zh-CN"/>
        </w:rPr>
        <w:t>本年支出1,841.45万元，其中：基本支出132.85万元，占7.21%；项目支出1,708.60万元，占92.79%；上缴上级支出0.00万元，占0.00%；经营支出0.00万元，占0.00%；</w:t>
      </w:r>
      <w:r>
        <w:rPr>
          <w:rFonts w:ascii="仿宋_GB2312" w:eastAsia="仿宋_GB2312" w:hAnsi="仿宋_GB2312" w:cs="仿宋_GB2312" w:hint="eastAsia"/>
          <w:sz w:val="32"/>
          <w:szCs w:val="32"/>
          <w:lang w:val="zh-CN"/>
        </w:rPr>
        <w:lastRenderedPageBreak/>
        <w:t>对附属单位补助支出0.00万元，占0.00%。</w:t>
      </w:r>
    </w:p>
    <w:p w:rsidR="00D761FF" w:rsidRDefault="00000000">
      <w:pPr>
        <w:ind w:firstLineChars="200" w:firstLine="640"/>
        <w:jc w:val="left"/>
        <w:outlineLvl w:val="1"/>
        <w:rPr>
          <w:rFonts w:ascii="黑体" w:eastAsia="黑体" w:hAnsi="黑体" w:cs="宋体" w:hint="eastAsia"/>
          <w:bCs/>
          <w:kern w:val="0"/>
          <w:sz w:val="32"/>
          <w:szCs w:val="32"/>
        </w:rPr>
      </w:pPr>
      <w:bookmarkStart w:id="14" w:name="_Toc4393"/>
      <w:bookmarkStart w:id="15" w:name="_Toc26564"/>
      <w:r>
        <w:rPr>
          <w:rFonts w:ascii="黑体" w:eastAsia="黑体" w:hAnsi="黑体" w:cs="宋体" w:hint="eastAsia"/>
          <w:bCs/>
          <w:kern w:val="0"/>
          <w:sz w:val="32"/>
          <w:szCs w:val="32"/>
        </w:rPr>
        <w:t>四、财政拨款收入支出决算总体情况说明</w:t>
      </w:r>
      <w:bookmarkEnd w:id="14"/>
      <w:bookmarkEnd w:id="15"/>
    </w:p>
    <w:p w:rsidR="00D761FF"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2023年度财政拨款收入总计</w:t>
      </w:r>
      <w:r>
        <w:rPr>
          <w:rFonts w:ascii="仿宋_GB2312" w:eastAsia="仿宋_GB2312" w:hint="eastAsia"/>
          <w:sz w:val="32"/>
          <w:szCs w:val="32"/>
          <w:lang w:val="zh-CN"/>
        </w:rPr>
        <w:t>1,839.69</w:t>
      </w:r>
      <w:r>
        <w:rPr>
          <w:rFonts w:ascii="仿宋_GB2312" w:eastAsia="仿宋_GB2312" w:hint="eastAsia"/>
          <w:sz w:val="32"/>
          <w:szCs w:val="32"/>
        </w:rPr>
        <w:t>万元，其中：年初财政拨款结转和结余</w:t>
      </w:r>
      <w:r>
        <w:rPr>
          <w:rFonts w:ascii="仿宋_GB2312" w:eastAsia="仿宋_GB2312" w:hint="eastAsia"/>
          <w:sz w:val="32"/>
          <w:szCs w:val="32"/>
          <w:lang w:val="zh-CN"/>
        </w:rPr>
        <w:t>0.00</w:t>
      </w:r>
      <w:r>
        <w:rPr>
          <w:rFonts w:ascii="仿宋_GB2312" w:eastAsia="仿宋_GB2312" w:hint="eastAsia"/>
          <w:sz w:val="32"/>
          <w:szCs w:val="32"/>
        </w:rPr>
        <w:t>万元，本年财政拨款收入</w:t>
      </w:r>
      <w:r>
        <w:rPr>
          <w:rFonts w:ascii="仿宋_GB2312" w:eastAsia="仿宋_GB2312" w:hint="eastAsia"/>
          <w:sz w:val="32"/>
          <w:szCs w:val="32"/>
          <w:lang w:val="zh-CN"/>
        </w:rPr>
        <w:t>1,839.69</w:t>
      </w:r>
      <w:r>
        <w:rPr>
          <w:rFonts w:ascii="仿宋_GB2312" w:eastAsia="仿宋_GB2312" w:hint="eastAsia"/>
          <w:sz w:val="32"/>
          <w:szCs w:val="32"/>
        </w:rPr>
        <w:t>万元。财政拨款支出总计</w:t>
      </w:r>
      <w:r>
        <w:rPr>
          <w:rFonts w:ascii="仿宋_GB2312" w:eastAsia="仿宋_GB2312" w:hint="eastAsia"/>
          <w:sz w:val="32"/>
          <w:szCs w:val="32"/>
          <w:lang w:val="zh-CN"/>
        </w:rPr>
        <w:t>1,839.69</w:t>
      </w:r>
      <w:r>
        <w:rPr>
          <w:rFonts w:ascii="仿宋_GB2312" w:eastAsia="仿宋_GB2312" w:hint="eastAsia"/>
          <w:sz w:val="32"/>
          <w:szCs w:val="32"/>
        </w:rPr>
        <w:t>万元，其中：年末财政拨款结转和结余</w:t>
      </w:r>
      <w:r>
        <w:rPr>
          <w:rFonts w:ascii="仿宋_GB2312" w:eastAsia="仿宋_GB2312" w:hint="eastAsia"/>
          <w:sz w:val="32"/>
          <w:szCs w:val="32"/>
          <w:lang w:val="zh-CN"/>
        </w:rPr>
        <w:t>0.00</w:t>
      </w:r>
      <w:r>
        <w:rPr>
          <w:rFonts w:ascii="仿宋_GB2312" w:eastAsia="仿宋_GB2312" w:hint="eastAsia"/>
          <w:sz w:val="32"/>
          <w:szCs w:val="32"/>
        </w:rPr>
        <w:t>万元，本年财政拨款支出</w:t>
      </w:r>
      <w:r>
        <w:rPr>
          <w:rFonts w:ascii="仿宋_GB2312" w:eastAsia="仿宋_GB2312" w:hint="eastAsia"/>
          <w:sz w:val="32"/>
          <w:szCs w:val="32"/>
          <w:lang w:val="zh-CN"/>
        </w:rPr>
        <w:t>1,839.69</w:t>
      </w:r>
      <w:r>
        <w:rPr>
          <w:rFonts w:ascii="仿宋_GB2312" w:eastAsia="仿宋_GB2312" w:hint="eastAsia"/>
          <w:sz w:val="32"/>
          <w:szCs w:val="32"/>
        </w:rPr>
        <w:t>万元。</w:t>
      </w:r>
    </w:p>
    <w:p w:rsidR="00D761FF" w:rsidRDefault="00000000">
      <w:pPr>
        <w:ind w:firstLineChars="200" w:firstLine="640"/>
        <w:jc w:val="left"/>
        <w:rPr>
          <w:rFonts w:ascii="仿宋_GB2312" w:eastAsia="仿宋_GB2312"/>
          <w:sz w:val="32"/>
          <w:szCs w:val="32"/>
        </w:rPr>
      </w:pPr>
      <w:r>
        <w:rPr>
          <w:rFonts w:ascii="仿宋_GB2312" w:eastAsia="仿宋_GB2312" w:hint="eastAsia"/>
          <w:sz w:val="32"/>
          <w:szCs w:val="32"/>
        </w:rPr>
        <w:t>财政拨款收入支出总体与上年相比,</w:t>
      </w:r>
      <w:r>
        <w:rPr>
          <w:rFonts w:ascii="仿宋_GB2312" w:eastAsia="仿宋_GB2312" w:hint="eastAsia"/>
          <w:sz w:val="32"/>
          <w:szCs w:val="32"/>
          <w:lang w:val="zh-CN"/>
        </w:rPr>
        <w:t>增加860.09万元</w:t>
      </w:r>
      <w:r>
        <w:rPr>
          <w:rFonts w:ascii="仿宋_GB2312" w:eastAsia="仿宋_GB2312" w:hint="eastAsia"/>
          <w:sz w:val="32"/>
          <w:szCs w:val="32"/>
        </w:rPr>
        <w:t>，增长87.80%,主要原因是：2023年奇台县隐性债务工程欠款化解资金和昌吉州财预【2023】28号党校学员楼网架工程质保金增加。与年初预算相比，年初预算数</w:t>
      </w:r>
      <w:r>
        <w:rPr>
          <w:rFonts w:ascii="仿宋_GB2312" w:eastAsia="仿宋_GB2312" w:hint="eastAsia"/>
          <w:sz w:val="32"/>
          <w:szCs w:val="32"/>
          <w:lang w:val="zh-CN"/>
        </w:rPr>
        <w:t>119.73</w:t>
      </w:r>
      <w:r>
        <w:rPr>
          <w:rFonts w:ascii="仿宋_GB2312" w:eastAsia="仿宋_GB2312" w:hint="eastAsia"/>
          <w:sz w:val="32"/>
          <w:szCs w:val="32"/>
        </w:rPr>
        <w:t>万元，决算数</w:t>
      </w:r>
      <w:r>
        <w:rPr>
          <w:rFonts w:ascii="仿宋_GB2312" w:eastAsia="仿宋_GB2312" w:hint="eastAsia"/>
          <w:sz w:val="32"/>
          <w:szCs w:val="32"/>
          <w:lang w:val="zh-CN"/>
        </w:rPr>
        <w:t>1,839.69</w:t>
      </w:r>
      <w:r>
        <w:rPr>
          <w:rFonts w:ascii="仿宋_GB2312" w:eastAsia="仿宋_GB2312" w:hint="eastAsia"/>
          <w:sz w:val="32"/>
          <w:szCs w:val="32"/>
        </w:rPr>
        <w:t>万元，预决算差异率1,436.53%，主要原因是：</w:t>
      </w:r>
      <w:r w:rsidR="00156D88">
        <w:rPr>
          <w:rFonts w:ascii="仿宋_GB2312" w:eastAsia="仿宋_GB2312" w:hint="eastAsia"/>
          <w:sz w:val="32"/>
          <w:szCs w:val="32"/>
        </w:rPr>
        <w:t>较预算增加</w:t>
      </w:r>
      <w:r>
        <w:rPr>
          <w:rFonts w:ascii="仿宋_GB2312" w:eastAsia="仿宋_GB2312" w:hint="eastAsia"/>
          <w:sz w:val="32"/>
          <w:szCs w:val="32"/>
        </w:rPr>
        <w:t>2023年奇台县隐性债务工程欠款化解资金和昌吉州财预【2023】28号党校学员楼网架工程质保金。</w:t>
      </w:r>
    </w:p>
    <w:p w:rsidR="00D761FF" w:rsidRDefault="00000000">
      <w:pPr>
        <w:ind w:firstLineChars="200" w:firstLine="640"/>
        <w:jc w:val="left"/>
        <w:outlineLvl w:val="1"/>
        <w:rPr>
          <w:rFonts w:ascii="黑体" w:eastAsia="黑体" w:hAnsi="黑体" w:cs="宋体" w:hint="eastAsia"/>
          <w:bCs/>
          <w:kern w:val="0"/>
          <w:sz w:val="32"/>
          <w:szCs w:val="32"/>
        </w:rPr>
      </w:pPr>
      <w:bookmarkStart w:id="16" w:name="_Toc13833"/>
      <w:bookmarkStart w:id="17" w:name="_Toc20360"/>
      <w:r>
        <w:rPr>
          <w:rFonts w:ascii="黑体" w:eastAsia="黑体" w:hAnsi="黑体" w:cs="宋体" w:hint="eastAsia"/>
          <w:bCs/>
          <w:kern w:val="0"/>
          <w:sz w:val="32"/>
          <w:szCs w:val="32"/>
        </w:rPr>
        <w:t>五、一般公共预算财政拨款支出决算情况说明</w:t>
      </w:r>
      <w:bookmarkEnd w:id="16"/>
      <w:bookmarkEnd w:id="17"/>
    </w:p>
    <w:p w:rsidR="00D761FF" w:rsidRDefault="00000000">
      <w:pPr>
        <w:ind w:firstLineChars="200" w:firstLine="640"/>
        <w:jc w:val="left"/>
        <w:outlineLvl w:val="2"/>
        <w:rPr>
          <w:rFonts w:ascii="黑体" w:eastAsia="黑体" w:hAnsi="黑体" w:hint="eastAsia"/>
          <w:sz w:val="32"/>
          <w:szCs w:val="32"/>
        </w:rPr>
      </w:pPr>
      <w:r>
        <w:rPr>
          <w:rFonts w:ascii="黑体" w:eastAsia="黑体" w:hAnsi="黑体" w:hint="eastAsia"/>
          <w:sz w:val="32"/>
          <w:szCs w:val="32"/>
        </w:rPr>
        <w:t>（一）一般公共预算财政拨款支出决算总体情况</w:t>
      </w:r>
    </w:p>
    <w:p w:rsidR="00D761FF" w:rsidRDefault="00000000">
      <w:pPr>
        <w:spacing w:line="600" w:lineRule="exact"/>
        <w:ind w:firstLineChars="200" w:firstLine="640"/>
        <w:jc w:val="left"/>
        <w:rPr>
          <w:rFonts w:ascii="仿宋_GB2312" w:eastAsia="仿宋_GB2312"/>
          <w:sz w:val="32"/>
          <w:szCs w:val="32"/>
        </w:rPr>
      </w:pPr>
      <w:r>
        <w:rPr>
          <w:rFonts w:ascii="仿宋_GB2312" w:eastAsia="仿宋_GB2312" w:hint="eastAsia"/>
          <w:sz w:val="32"/>
          <w:szCs w:val="32"/>
        </w:rPr>
        <w:t>2023年度一般公共预算财政拨款支出1,839.69万元，占本年支出合计的</w:t>
      </w:r>
      <w:r>
        <w:rPr>
          <w:rFonts w:ascii="仿宋_GB2312" w:eastAsia="仿宋_GB2312" w:hint="eastAsia"/>
          <w:sz w:val="32"/>
          <w:szCs w:val="32"/>
          <w:lang w:val="zh-CN"/>
        </w:rPr>
        <w:t>99.90%</w:t>
      </w:r>
      <w:r>
        <w:rPr>
          <w:rFonts w:ascii="仿宋_GB2312" w:eastAsia="仿宋_GB2312" w:hint="eastAsia"/>
          <w:sz w:val="32"/>
          <w:szCs w:val="32"/>
        </w:rPr>
        <w:t>。与上年相比，</w:t>
      </w:r>
      <w:r>
        <w:rPr>
          <w:rFonts w:ascii="仿宋_GB2312" w:eastAsia="仿宋_GB2312" w:hint="eastAsia"/>
          <w:sz w:val="32"/>
          <w:szCs w:val="32"/>
          <w:lang w:val="zh-CN"/>
        </w:rPr>
        <w:t>增加860.09万元</w:t>
      </w:r>
      <w:r>
        <w:rPr>
          <w:rFonts w:ascii="仿宋_GB2312" w:eastAsia="仿宋_GB2312" w:hint="eastAsia"/>
          <w:sz w:val="32"/>
          <w:szCs w:val="32"/>
        </w:rPr>
        <w:t>，增长87.80%,主要原因是：2023年奇台县隐性债务工程欠款化解资金和昌吉州财预【2023】28号党校学员楼网架工程质保金增加。与年初预算相比，年初预算数</w:t>
      </w:r>
      <w:r>
        <w:rPr>
          <w:rFonts w:ascii="仿宋_GB2312" w:eastAsia="仿宋_GB2312" w:hint="eastAsia"/>
          <w:sz w:val="32"/>
          <w:szCs w:val="32"/>
          <w:lang w:val="zh-CN"/>
        </w:rPr>
        <w:t>119.73</w:t>
      </w:r>
      <w:r>
        <w:rPr>
          <w:rFonts w:ascii="仿宋_GB2312" w:eastAsia="仿宋_GB2312" w:hint="eastAsia"/>
          <w:sz w:val="32"/>
          <w:szCs w:val="32"/>
        </w:rPr>
        <w:t>万元，决算数</w:t>
      </w:r>
      <w:r>
        <w:rPr>
          <w:rFonts w:ascii="仿宋_GB2312" w:eastAsia="仿宋_GB2312" w:hint="eastAsia"/>
          <w:sz w:val="32"/>
          <w:szCs w:val="32"/>
          <w:lang w:val="zh-CN"/>
        </w:rPr>
        <w:t>1,839.69</w:t>
      </w:r>
      <w:r>
        <w:rPr>
          <w:rFonts w:ascii="仿宋_GB2312" w:eastAsia="仿宋_GB2312" w:hint="eastAsia"/>
          <w:sz w:val="32"/>
          <w:szCs w:val="32"/>
        </w:rPr>
        <w:t>万元，预决算差异率</w:t>
      </w:r>
      <w:r>
        <w:rPr>
          <w:rFonts w:ascii="仿宋_GB2312" w:eastAsia="仿宋_GB2312" w:hint="eastAsia"/>
          <w:sz w:val="32"/>
          <w:szCs w:val="32"/>
          <w:lang w:val="zh-CN"/>
        </w:rPr>
        <w:t>1,436.53%</w:t>
      </w:r>
      <w:r>
        <w:rPr>
          <w:rFonts w:ascii="仿宋_GB2312" w:eastAsia="仿宋_GB2312" w:hint="eastAsia"/>
          <w:sz w:val="32"/>
          <w:szCs w:val="32"/>
        </w:rPr>
        <w:t>，主要原因是：</w:t>
      </w:r>
      <w:r w:rsidR="00156D88">
        <w:rPr>
          <w:rFonts w:ascii="仿宋_GB2312" w:eastAsia="仿宋_GB2312" w:hint="eastAsia"/>
          <w:sz w:val="32"/>
          <w:szCs w:val="32"/>
        </w:rPr>
        <w:lastRenderedPageBreak/>
        <w:t>较预算增加</w:t>
      </w:r>
      <w:r>
        <w:rPr>
          <w:rFonts w:ascii="仿宋_GB2312" w:eastAsia="仿宋_GB2312" w:hint="eastAsia"/>
          <w:sz w:val="32"/>
          <w:szCs w:val="32"/>
        </w:rPr>
        <w:t>2023年奇台县隐性债务工程欠款化解资金和昌吉州财预【2023】28号党校学员楼网架工程质保金。</w:t>
      </w:r>
    </w:p>
    <w:p w:rsidR="00D761FF" w:rsidRDefault="00000000">
      <w:pPr>
        <w:numPr>
          <w:ilvl w:val="0"/>
          <w:numId w:val="1"/>
        </w:numPr>
        <w:ind w:firstLineChars="200" w:firstLine="640"/>
        <w:jc w:val="left"/>
        <w:outlineLvl w:val="2"/>
        <w:rPr>
          <w:rFonts w:ascii="黑体" w:eastAsia="黑体" w:hAnsi="黑体" w:hint="eastAsia"/>
          <w:sz w:val="32"/>
          <w:szCs w:val="32"/>
        </w:rPr>
      </w:pPr>
      <w:r>
        <w:rPr>
          <w:rFonts w:ascii="黑体" w:eastAsia="黑体" w:hAnsi="黑体" w:hint="eastAsia"/>
          <w:sz w:val="32"/>
          <w:szCs w:val="32"/>
        </w:rPr>
        <w:t>一般公共预算财政拨款支出决算结构情况</w:t>
      </w:r>
    </w:p>
    <w:p w:rsidR="00D761FF" w:rsidRDefault="00000000">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int="eastAsia"/>
          <w:kern w:val="2"/>
          <w:sz w:val="32"/>
          <w:szCs w:val="32"/>
        </w:rPr>
        <w:t>1</w:t>
      </w:r>
      <w:r>
        <w:rPr>
          <w:rFonts w:ascii="仿宋_GB2312" w:eastAsia="仿宋_GB2312"/>
          <w:kern w:val="2"/>
          <w:sz w:val="32"/>
          <w:szCs w:val="32"/>
          <w:lang w:val="zh-CN"/>
        </w:rPr>
        <w:t>.社会保障和就业支出（类）</w:t>
      </w:r>
      <w:r>
        <w:rPr>
          <w:rFonts w:ascii="仿宋_GB2312" w:eastAsia="仿宋_GB2312" w:hint="eastAsia"/>
          <w:kern w:val="2"/>
          <w:sz w:val="32"/>
          <w:szCs w:val="32"/>
          <w:lang w:val="zh-CN"/>
        </w:rPr>
        <w:t>11.27</w:t>
      </w:r>
      <w:r>
        <w:rPr>
          <w:rFonts w:ascii="仿宋_GB2312" w:eastAsia="仿宋_GB2312"/>
          <w:kern w:val="2"/>
          <w:sz w:val="32"/>
          <w:szCs w:val="32"/>
          <w:lang w:val="zh-CN"/>
        </w:rPr>
        <w:t>万元，占</w:t>
      </w:r>
      <w:r>
        <w:rPr>
          <w:rFonts w:ascii="仿宋_GB2312" w:eastAsia="仿宋_GB2312" w:hint="eastAsia"/>
          <w:kern w:val="2"/>
          <w:sz w:val="32"/>
          <w:szCs w:val="32"/>
          <w:lang w:val="zh-CN"/>
        </w:rPr>
        <w:t>0.61%</w:t>
      </w:r>
      <w:r>
        <w:rPr>
          <w:rFonts w:ascii="仿宋_GB2312" w:eastAsia="仿宋_GB2312"/>
          <w:kern w:val="2"/>
          <w:sz w:val="32"/>
          <w:szCs w:val="32"/>
          <w:lang w:val="zh-CN"/>
        </w:rPr>
        <w:t>；</w:t>
      </w:r>
    </w:p>
    <w:p w:rsidR="00D761FF" w:rsidRDefault="00000000">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int="eastAsia"/>
          <w:kern w:val="2"/>
          <w:sz w:val="32"/>
          <w:szCs w:val="32"/>
        </w:rPr>
        <w:t>2</w:t>
      </w:r>
      <w:r>
        <w:rPr>
          <w:rFonts w:ascii="仿宋_GB2312" w:eastAsia="仿宋_GB2312"/>
          <w:kern w:val="2"/>
          <w:sz w:val="32"/>
          <w:szCs w:val="32"/>
          <w:lang w:val="zh-CN"/>
        </w:rPr>
        <w:t>.卫生健康支出（类）</w:t>
      </w:r>
      <w:r>
        <w:rPr>
          <w:rFonts w:ascii="仿宋_GB2312" w:eastAsia="仿宋_GB2312" w:hint="eastAsia"/>
          <w:kern w:val="2"/>
          <w:sz w:val="32"/>
          <w:szCs w:val="32"/>
          <w:lang w:val="zh-CN"/>
        </w:rPr>
        <w:t>5.68</w:t>
      </w:r>
      <w:r>
        <w:rPr>
          <w:rFonts w:ascii="仿宋_GB2312" w:eastAsia="仿宋_GB2312"/>
          <w:kern w:val="2"/>
          <w:sz w:val="32"/>
          <w:szCs w:val="32"/>
          <w:lang w:val="zh-CN"/>
        </w:rPr>
        <w:t>万元，占</w:t>
      </w:r>
      <w:r>
        <w:rPr>
          <w:rFonts w:ascii="仿宋_GB2312" w:eastAsia="仿宋_GB2312" w:hint="eastAsia"/>
          <w:kern w:val="2"/>
          <w:sz w:val="32"/>
          <w:szCs w:val="32"/>
          <w:lang w:val="zh-CN"/>
        </w:rPr>
        <w:t>0.31%</w:t>
      </w:r>
      <w:r>
        <w:rPr>
          <w:rFonts w:ascii="仿宋_GB2312" w:eastAsia="仿宋_GB2312"/>
          <w:kern w:val="2"/>
          <w:sz w:val="32"/>
          <w:szCs w:val="32"/>
          <w:lang w:val="zh-CN"/>
        </w:rPr>
        <w:t>；</w:t>
      </w:r>
    </w:p>
    <w:p w:rsidR="00D761FF" w:rsidRDefault="00000000">
      <w:pPr>
        <w:pStyle w:val="a6"/>
        <w:widowControl/>
        <w:spacing w:before="0" w:beforeAutospacing="0" w:after="0" w:afterAutospacing="0"/>
        <w:ind w:firstLineChars="200" w:firstLine="640"/>
        <w:rPr>
          <w:rFonts w:ascii="仿宋_GB2312" w:eastAsia="仿宋_GB2312" w:hAnsi="仿宋_GB2312" w:cs="仿宋_GB2312" w:hint="eastAsia"/>
          <w:kern w:val="2"/>
          <w:sz w:val="32"/>
          <w:szCs w:val="32"/>
          <w:lang w:val="zh-CN"/>
        </w:rPr>
      </w:pPr>
      <w:r>
        <w:rPr>
          <w:rFonts w:ascii="仿宋_GB2312" w:eastAsia="仿宋_GB2312" w:hAnsi="仿宋_GB2312" w:cs="仿宋_GB2312" w:hint="eastAsia"/>
          <w:kern w:val="2"/>
          <w:sz w:val="32"/>
          <w:szCs w:val="32"/>
        </w:rPr>
        <w:t>3</w:t>
      </w:r>
      <w:r>
        <w:rPr>
          <w:rFonts w:ascii="仿宋_GB2312" w:eastAsia="仿宋_GB2312" w:hAnsi="仿宋_GB2312" w:cs="仿宋_GB2312" w:hint="eastAsia"/>
          <w:kern w:val="2"/>
          <w:sz w:val="32"/>
          <w:szCs w:val="32"/>
          <w:lang w:val="zh-CN"/>
        </w:rPr>
        <w:t>.城乡社区支出（类）859.07万元，占46.70%；</w:t>
      </w:r>
    </w:p>
    <w:p w:rsidR="00D761FF" w:rsidRDefault="00000000">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int="eastAsia"/>
          <w:kern w:val="2"/>
          <w:sz w:val="32"/>
          <w:szCs w:val="32"/>
        </w:rPr>
        <w:t>4</w:t>
      </w:r>
      <w:r>
        <w:rPr>
          <w:rFonts w:ascii="仿宋_GB2312" w:eastAsia="仿宋_GB2312"/>
          <w:kern w:val="2"/>
          <w:sz w:val="32"/>
          <w:szCs w:val="32"/>
          <w:lang w:val="zh-CN"/>
        </w:rPr>
        <w:t>.资源勘探信息等支出（类）</w:t>
      </w:r>
      <w:r>
        <w:rPr>
          <w:rFonts w:ascii="仿宋_GB2312" w:eastAsia="仿宋_GB2312" w:hint="eastAsia"/>
          <w:kern w:val="2"/>
          <w:sz w:val="32"/>
          <w:szCs w:val="32"/>
          <w:lang w:val="zh-CN"/>
        </w:rPr>
        <w:t>954.20</w:t>
      </w:r>
      <w:r>
        <w:rPr>
          <w:rFonts w:ascii="仿宋_GB2312" w:eastAsia="仿宋_GB2312"/>
          <w:kern w:val="2"/>
          <w:sz w:val="32"/>
          <w:szCs w:val="32"/>
          <w:lang w:val="zh-CN"/>
        </w:rPr>
        <w:t>万元，占</w:t>
      </w:r>
      <w:r>
        <w:rPr>
          <w:rFonts w:ascii="仿宋_GB2312" w:eastAsia="仿宋_GB2312" w:hint="eastAsia"/>
          <w:kern w:val="2"/>
          <w:sz w:val="32"/>
          <w:szCs w:val="32"/>
          <w:lang w:val="zh-CN"/>
        </w:rPr>
        <w:t>51.87%</w:t>
      </w:r>
      <w:r>
        <w:rPr>
          <w:rFonts w:ascii="仿宋_GB2312" w:eastAsia="仿宋_GB2312"/>
          <w:kern w:val="2"/>
          <w:sz w:val="32"/>
          <w:szCs w:val="32"/>
          <w:lang w:val="zh-CN"/>
        </w:rPr>
        <w:t>；</w:t>
      </w:r>
    </w:p>
    <w:p w:rsidR="00D761FF" w:rsidRDefault="00000000">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int="eastAsia"/>
          <w:kern w:val="2"/>
          <w:sz w:val="32"/>
          <w:szCs w:val="32"/>
        </w:rPr>
        <w:t>5</w:t>
      </w:r>
      <w:r>
        <w:rPr>
          <w:rFonts w:ascii="仿宋_GB2312" w:eastAsia="仿宋_GB2312"/>
          <w:kern w:val="2"/>
          <w:sz w:val="32"/>
          <w:szCs w:val="32"/>
          <w:lang w:val="zh-CN"/>
        </w:rPr>
        <w:t>.住房保障支出（类）</w:t>
      </w:r>
      <w:r>
        <w:rPr>
          <w:rFonts w:ascii="仿宋_GB2312" w:eastAsia="仿宋_GB2312" w:hint="eastAsia"/>
          <w:kern w:val="2"/>
          <w:sz w:val="32"/>
          <w:szCs w:val="32"/>
          <w:lang w:val="zh-CN"/>
        </w:rPr>
        <w:t>9.46</w:t>
      </w:r>
      <w:r>
        <w:rPr>
          <w:rFonts w:ascii="仿宋_GB2312" w:eastAsia="仿宋_GB2312"/>
          <w:kern w:val="2"/>
          <w:sz w:val="32"/>
          <w:szCs w:val="32"/>
          <w:lang w:val="zh-CN"/>
        </w:rPr>
        <w:t>万元，占</w:t>
      </w:r>
      <w:r>
        <w:rPr>
          <w:rFonts w:ascii="仿宋_GB2312" w:eastAsia="仿宋_GB2312" w:hint="eastAsia"/>
          <w:kern w:val="2"/>
          <w:sz w:val="32"/>
          <w:szCs w:val="32"/>
          <w:lang w:val="zh-CN"/>
        </w:rPr>
        <w:t>0.51%。</w:t>
      </w:r>
    </w:p>
    <w:p w:rsidR="00D761FF" w:rsidRDefault="00000000">
      <w:pPr>
        <w:ind w:firstLineChars="200" w:firstLine="640"/>
        <w:jc w:val="left"/>
        <w:outlineLvl w:val="2"/>
        <w:rPr>
          <w:rFonts w:ascii="黑体" w:eastAsia="黑体" w:hAnsi="黑体" w:hint="eastAsia"/>
          <w:sz w:val="32"/>
          <w:szCs w:val="32"/>
        </w:rPr>
      </w:pPr>
      <w:r>
        <w:rPr>
          <w:rFonts w:ascii="黑体" w:eastAsia="黑体" w:hAnsi="黑体" w:hint="eastAsia"/>
          <w:sz w:val="32"/>
          <w:szCs w:val="32"/>
        </w:rPr>
        <w:t>（三）一般公共预算财政拨款支出决算具体情况</w:t>
      </w:r>
    </w:p>
    <w:p w:rsidR="00D761FF"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1.卫生健康支出（类）行政事业单位医疗（款）事业单位医疗（项）:支出决算数为5.68万元，比上年决算减少0.34万元，下降5.65%，主要原因是：</w:t>
      </w:r>
      <w:r>
        <w:rPr>
          <w:rFonts w:ascii="仿宋_GB2312" w:eastAsia="仿宋_GB2312" w:hAnsi="仿宋_GB2312" w:cs="仿宋_GB2312" w:hint="eastAsia"/>
          <w:sz w:val="32"/>
          <w:szCs w:val="32"/>
          <w:lang w:val="zh-CN"/>
        </w:rPr>
        <w:t>本年医疗保险缴费基数下调，</w:t>
      </w:r>
      <w:r>
        <w:rPr>
          <w:rFonts w:ascii="仿宋_GB2312" w:eastAsia="仿宋_GB2312" w:hAnsi="仿宋_GB2312" w:cs="仿宋_GB2312" w:hint="eastAsia"/>
          <w:sz w:val="32"/>
          <w:szCs w:val="32"/>
        </w:rPr>
        <w:t>事业单位医疗缴费减少</w:t>
      </w:r>
      <w:r>
        <w:rPr>
          <w:rFonts w:ascii="仿宋_GB2312" w:eastAsia="仿宋_GB2312" w:hAnsi="仿宋_GB2312" w:cs="仿宋_GB2312" w:hint="eastAsia"/>
          <w:sz w:val="32"/>
          <w:szCs w:val="32"/>
          <w:lang w:val="zh-CN"/>
        </w:rPr>
        <w:t>。</w:t>
      </w:r>
    </w:p>
    <w:p w:rsidR="00D761FF"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2.住房保障支出（类）住房改革支出（款）住房公积金（项）:支出决算数为9.46万元，比上年决算减少0.17万元，下降1.77%，主要原因是：</w:t>
      </w:r>
      <w:r>
        <w:rPr>
          <w:rFonts w:ascii="仿宋_GB2312" w:eastAsia="仿宋_GB2312" w:hAnsi="仿宋_GB2312" w:cs="仿宋_GB2312" w:hint="eastAsia"/>
          <w:sz w:val="32"/>
          <w:szCs w:val="32"/>
          <w:lang w:val="zh-CN"/>
        </w:rPr>
        <w:t>本年公积金缴费基数下调，单位公积金缴费减少。</w:t>
      </w:r>
    </w:p>
    <w:p w:rsidR="00D761FF"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3.城乡社区支出（类）城乡社区管理事务（款）其他城乡社区管理事务支出（项）:支出决算数为754.39万元，比上年决算增加630.52万元，增长509.02%，主要原因是：本年</w:t>
      </w:r>
      <w:r>
        <w:rPr>
          <w:rFonts w:ascii="仿宋_GB2312" w:eastAsia="仿宋_GB2312" w:hAnsi="仿宋_GB2312" w:cs="仿宋_GB2312" w:hint="eastAsia"/>
          <w:sz w:val="32"/>
          <w:szCs w:val="32"/>
          <w:lang w:val="zh-CN"/>
        </w:rPr>
        <w:t>昌吉州财预【2023】28号党校学员楼网架工程质保金增加。</w:t>
      </w:r>
    </w:p>
    <w:p w:rsidR="00D761FF"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4.资源勘探工业信息等支出（类）支持中小企业发展和</w:t>
      </w:r>
      <w:r>
        <w:rPr>
          <w:rFonts w:ascii="仿宋_GB2312" w:eastAsia="仿宋_GB2312" w:hAnsi="仿宋_GB2312" w:cs="仿宋_GB2312" w:hint="eastAsia"/>
          <w:sz w:val="32"/>
          <w:szCs w:val="32"/>
        </w:rPr>
        <w:lastRenderedPageBreak/>
        <w:t>管理支出（款）其他支持中小企业发展和管理支出（项）:支出决算数为954.20万元，比上年决算增加229.06万元，增长31.59%，主要原因是：本年增加</w:t>
      </w:r>
      <w:r>
        <w:rPr>
          <w:rFonts w:ascii="仿宋_GB2312" w:eastAsia="仿宋_GB2312" w:hAnsi="仿宋_GB2312" w:cs="仿宋_GB2312" w:hint="eastAsia"/>
          <w:sz w:val="32"/>
          <w:szCs w:val="32"/>
          <w:lang w:val="zh-CN"/>
        </w:rPr>
        <w:t>2023年中小企业债务项目化解资金。</w:t>
      </w:r>
    </w:p>
    <w:p w:rsidR="00D761FF"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5.城乡社区支出（类）城乡社区管理事务（款）行政运行（项）:支出决算数为104.68万元，比上年决算增加1.86万元，增长1.81%，主要原因是：</w:t>
      </w:r>
      <w:r>
        <w:rPr>
          <w:rFonts w:ascii="仿宋_GB2312" w:eastAsia="仿宋_GB2312" w:hAnsi="仿宋_GB2312" w:cs="仿宋_GB2312" w:hint="eastAsia"/>
          <w:sz w:val="32"/>
          <w:szCs w:val="32"/>
          <w:lang w:val="zh-CN"/>
        </w:rPr>
        <w:t>本年单位人员绩效工资较上年增加。</w:t>
      </w:r>
    </w:p>
    <w:p w:rsidR="00D761FF"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6.社会保障和就业支出（类）行政事业单位养老支出（款）机关事业单位基本养老保险缴费支出（项）:支出决算数为11.27万元，比上年决算减少0.13万元，下降1.14%，主要原因是：</w:t>
      </w:r>
      <w:r>
        <w:rPr>
          <w:rFonts w:ascii="仿宋_GB2312" w:eastAsia="仿宋_GB2312" w:hAnsi="仿宋_GB2312" w:cs="仿宋_GB2312" w:hint="eastAsia"/>
          <w:sz w:val="32"/>
          <w:szCs w:val="32"/>
          <w:lang w:val="zh-CN"/>
        </w:rPr>
        <w:t>本年养老保险缴费基数下调，</w:t>
      </w:r>
      <w:r>
        <w:rPr>
          <w:rFonts w:ascii="仿宋_GB2312" w:eastAsia="仿宋_GB2312" w:hAnsi="仿宋_GB2312" w:cs="仿宋_GB2312" w:hint="eastAsia"/>
          <w:sz w:val="32"/>
          <w:szCs w:val="32"/>
        </w:rPr>
        <w:t>单位基本养老保险缴费减少</w:t>
      </w:r>
      <w:r>
        <w:rPr>
          <w:rFonts w:ascii="仿宋_GB2312" w:eastAsia="仿宋_GB2312" w:hAnsi="仿宋_GB2312" w:cs="仿宋_GB2312" w:hint="eastAsia"/>
          <w:sz w:val="32"/>
          <w:szCs w:val="32"/>
          <w:lang w:val="zh-CN"/>
        </w:rPr>
        <w:t>。</w:t>
      </w:r>
    </w:p>
    <w:p w:rsidR="00D761FF"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7.城乡社区支出（类）其他城乡社区支出（款）其他城乡社区支出（项）:支出决算数为0.00万元，比上年决算减少0.72万元，下降100%，主要原因是：本年</w:t>
      </w:r>
      <w:r w:rsidR="00156D88">
        <w:rPr>
          <w:rFonts w:ascii="仿宋_GB2312" w:eastAsia="仿宋_GB2312" w:hAnsi="仿宋_GB2312" w:cs="仿宋_GB2312" w:hint="eastAsia"/>
          <w:sz w:val="32"/>
          <w:szCs w:val="32"/>
        </w:rPr>
        <w:t>减少</w:t>
      </w:r>
      <w:r w:rsidR="00156D88" w:rsidRPr="00156D88">
        <w:rPr>
          <w:rFonts w:ascii="仿宋_GB2312" w:eastAsia="仿宋_GB2312" w:hAnsi="仿宋_GB2312" w:cs="仿宋_GB2312" w:hint="eastAsia"/>
          <w:sz w:val="32"/>
          <w:szCs w:val="32"/>
        </w:rPr>
        <w:t>奇台水磨河项目工程</w:t>
      </w:r>
      <w:r w:rsidR="00156D88">
        <w:rPr>
          <w:rFonts w:ascii="仿宋_GB2312" w:eastAsia="仿宋_GB2312" w:hAnsi="仿宋_GB2312" w:cs="仿宋_GB2312" w:hint="eastAsia"/>
          <w:sz w:val="32"/>
          <w:szCs w:val="32"/>
        </w:rPr>
        <w:t>及</w:t>
      </w:r>
      <w:r w:rsidR="00156D88" w:rsidRPr="00156D88">
        <w:rPr>
          <w:rFonts w:ascii="仿宋_GB2312" w:eastAsia="仿宋_GB2312" w:hAnsi="仿宋_GB2312" w:cs="仿宋_GB2312" w:hint="eastAsia"/>
          <w:sz w:val="32"/>
          <w:szCs w:val="32"/>
        </w:rPr>
        <w:t>奇台中等职业技术学校和人民公园展厅外立面改造工程</w:t>
      </w:r>
      <w:r>
        <w:rPr>
          <w:rFonts w:ascii="仿宋_GB2312" w:eastAsia="仿宋_GB2312" w:hAnsi="仿宋_GB2312" w:cs="仿宋_GB2312" w:hint="eastAsia"/>
          <w:sz w:val="32"/>
          <w:szCs w:val="32"/>
          <w:lang w:val="zh-CN"/>
        </w:rPr>
        <w:t>。</w:t>
      </w:r>
    </w:p>
    <w:p w:rsidR="00D761FF"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t>六、一般公共预算财政拨款基本支出决算情况说明</w:t>
      </w:r>
    </w:p>
    <w:p w:rsidR="00D761FF"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2023年度一般公共预算财政拨款基本支出131.09万元，其中：人员经费117.92万元，包括：基本工资、津贴补贴、奖金、绩效工资、机关事业单位基本养老保险缴费、职工基</w:t>
      </w:r>
      <w:r>
        <w:rPr>
          <w:rFonts w:ascii="仿宋_GB2312" w:eastAsia="仿宋_GB2312" w:hint="eastAsia"/>
          <w:sz w:val="32"/>
          <w:szCs w:val="32"/>
        </w:rPr>
        <w:lastRenderedPageBreak/>
        <w:t>本医疗保险缴费、其他社会保障缴费、住房公积金。</w:t>
      </w:r>
    </w:p>
    <w:p w:rsidR="00D761FF" w:rsidRDefault="00000000">
      <w:pPr>
        <w:ind w:firstLineChars="200" w:firstLine="640"/>
        <w:jc w:val="left"/>
        <w:rPr>
          <w:rFonts w:ascii="仿宋_GB2312" w:eastAsia="仿宋_GB2312"/>
          <w:sz w:val="32"/>
          <w:szCs w:val="32"/>
        </w:rPr>
      </w:pPr>
      <w:r>
        <w:rPr>
          <w:rFonts w:ascii="仿宋_GB2312" w:eastAsia="仿宋_GB2312" w:hint="eastAsia"/>
          <w:sz w:val="32"/>
          <w:szCs w:val="32"/>
        </w:rPr>
        <w:t>公用经费13.17万元，包括：办公费、差旅费、委托业务费。</w:t>
      </w:r>
    </w:p>
    <w:p w:rsidR="00D761FF"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t>七、财政拨款“三公”经费支出决算情况说明</w:t>
      </w:r>
    </w:p>
    <w:p w:rsidR="00D761FF"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2023年度</w:t>
      </w:r>
      <w:r>
        <w:rPr>
          <w:rFonts w:ascii="仿宋_GB2312" w:eastAsia="仿宋_GB2312" w:hint="eastAsia"/>
          <w:sz w:val="32"/>
          <w:szCs w:val="32"/>
        </w:rPr>
        <w:t>财政拨款</w:t>
      </w:r>
      <w:r>
        <w:rPr>
          <w:rFonts w:ascii="仿宋_GB2312" w:eastAsia="仿宋_GB2312" w:hint="eastAsia"/>
          <w:sz w:val="32"/>
          <w:szCs w:val="32"/>
          <w:lang w:val="zh-CN"/>
        </w:rPr>
        <w:t>“三公”经费支出0.00万元，</w:t>
      </w:r>
      <w:r>
        <w:rPr>
          <w:rFonts w:ascii="仿宋_GB2312" w:eastAsia="仿宋_GB2312" w:hint="eastAsia"/>
          <w:sz w:val="32"/>
          <w:szCs w:val="32"/>
        </w:rPr>
        <w:t>比上年</w:t>
      </w:r>
      <w:r>
        <w:rPr>
          <w:rFonts w:ascii="仿宋_GB2312" w:eastAsia="仿宋_GB2312" w:hint="eastAsia"/>
          <w:sz w:val="32"/>
          <w:szCs w:val="32"/>
          <w:lang w:val="zh-CN"/>
        </w:rPr>
        <w:t>增加0.00万元，</w:t>
      </w:r>
      <w:r>
        <w:rPr>
          <w:rFonts w:ascii="仿宋_GB2312" w:eastAsia="仿宋_GB2312" w:hint="eastAsia"/>
          <w:sz w:val="32"/>
          <w:szCs w:val="32"/>
        </w:rPr>
        <w:t>增长0.00%,</w:t>
      </w:r>
      <w:r>
        <w:rPr>
          <w:rFonts w:ascii="仿宋_GB2312" w:eastAsia="仿宋_GB2312" w:hint="eastAsia"/>
          <w:sz w:val="32"/>
          <w:szCs w:val="32"/>
          <w:lang w:val="zh-CN"/>
        </w:rPr>
        <w:t>主要原因是：本年单位无此项经费。其中：因公出国（境）费支出0.00万元，占0.00%，比上年增加0.00万元，</w:t>
      </w:r>
      <w:r>
        <w:rPr>
          <w:rFonts w:ascii="仿宋_GB2312" w:eastAsia="仿宋_GB2312" w:hint="eastAsia"/>
          <w:sz w:val="32"/>
          <w:szCs w:val="32"/>
        </w:rPr>
        <w:t>增长0.00%,</w:t>
      </w:r>
      <w:r>
        <w:rPr>
          <w:rFonts w:ascii="仿宋_GB2312" w:eastAsia="仿宋_GB2312" w:hint="eastAsia"/>
          <w:sz w:val="32"/>
          <w:szCs w:val="32"/>
          <w:lang w:val="zh-CN"/>
        </w:rPr>
        <w:t>主要原因是：本年单位无此项经费；公务用车购置及运行维护费支出0.00万元，占0.00%，比上年增加0.00万元，</w:t>
      </w:r>
      <w:r>
        <w:rPr>
          <w:rFonts w:ascii="仿宋_GB2312" w:eastAsia="仿宋_GB2312" w:hint="eastAsia"/>
          <w:sz w:val="32"/>
          <w:szCs w:val="32"/>
        </w:rPr>
        <w:t>增长0.00%,</w:t>
      </w:r>
      <w:r>
        <w:rPr>
          <w:rFonts w:ascii="仿宋_GB2312" w:eastAsia="仿宋_GB2312" w:hint="eastAsia"/>
          <w:sz w:val="32"/>
          <w:szCs w:val="32"/>
          <w:lang w:val="zh-CN"/>
        </w:rPr>
        <w:t>主要原因是：本年单位无此项经费；公务接待费支出0.00万元，占0.00%，比上年增加0.00万元，</w:t>
      </w:r>
      <w:r>
        <w:rPr>
          <w:rFonts w:ascii="仿宋_GB2312" w:eastAsia="仿宋_GB2312" w:hint="eastAsia"/>
          <w:sz w:val="32"/>
          <w:szCs w:val="32"/>
        </w:rPr>
        <w:t>增长0.00%,</w:t>
      </w:r>
      <w:r>
        <w:rPr>
          <w:rFonts w:ascii="仿宋_GB2312" w:eastAsia="仿宋_GB2312" w:hint="eastAsia"/>
          <w:sz w:val="32"/>
          <w:szCs w:val="32"/>
          <w:lang w:val="zh-CN"/>
        </w:rPr>
        <w:t>主要原因是：本年单位无此项经费。</w:t>
      </w:r>
    </w:p>
    <w:p w:rsidR="00D761FF"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具体情况如下：</w:t>
      </w:r>
    </w:p>
    <w:p w:rsidR="00D761FF"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因公出国（境）费支出0.00万元，开支内容包括本年单位无此项经费。单位全年安排的因公出国（境）团组0个，因公出国（境）0人次。</w:t>
      </w:r>
    </w:p>
    <w:p w:rsidR="00D761FF" w:rsidRDefault="00000000">
      <w:pPr>
        <w:ind w:firstLineChars="200" w:firstLine="640"/>
        <w:jc w:val="left"/>
        <w:rPr>
          <w:rFonts w:ascii="仿宋_GB2312" w:eastAsia="仿宋_GB2312"/>
          <w:sz w:val="32"/>
          <w:szCs w:val="32"/>
        </w:rPr>
      </w:pPr>
      <w:r>
        <w:rPr>
          <w:rFonts w:ascii="仿宋_GB2312" w:eastAsia="仿宋_GB2312" w:hint="eastAsia"/>
          <w:sz w:val="32"/>
          <w:szCs w:val="32"/>
          <w:lang w:val="zh-CN"/>
        </w:rPr>
        <w:t>公务用车购置及运行维护费0.00万元，其中：公务用车购置费0.00万元，公务用车运行维护费0.00万元。公务用车运行维护费开支内容包括本年单位无此项经费。公务用车购置数0辆，公务用车保有量0辆。国有资产占用情况</w:t>
      </w:r>
      <w:r>
        <w:rPr>
          <w:rFonts w:ascii="仿宋_GB2312" w:eastAsia="仿宋_GB2312" w:hint="eastAsia"/>
          <w:sz w:val="32"/>
          <w:szCs w:val="32"/>
        </w:rPr>
        <w:t>中固定资产车辆</w:t>
      </w:r>
      <w:r>
        <w:rPr>
          <w:rFonts w:ascii="仿宋_GB2312" w:eastAsia="仿宋_GB2312" w:hint="eastAsia"/>
          <w:sz w:val="32"/>
          <w:szCs w:val="32"/>
          <w:lang w:val="zh-CN"/>
        </w:rPr>
        <w:t>0辆，</w:t>
      </w:r>
      <w:r>
        <w:rPr>
          <w:rFonts w:ascii="仿宋_GB2312" w:eastAsia="仿宋_GB2312" w:hint="eastAsia"/>
          <w:sz w:val="32"/>
          <w:szCs w:val="32"/>
        </w:rPr>
        <w:t>与</w:t>
      </w:r>
      <w:r>
        <w:rPr>
          <w:rFonts w:ascii="仿宋_GB2312" w:eastAsia="仿宋_GB2312" w:hint="eastAsia"/>
          <w:sz w:val="32"/>
          <w:szCs w:val="32"/>
          <w:lang w:val="zh-CN"/>
        </w:rPr>
        <w:t>公务用车</w:t>
      </w:r>
      <w:r>
        <w:rPr>
          <w:rFonts w:ascii="仿宋_GB2312" w:eastAsia="仿宋_GB2312" w:hint="eastAsia"/>
          <w:sz w:val="32"/>
          <w:szCs w:val="32"/>
        </w:rPr>
        <w:t>保有量差异</w:t>
      </w:r>
      <w:r>
        <w:rPr>
          <w:rFonts w:ascii="仿宋_GB2312" w:eastAsia="仿宋_GB2312" w:hint="eastAsia"/>
          <w:sz w:val="32"/>
          <w:szCs w:val="32"/>
          <w:lang w:val="zh-CN"/>
        </w:rPr>
        <w:t>原因是：</w:t>
      </w:r>
      <w:r w:rsidR="00156D88" w:rsidRPr="00156D88">
        <w:rPr>
          <w:rFonts w:ascii="仿宋_GB2312" w:eastAsia="仿宋_GB2312" w:hint="eastAsia"/>
          <w:sz w:val="32"/>
          <w:szCs w:val="32"/>
          <w:lang w:val="zh-CN"/>
        </w:rPr>
        <w:t>本单位</w:t>
      </w:r>
      <w:r w:rsidR="00156D88" w:rsidRPr="00156D88">
        <w:rPr>
          <w:rFonts w:ascii="仿宋_GB2312" w:eastAsia="仿宋_GB2312" w:hint="eastAsia"/>
          <w:sz w:val="32"/>
          <w:szCs w:val="32"/>
          <w:lang w:val="zh-CN"/>
        </w:rPr>
        <w:lastRenderedPageBreak/>
        <w:t>固定资产车辆与公务用车保有量一致无差异</w:t>
      </w:r>
      <w:r>
        <w:rPr>
          <w:rFonts w:ascii="仿宋_GB2312" w:eastAsia="仿宋_GB2312" w:hint="eastAsia"/>
          <w:sz w:val="32"/>
          <w:szCs w:val="32"/>
          <w:lang w:val="zh-CN"/>
        </w:rPr>
        <w:t>。</w:t>
      </w:r>
    </w:p>
    <w:p w:rsidR="00D761FF"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公务接待费0.00万元，开支内容包括本年单位无此项经费。单位全年安排的国内公务接待0批次，0人次。</w:t>
      </w:r>
    </w:p>
    <w:p w:rsidR="00D761FF"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与</w:t>
      </w:r>
      <w:r>
        <w:rPr>
          <w:rFonts w:ascii="仿宋_GB2312" w:eastAsia="仿宋_GB2312" w:hint="eastAsia"/>
          <w:sz w:val="32"/>
          <w:szCs w:val="32"/>
        </w:rPr>
        <w:t>全年</w:t>
      </w:r>
      <w:r>
        <w:rPr>
          <w:rFonts w:ascii="仿宋_GB2312" w:eastAsia="仿宋_GB2312" w:hint="eastAsia"/>
          <w:sz w:val="32"/>
          <w:szCs w:val="32"/>
          <w:lang w:val="zh-CN"/>
        </w:rPr>
        <w:t>预算相比</w:t>
      </w:r>
      <w:r>
        <w:rPr>
          <w:rFonts w:ascii="仿宋_GB2312" w:eastAsia="仿宋_GB2312" w:hint="eastAsia"/>
          <w:sz w:val="32"/>
          <w:szCs w:val="32"/>
        </w:rPr>
        <w:t>,</w:t>
      </w:r>
      <w:r>
        <w:rPr>
          <w:rFonts w:ascii="仿宋_GB2312" w:eastAsia="仿宋_GB2312" w:hint="eastAsia"/>
          <w:sz w:val="32"/>
          <w:szCs w:val="32"/>
          <w:lang w:val="zh-CN"/>
        </w:rPr>
        <w:t>财政拨款“三公”经费支出</w:t>
      </w:r>
      <w:r>
        <w:rPr>
          <w:rFonts w:ascii="仿宋_GB2312" w:eastAsia="仿宋_GB2312" w:hint="eastAsia"/>
          <w:sz w:val="32"/>
          <w:szCs w:val="32"/>
        </w:rPr>
        <w:t>全年</w:t>
      </w:r>
      <w:r>
        <w:rPr>
          <w:rFonts w:ascii="仿宋_GB2312" w:eastAsia="仿宋_GB2312" w:hint="eastAsia"/>
          <w:sz w:val="32"/>
          <w:szCs w:val="32"/>
          <w:lang w:val="zh-CN"/>
        </w:rPr>
        <w:t>预算数0.00万元，决算数0.00万元，预决算差异率0.00%，主要原因是：本年单位无此项经费。其中：因公出国（境）费</w:t>
      </w:r>
      <w:r>
        <w:rPr>
          <w:rFonts w:ascii="仿宋_GB2312" w:eastAsia="仿宋_GB2312" w:hint="eastAsia"/>
          <w:sz w:val="32"/>
          <w:szCs w:val="32"/>
        </w:rPr>
        <w:t>全年预算数</w:t>
      </w:r>
      <w:r>
        <w:rPr>
          <w:rFonts w:ascii="仿宋_GB2312" w:eastAsia="仿宋_GB2312" w:hint="eastAsia"/>
          <w:sz w:val="32"/>
          <w:szCs w:val="32"/>
          <w:lang w:val="zh-CN"/>
        </w:rPr>
        <w:t>0.00万元，决算数0.00万元，预决算差异率0.00%，主要原因是：本年单位无此项经费；公务用车购置费</w:t>
      </w:r>
      <w:r>
        <w:rPr>
          <w:rFonts w:ascii="仿宋_GB2312" w:eastAsia="仿宋_GB2312" w:hint="eastAsia"/>
          <w:sz w:val="32"/>
          <w:szCs w:val="32"/>
        </w:rPr>
        <w:t>全年</w:t>
      </w:r>
      <w:r>
        <w:rPr>
          <w:rFonts w:ascii="仿宋_GB2312" w:eastAsia="仿宋_GB2312" w:hint="eastAsia"/>
          <w:sz w:val="32"/>
          <w:szCs w:val="32"/>
          <w:lang w:val="zh-CN"/>
        </w:rPr>
        <w:t>预算数0.00万元，决算数0.00万元，预决算差异率0.00%，主要原因是：本年单位无此项经费；公务用车运行费</w:t>
      </w:r>
      <w:r>
        <w:rPr>
          <w:rFonts w:ascii="仿宋_GB2312" w:eastAsia="仿宋_GB2312" w:hint="eastAsia"/>
          <w:sz w:val="32"/>
          <w:szCs w:val="32"/>
        </w:rPr>
        <w:t>全年</w:t>
      </w:r>
      <w:r>
        <w:rPr>
          <w:rFonts w:ascii="仿宋_GB2312" w:eastAsia="仿宋_GB2312" w:hint="eastAsia"/>
          <w:sz w:val="32"/>
          <w:szCs w:val="32"/>
          <w:lang w:val="zh-CN"/>
        </w:rPr>
        <w:t>预算数0.00万元，决算数0.00万元，预决算差异率0.00%，主要原因是：本年单位无此项经费；公务接待费</w:t>
      </w:r>
      <w:r>
        <w:rPr>
          <w:rFonts w:ascii="仿宋_GB2312" w:eastAsia="仿宋_GB2312" w:hint="eastAsia"/>
          <w:sz w:val="32"/>
          <w:szCs w:val="32"/>
        </w:rPr>
        <w:t>全年</w:t>
      </w:r>
      <w:r>
        <w:rPr>
          <w:rFonts w:ascii="仿宋_GB2312" w:eastAsia="仿宋_GB2312" w:hint="eastAsia"/>
          <w:sz w:val="32"/>
          <w:szCs w:val="32"/>
          <w:lang w:val="zh-CN"/>
        </w:rPr>
        <w:t>预算数0.00万元，决算数0.00万元，预决算差异率0.00%，主要原因是：本年单位无此项经费。</w:t>
      </w:r>
    </w:p>
    <w:p w:rsidR="00D761FF" w:rsidRDefault="00000000">
      <w:pPr>
        <w:ind w:firstLineChars="200" w:firstLine="640"/>
        <w:jc w:val="left"/>
        <w:outlineLvl w:val="1"/>
        <w:rPr>
          <w:rFonts w:ascii="黑体" w:eastAsia="黑体" w:hAnsi="黑体" w:cs="宋体" w:hint="eastAsia"/>
          <w:bCs/>
          <w:kern w:val="0"/>
          <w:sz w:val="32"/>
          <w:szCs w:val="32"/>
        </w:rPr>
      </w:pPr>
      <w:bookmarkStart w:id="18" w:name="_Toc7927"/>
      <w:bookmarkStart w:id="19" w:name="_Toc5810"/>
      <w:r>
        <w:rPr>
          <w:rFonts w:ascii="黑体" w:eastAsia="黑体" w:hAnsi="黑体" w:cs="宋体" w:hint="eastAsia"/>
          <w:bCs/>
          <w:kern w:val="0"/>
          <w:sz w:val="32"/>
          <w:szCs w:val="32"/>
        </w:rPr>
        <w:t>八、政府性基金预算财政拨款收入支出决算情况说明</w:t>
      </w:r>
      <w:bookmarkEnd w:id="18"/>
      <w:bookmarkEnd w:id="19"/>
    </w:p>
    <w:p w:rsidR="00D761FF" w:rsidRDefault="00000000">
      <w:pPr>
        <w:ind w:firstLineChars="200" w:firstLine="640"/>
        <w:jc w:val="left"/>
        <w:rPr>
          <w:rFonts w:ascii="仿宋_GB2312" w:eastAsia="仿宋_GB2312"/>
          <w:sz w:val="32"/>
          <w:szCs w:val="32"/>
        </w:rPr>
      </w:pPr>
      <w:r>
        <w:rPr>
          <w:rFonts w:ascii="仿宋_GB2312" w:eastAsia="仿宋_GB2312" w:hint="eastAsia"/>
          <w:sz w:val="32"/>
          <w:szCs w:val="32"/>
        </w:rPr>
        <w:t>我单位本年度无政府性基金预算财政拨款收入、支出及结转和结余，政府性基金预算财政拨款收入支出决算表为空表。</w:t>
      </w:r>
    </w:p>
    <w:p w:rsidR="00D761FF"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t>九、国有资本经营预算财政拨款收入支出决算情况说明</w:t>
      </w:r>
    </w:p>
    <w:p w:rsidR="00D761FF" w:rsidRDefault="00000000">
      <w:pPr>
        <w:ind w:firstLineChars="200" w:firstLine="640"/>
        <w:jc w:val="left"/>
        <w:rPr>
          <w:rFonts w:ascii="仿宋_GB2312" w:eastAsia="仿宋_GB2312"/>
          <w:sz w:val="32"/>
          <w:szCs w:val="32"/>
        </w:rPr>
      </w:pPr>
      <w:r>
        <w:rPr>
          <w:rFonts w:ascii="仿宋_GB2312" w:eastAsia="仿宋_GB2312" w:hint="eastAsia"/>
          <w:sz w:val="32"/>
          <w:szCs w:val="32"/>
        </w:rPr>
        <w:t>我单位本年度无国有资本经营预算财政拨款收入、支出及结转和结余，国有资本经营预算财政拨款收入支出决算表为空表。</w:t>
      </w:r>
    </w:p>
    <w:p w:rsidR="00D761FF" w:rsidRDefault="00000000">
      <w:pPr>
        <w:ind w:firstLineChars="200" w:firstLine="640"/>
        <w:jc w:val="left"/>
        <w:outlineLvl w:val="1"/>
        <w:rPr>
          <w:rFonts w:ascii="黑体" w:eastAsia="黑体" w:hAnsi="黑体" w:cs="宋体" w:hint="eastAsia"/>
          <w:bCs/>
          <w:kern w:val="0"/>
          <w:sz w:val="32"/>
          <w:szCs w:val="32"/>
        </w:rPr>
      </w:pPr>
      <w:bookmarkStart w:id="20" w:name="_Toc1235"/>
      <w:bookmarkStart w:id="21" w:name="_Toc7314"/>
      <w:r>
        <w:rPr>
          <w:rFonts w:ascii="黑体" w:eastAsia="黑体" w:hAnsi="黑体" w:cs="宋体" w:hint="eastAsia"/>
          <w:bCs/>
          <w:kern w:val="0"/>
          <w:sz w:val="32"/>
          <w:szCs w:val="32"/>
        </w:rPr>
        <w:lastRenderedPageBreak/>
        <w:t>十、其他重要事项的情况说明</w:t>
      </w:r>
      <w:bookmarkEnd w:id="20"/>
      <w:bookmarkEnd w:id="21"/>
    </w:p>
    <w:p w:rsidR="00D761FF" w:rsidRDefault="00000000">
      <w:pPr>
        <w:ind w:firstLineChars="200" w:firstLine="640"/>
        <w:jc w:val="left"/>
        <w:outlineLvl w:val="2"/>
        <w:rPr>
          <w:rFonts w:ascii="黑体" w:eastAsia="黑体" w:hAnsi="黑体" w:hint="eastAsia"/>
          <w:sz w:val="32"/>
          <w:szCs w:val="32"/>
        </w:rPr>
      </w:pPr>
      <w:bookmarkStart w:id="22" w:name="_Toc14519"/>
      <w:bookmarkStart w:id="23" w:name="_Toc13105"/>
      <w:r>
        <w:rPr>
          <w:rFonts w:ascii="黑体" w:eastAsia="黑体" w:hAnsi="黑体" w:hint="eastAsia"/>
          <w:sz w:val="32"/>
          <w:szCs w:val="32"/>
        </w:rPr>
        <w:t>（一）机关运行经费支出情况</w:t>
      </w:r>
      <w:bookmarkEnd w:id="22"/>
      <w:bookmarkEnd w:id="23"/>
    </w:p>
    <w:p w:rsidR="00D761FF" w:rsidRDefault="00000000">
      <w:pPr>
        <w:ind w:firstLineChars="200" w:firstLine="640"/>
        <w:rPr>
          <w:rFonts w:ascii="仿宋_GB2312" w:eastAsia="仿宋_GB2312" w:hAnsi="仿宋_GB2312" w:cs="仿宋_GB2312" w:hint="eastAsia"/>
          <w:sz w:val="32"/>
          <w:szCs w:val="32"/>
          <w:lang w:val="zh-CN"/>
        </w:rPr>
      </w:pPr>
      <w:bookmarkStart w:id="24" w:name="_Toc26704"/>
      <w:bookmarkStart w:id="25" w:name="_Toc227"/>
      <w:r>
        <w:rPr>
          <w:rFonts w:ascii="仿宋_GB2312" w:eastAsia="仿宋_GB2312" w:hAnsi="仿宋_GB2312" w:cs="仿宋_GB2312" w:hint="eastAsia"/>
          <w:sz w:val="32"/>
          <w:szCs w:val="32"/>
          <w:lang w:val="zh-CN"/>
        </w:rPr>
        <w:t>2023年度</w:t>
      </w:r>
      <w:r>
        <w:rPr>
          <w:rFonts w:ascii="仿宋_GB2312" w:eastAsia="仿宋_GB2312" w:hAnsi="仿宋_GB2312" w:cs="仿宋_GB2312" w:hint="eastAsia"/>
          <w:sz w:val="32"/>
          <w:szCs w:val="32"/>
        </w:rPr>
        <w:t>奇台县项目代建管理局（事业单位）公用经费支出13.17万元，</w:t>
      </w:r>
      <w:r>
        <w:rPr>
          <w:rFonts w:ascii="仿宋_GB2312" w:eastAsia="仿宋_GB2312" w:hAnsi="仿宋_GB2312" w:cs="仿宋_GB2312" w:hint="eastAsia"/>
          <w:sz w:val="32"/>
          <w:szCs w:val="32"/>
          <w:lang w:val="zh-CN"/>
        </w:rPr>
        <w:t>比上年增加10.46万元，增长385.98%，主要原因是：</w:t>
      </w:r>
      <w:r>
        <w:rPr>
          <w:rFonts w:ascii="仿宋_GB2312" w:eastAsia="仿宋_GB2312" w:hAnsi="仿宋_GB2312" w:cs="仿宋_GB2312" w:hint="eastAsia"/>
          <w:sz w:val="32"/>
          <w:szCs w:val="32"/>
        </w:rPr>
        <w:t>本年办公费，</w:t>
      </w:r>
      <w:r>
        <w:rPr>
          <w:rFonts w:ascii="仿宋_GB2312" w:eastAsia="仿宋_GB2312" w:hAnsi="仿宋_GB2312" w:cs="仿宋_GB2312" w:hint="eastAsia"/>
          <w:sz w:val="32"/>
          <w:szCs w:val="32"/>
          <w:lang w:val="zh-CN"/>
        </w:rPr>
        <w:t>差旅费</w:t>
      </w:r>
      <w:r>
        <w:rPr>
          <w:rFonts w:ascii="仿宋_GB2312" w:eastAsia="仿宋_GB2312" w:hAnsi="仿宋_GB2312" w:cs="仿宋_GB2312" w:hint="eastAsia"/>
          <w:sz w:val="32"/>
          <w:szCs w:val="32"/>
        </w:rPr>
        <w:t>和</w:t>
      </w:r>
      <w:r>
        <w:rPr>
          <w:rFonts w:ascii="仿宋_GB2312" w:eastAsia="仿宋_GB2312" w:hAnsi="仿宋_GB2312" w:cs="仿宋_GB2312" w:hint="eastAsia"/>
          <w:sz w:val="32"/>
          <w:szCs w:val="32"/>
          <w:lang w:val="zh-CN"/>
        </w:rPr>
        <w:t>委托业务费</w:t>
      </w:r>
      <w:r>
        <w:rPr>
          <w:rFonts w:ascii="仿宋_GB2312" w:eastAsia="仿宋_GB2312" w:hAnsi="仿宋_GB2312" w:cs="仿宋_GB2312" w:hint="eastAsia"/>
          <w:sz w:val="32"/>
          <w:szCs w:val="32"/>
        </w:rPr>
        <w:t>增加</w:t>
      </w:r>
      <w:r>
        <w:rPr>
          <w:rFonts w:ascii="仿宋_GB2312" w:eastAsia="仿宋_GB2312" w:hAnsi="仿宋_GB2312" w:cs="仿宋_GB2312" w:hint="eastAsia"/>
          <w:sz w:val="32"/>
          <w:szCs w:val="32"/>
          <w:lang w:val="zh-CN"/>
        </w:rPr>
        <w:t>。</w:t>
      </w:r>
    </w:p>
    <w:p w:rsidR="00D761FF" w:rsidRDefault="00000000">
      <w:pPr>
        <w:ind w:firstLineChars="200" w:firstLine="640"/>
        <w:jc w:val="left"/>
        <w:rPr>
          <w:rFonts w:eastAsia="黑体"/>
          <w:sz w:val="32"/>
          <w:szCs w:val="30"/>
          <w:lang w:val="zh-CN"/>
        </w:rPr>
      </w:pPr>
      <w:r>
        <w:rPr>
          <w:rFonts w:eastAsia="黑体" w:hint="eastAsia"/>
          <w:sz w:val="32"/>
          <w:szCs w:val="30"/>
          <w:lang w:val="zh-CN"/>
        </w:rPr>
        <w:t>（二）政府采购情况</w:t>
      </w:r>
      <w:bookmarkEnd w:id="24"/>
      <w:bookmarkEnd w:id="25"/>
    </w:p>
    <w:p w:rsidR="00D761FF"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lang w:val="zh-CN"/>
        </w:rPr>
        <w:t>2023年度政府采购支出总额3.98万元，其中：政府采购货物支出2.96万元、政府采购工程支出0.00万元、政府采购服务支出1.02万元。</w:t>
      </w:r>
    </w:p>
    <w:p w:rsidR="00D761FF" w:rsidRDefault="00000000">
      <w:pPr>
        <w:ind w:firstLineChars="200" w:firstLine="640"/>
        <w:jc w:val="left"/>
        <w:rPr>
          <w:rFonts w:ascii="仿宋_GB2312" w:eastAsia="仿宋_GB2312" w:hAnsi="仿宋_GB2312" w:cs="仿宋_GB2312" w:hint="eastAsia"/>
          <w:sz w:val="32"/>
          <w:szCs w:val="32"/>
        </w:rPr>
      </w:pPr>
      <w:r>
        <w:rPr>
          <w:rFonts w:ascii="仿宋_GB2312" w:eastAsia="仿宋_GB2312" w:hAnsi="仿宋_GB2312" w:cs="仿宋_GB2312" w:hint="eastAsia"/>
          <w:sz w:val="32"/>
          <w:szCs w:val="32"/>
          <w:lang w:val="zh-CN"/>
        </w:rPr>
        <w:t>授予中小企业合同金额2.22万元，占政府采购支出总额的55.78%，其中：授予小微企业合同金额2.22万元，占政府采购支出总额的55.78%</w:t>
      </w:r>
      <w:r>
        <w:rPr>
          <w:rFonts w:ascii="仿宋_GB2312" w:eastAsia="仿宋_GB2312" w:hAnsi="仿宋_GB2312" w:cs="仿宋_GB2312" w:hint="eastAsia"/>
          <w:sz w:val="32"/>
          <w:szCs w:val="32"/>
        </w:rPr>
        <w:t>。</w:t>
      </w:r>
    </w:p>
    <w:p w:rsidR="00D761FF" w:rsidRDefault="00000000">
      <w:pPr>
        <w:ind w:firstLineChars="200" w:firstLine="640"/>
        <w:jc w:val="left"/>
        <w:rPr>
          <w:rFonts w:eastAsia="黑体"/>
          <w:sz w:val="32"/>
          <w:szCs w:val="30"/>
          <w:lang w:val="zh-CN"/>
        </w:rPr>
      </w:pPr>
      <w:bookmarkStart w:id="26" w:name="_Toc8391"/>
      <w:bookmarkStart w:id="27" w:name="_Toc4591"/>
      <w:r>
        <w:rPr>
          <w:rFonts w:eastAsia="黑体" w:hint="eastAsia"/>
          <w:sz w:val="32"/>
          <w:szCs w:val="30"/>
          <w:lang w:val="zh-CN"/>
        </w:rPr>
        <w:t>（三）国有资产占用情况说明</w:t>
      </w:r>
      <w:bookmarkEnd w:id="26"/>
      <w:bookmarkEnd w:id="27"/>
    </w:p>
    <w:p w:rsidR="00D761FF"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截至2023</w:t>
      </w:r>
      <w:r>
        <w:rPr>
          <w:rFonts w:ascii="仿宋_GB2312" w:eastAsia="仿宋_GB2312" w:hAnsi="仿宋_GB2312" w:cs="仿宋_GB2312" w:hint="eastAsia"/>
          <w:sz w:val="32"/>
          <w:szCs w:val="32"/>
          <w:lang w:val="zh-CN"/>
        </w:rPr>
        <w:t>年</w:t>
      </w:r>
      <w:r>
        <w:rPr>
          <w:rFonts w:ascii="仿宋_GB2312" w:eastAsia="仿宋_GB2312" w:hAnsi="仿宋_GB2312" w:cs="仿宋_GB2312" w:hint="eastAsia"/>
          <w:sz w:val="32"/>
          <w:szCs w:val="32"/>
        </w:rPr>
        <w:t>12月31日</w:t>
      </w:r>
      <w:r>
        <w:rPr>
          <w:rFonts w:ascii="仿宋_GB2312" w:eastAsia="仿宋_GB2312" w:hAnsi="仿宋_GB2312" w:cs="仿宋_GB2312" w:hint="eastAsia"/>
          <w:sz w:val="32"/>
          <w:szCs w:val="32"/>
          <w:lang w:val="zh-CN"/>
        </w:rPr>
        <w:t>，</w:t>
      </w:r>
      <w:r>
        <w:rPr>
          <w:rFonts w:ascii="仿宋_GB2312" w:eastAsia="仿宋_GB2312" w:hAnsi="仿宋_GB2312" w:cs="仿宋_GB2312" w:hint="eastAsia"/>
          <w:sz w:val="32"/>
          <w:szCs w:val="32"/>
        </w:rPr>
        <w:t>固定资产原值</w:t>
      </w:r>
      <w:r>
        <w:rPr>
          <w:rFonts w:ascii="仿宋_GB2312" w:eastAsia="仿宋_GB2312" w:hAnsi="仿宋_GB2312" w:cs="仿宋_GB2312" w:hint="eastAsia"/>
          <w:sz w:val="32"/>
          <w:szCs w:val="32"/>
          <w:lang w:val="zh-CN"/>
        </w:rPr>
        <w:t>15.09</w:t>
      </w:r>
      <w:r>
        <w:rPr>
          <w:rFonts w:ascii="仿宋_GB2312" w:eastAsia="仿宋_GB2312" w:hAnsi="仿宋_GB2312" w:cs="仿宋_GB2312" w:hint="eastAsia"/>
          <w:sz w:val="32"/>
          <w:szCs w:val="32"/>
        </w:rPr>
        <w:t>万元，房</w:t>
      </w:r>
      <w:r>
        <w:rPr>
          <w:rFonts w:ascii="仿宋_GB2312" w:eastAsia="仿宋_GB2312" w:hAnsi="仿宋_GB2312" w:cs="仿宋_GB2312" w:hint="eastAsia"/>
          <w:sz w:val="32"/>
          <w:szCs w:val="32"/>
          <w:lang w:val="zh-CN"/>
        </w:rPr>
        <w:t>屋0.00平方米，价值0.00万元。车辆0辆，价值0.00万元，其中：副部（省）级及以上领导用车0辆、主要</w:t>
      </w:r>
      <w:r>
        <w:rPr>
          <w:rFonts w:ascii="仿宋_GB2312" w:eastAsia="仿宋_GB2312" w:hAnsi="仿宋_GB2312" w:cs="仿宋_GB2312" w:hint="eastAsia"/>
          <w:sz w:val="32"/>
          <w:szCs w:val="32"/>
        </w:rPr>
        <w:t>负责人</w:t>
      </w:r>
      <w:r>
        <w:rPr>
          <w:rFonts w:ascii="仿宋_GB2312" w:eastAsia="仿宋_GB2312" w:hAnsi="仿宋_GB2312" w:cs="仿宋_GB2312" w:hint="eastAsia"/>
          <w:sz w:val="32"/>
          <w:szCs w:val="32"/>
          <w:lang w:val="zh-CN"/>
        </w:rPr>
        <w:t>用车0辆、机要通信用车0辆、应急保障用车0辆、执法执勤用车0辆、特种专业技术用车0辆、离退休干部</w:t>
      </w:r>
      <w:r>
        <w:rPr>
          <w:rFonts w:ascii="仿宋_GB2312" w:eastAsia="仿宋_GB2312" w:hAnsi="仿宋_GB2312" w:cs="仿宋_GB2312" w:hint="eastAsia"/>
          <w:sz w:val="32"/>
          <w:szCs w:val="32"/>
        </w:rPr>
        <w:t>服务</w:t>
      </w:r>
      <w:r>
        <w:rPr>
          <w:rFonts w:ascii="仿宋_GB2312" w:eastAsia="仿宋_GB2312" w:hAnsi="仿宋_GB2312" w:cs="仿宋_GB2312" w:hint="eastAsia"/>
          <w:sz w:val="32"/>
          <w:szCs w:val="32"/>
          <w:lang w:val="zh-CN"/>
        </w:rPr>
        <w:t>用车0辆、其他用车0辆，其他用车主要是：</w:t>
      </w:r>
      <w:r>
        <w:rPr>
          <w:rFonts w:ascii="仿宋_GB2312" w:eastAsia="仿宋_GB2312" w:hAnsi="仿宋_GB2312" w:cs="仿宋_GB2312" w:hint="eastAsia"/>
          <w:sz w:val="32"/>
          <w:szCs w:val="32"/>
        </w:rPr>
        <w:t>单位无其他车辆</w:t>
      </w:r>
      <w:r>
        <w:rPr>
          <w:rFonts w:ascii="仿宋_GB2312" w:eastAsia="仿宋_GB2312" w:hAnsi="仿宋_GB2312" w:cs="仿宋_GB2312" w:hint="eastAsia"/>
          <w:sz w:val="32"/>
          <w:szCs w:val="32"/>
          <w:lang w:val="zh-CN"/>
        </w:rPr>
        <w:t>；单价100万元（含）以上设备（不含车辆）0</w:t>
      </w:r>
      <w:r>
        <w:rPr>
          <w:rFonts w:ascii="仿宋_GB2312" w:eastAsia="仿宋_GB2312" w:hAnsi="仿宋_GB2312" w:cs="仿宋_GB2312" w:hint="eastAsia"/>
          <w:sz w:val="32"/>
          <w:szCs w:val="32"/>
        </w:rPr>
        <w:t>台（</w:t>
      </w:r>
      <w:r>
        <w:rPr>
          <w:rFonts w:ascii="仿宋_GB2312" w:eastAsia="仿宋_GB2312" w:hAnsi="仿宋_GB2312" w:cs="仿宋_GB2312" w:hint="eastAsia"/>
          <w:sz w:val="32"/>
          <w:szCs w:val="32"/>
          <w:lang w:val="zh-CN"/>
        </w:rPr>
        <w:t>套）。</w:t>
      </w:r>
    </w:p>
    <w:p w:rsidR="00D761FF" w:rsidRDefault="00000000">
      <w:pPr>
        <w:ind w:firstLineChars="200" w:firstLine="640"/>
        <w:jc w:val="left"/>
        <w:outlineLvl w:val="1"/>
        <w:rPr>
          <w:rFonts w:ascii="黑体" w:eastAsia="黑体" w:hAnsi="黑体" w:cs="宋体" w:hint="eastAsia"/>
          <w:bCs/>
          <w:kern w:val="0"/>
          <w:sz w:val="32"/>
          <w:szCs w:val="32"/>
        </w:rPr>
      </w:pPr>
      <w:bookmarkStart w:id="28" w:name="_Toc435"/>
      <w:bookmarkStart w:id="29" w:name="_Toc11283"/>
      <w:r>
        <w:rPr>
          <w:rFonts w:ascii="黑体" w:eastAsia="黑体" w:hAnsi="黑体" w:cs="宋体" w:hint="eastAsia"/>
          <w:bCs/>
          <w:kern w:val="0"/>
          <w:sz w:val="32"/>
          <w:szCs w:val="32"/>
        </w:rPr>
        <w:t>十一、预算绩效的情况说明</w:t>
      </w:r>
      <w:bookmarkEnd w:id="28"/>
      <w:bookmarkEnd w:id="29"/>
    </w:p>
    <w:p w:rsidR="00D761FF" w:rsidRDefault="00000000">
      <w:pPr>
        <w:ind w:firstLineChars="200" w:firstLine="640"/>
        <w:jc w:val="left"/>
        <w:rPr>
          <w:rFonts w:ascii="仿宋_GB2312" w:eastAsia="仿宋_GB2312"/>
          <w:sz w:val="32"/>
          <w:szCs w:val="32"/>
        </w:rPr>
      </w:pPr>
      <w:r>
        <w:rPr>
          <w:rFonts w:ascii="仿宋_GB2312" w:eastAsia="仿宋_GB2312" w:hint="eastAsia"/>
          <w:sz w:val="32"/>
          <w:szCs w:val="32"/>
        </w:rPr>
        <w:t>根据预算绩效管理要求，我单位2023年度</w:t>
      </w:r>
      <w:r>
        <w:rPr>
          <w:rFonts w:ascii="仿宋_GB2312" w:eastAsia="仿宋_GB2312" w:hAnsi="仿宋_GB2312" w:cs="仿宋_GB2312" w:hint="eastAsia"/>
          <w:kern w:val="0"/>
          <w:sz w:val="32"/>
          <w:szCs w:val="32"/>
        </w:rPr>
        <w:t>预算绩效管</w:t>
      </w:r>
      <w:r>
        <w:rPr>
          <w:rFonts w:ascii="仿宋_GB2312" w:eastAsia="仿宋_GB2312" w:hAnsi="仿宋_GB2312" w:cs="仿宋_GB2312" w:hint="eastAsia"/>
          <w:kern w:val="0"/>
          <w:sz w:val="32"/>
          <w:szCs w:val="32"/>
        </w:rPr>
        <w:lastRenderedPageBreak/>
        <w:t>理整体支出绩效自评表</w:t>
      </w:r>
      <w:r>
        <w:rPr>
          <w:rFonts w:ascii="仿宋_GB2312" w:eastAsia="仿宋_GB2312" w:hint="eastAsia"/>
          <w:sz w:val="32"/>
          <w:szCs w:val="32"/>
        </w:rPr>
        <w:t>1</w:t>
      </w:r>
      <w:r>
        <w:rPr>
          <w:rFonts w:ascii="仿宋_GB2312" w:eastAsia="仿宋_GB2312" w:hAnsi="仿宋_GB2312" w:cs="仿宋_GB2312" w:hint="eastAsia"/>
          <w:kern w:val="0"/>
          <w:sz w:val="32"/>
          <w:szCs w:val="32"/>
        </w:rPr>
        <w:t>个，全年</w:t>
      </w:r>
      <w:r>
        <w:rPr>
          <w:rFonts w:ascii="仿宋_GB2312" w:eastAsia="仿宋_GB2312" w:hint="eastAsia"/>
          <w:sz w:val="32"/>
          <w:szCs w:val="32"/>
        </w:rPr>
        <w:t>预算总额</w:t>
      </w:r>
      <w:r>
        <w:rPr>
          <w:rFonts w:ascii="仿宋_GB2312" w:eastAsia="仿宋_GB2312"/>
          <w:sz w:val="32"/>
          <w:szCs w:val="32"/>
        </w:rPr>
        <w:t>1,841.44</w:t>
      </w:r>
      <w:r>
        <w:rPr>
          <w:rFonts w:ascii="仿宋_GB2312" w:eastAsia="仿宋_GB2312" w:hint="eastAsia"/>
          <w:sz w:val="32"/>
          <w:szCs w:val="32"/>
        </w:rPr>
        <w:t>万元，实际执行总额</w:t>
      </w:r>
      <w:r>
        <w:rPr>
          <w:rFonts w:ascii="仿宋_GB2312" w:eastAsia="仿宋_GB2312"/>
          <w:sz w:val="32"/>
          <w:szCs w:val="32"/>
        </w:rPr>
        <w:t>1,841.44</w:t>
      </w:r>
      <w:r>
        <w:rPr>
          <w:rFonts w:ascii="仿宋_GB2312" w:eastAsia="仿宋_GB2312" w:hint="eastAsia"/>
          <w:sz w:val="32"/>
          <w:szCs w:val="32"/>
        </w:rPr>
        <w:t>万元</w:t>
      </w:r>
      <w:r>
        <w:rPr>
          <w:rFonts w:ascii="仿宋_GB2312" w:eastAsia="仿宋_GB2312" w:hAnsi="仿宋_GB2312" w:cs="仿宋_GB2312" w:hint="eastAsia"/>
          <w:kern w:val="0"/>
          <w:sz w:val="32"/>
          <w:szCs w:val="32"/>
        </w:rPr>
        <w:t>；</w:t>
      </w:r>
      <w:r>
        <w:rPr>
          <w:rFonts w:ascii="仿宋_GB2312" w:eastAsia="仿宋_GB2312" w:hint="eastAsia"/>
          <w:sz w:val="32"/>
          <w:szCs w:val="32"/>
        </w:rPr>
        <w:t>预算绩效评价项目1个，全年预算数</w:t>
      </w:r>
      <w:r>
        <w:rPr>
          <w:rFonts w:ascii="仿宋_GB2312" w:eastAsia="仿宋_GB2312"/>
          <w:sz w:val="32"/>
          <w:szCs w:val="32"/>
        </w:rPr>
        <w:t>969.29</w:t>
      </w:r>
      <w:r>
        <w:rPr>
          <w:rFonts w:ascii="仿宋_GB2312" w:eastAsia="仿宋_GB2312" w:hint="eastAsia"/>
          <w:sz w:val="32"/>
          <w:szCs w:val="32"/>
        </w:rPr>
        <w:t>万元，全年执行数</w:t>
      </w:r>
      <w:r>
        <w:rPr>
          <w:rFonts w:ascii="仿宋_GB2312" w:eastAsia="仿宋_GB2312"/>
          <w:sz w:val="32"/>
          <w:szCs w:val="32"/>
        </w:rPr>
        <w:t>969.20</w:t>
      </w:r>
      <w:r>
        <w:rPr>
          <w:rFonts w:ascii="仿宋_GB2312" w:eastAsia="仿宋_GB2312" w:hint="eastAsia"/>
          <w:sz w:val="32"/>
          <w:szCs w:val="32"/>
        </w:rPr>
        <w:t>万元。预算绩效管理取得的成效：一是所有项目按照时间要求全部正确及时支付；二是所有项目均完成项目绩效目标，自评均达到优秀。发现的问题及原因：一是单位主要领导及各业务科室对全面预算绩效管理认识不足，导致对该项工作的支持和重视不够；二是片面认为预算只是财务科室的工作，造成单位预算绩效管理工作开展困难或流于形式。下一步改进措施：一是持续加强对单位内部预算绩效管理的学习宣传，领导要重视预算绩效管理工作，强调预算绩效不是哪一个部门或科室的事，需要全员加强配合；二是梳理对于预算绩效管理工作开展以来遇到的短板和瓶颈；持续落实预算绩效管理评价结果应用制度。具体项目自评情况附绩效自评表及自评报告。</w:t>
      </w:r>
    </w:p>
    <w:p w:rsidR="00D761FF" w:rsidRDefault="00000000">
      <w:pPr>
        <w:jc w:val="center"/>
        <w:rPr>
          <w:rFonts w:ascii="宋体" w:hAnsi="宋体" w:cs="宋体" w:hint="eastAsia"/>
          <w:b/>
          <w:bCs/>
          <w:kern w:val="0"/>
          <w:sz w:val="28"/>
          <w:szCs w:val="28"/>
        </w:rPr>
      </w:pPr>
      <w:r>
        <w:rPr>
          <w:rFonts w:ascii="宋体" w:hAnsi="宋体" w:cs="宋体" w:hint="eastAsia"/>
          <w:b/>
          <w:bCs/>
          <w:kern w:val="0"/>
          <w:sz w:val="28"/>
          <w:szCs w:val="28"/>
        </w:rPr>
        <w:t>部门（单位）整体支出绩效目标自评表</w:t>
      </w:r>
    </w:p>
    <w:p w:rsidR="00D761FF" w:rsidRDefault="00000000">
      <w:pPr>
        <w:jc w:val="center"/>
        <w:rPr>
          <w:rFonts w:ascii="宋体" w:hAnsi="宋体" w:cs="宋体" w:hint="eastAsia"/>
          <w:b/>
          <w:bCs/>
          <w:kern w:val="0"/>
          <w:sz w:val="18"/>
          <w:szCs w:val="18"/>
        </w:rPr>
      </w:pPr>
      <w:r>
        <w:rPr>
          <w:rFonts w:ascii="宋体" w:hAnsi="宋体" w:cs="宋体" w:hint="eastAsia"/>
          <w:b/>
          <w:bCs/>
          <w:kern w:val="0"/>
          <w:sz w:val="18"/>
          <w:szCs w:val="18"/>
        </w:rPr>
        <w:t>（2023年度）</w:t>
      </w:r>
    </w:p>
    <w:tbl>
      <w:tblPr>
        <w:tblW w:w="9651" w:type="dxa"/>
        <w:tblInd w:w="-601" w:type="dxa"/>
        <w:tblLayout w:type="fixed"/>
        <w:tblLook w:val="04A0" w:firstRow="1" w:lastRow="0" w:firstColumn="1" w:lastColumn="0" w:noHBand="0" w:noVBand="1"/>
      </w:tblPr>
      <w:tblGrid>
        <w:gridCol w:w="993"/>
        <w:gridCol w:w="1417"/>
        <w:gridCol w:w="1418"/>
        <w:gridCol w:w="1276"/>
        <w:gridCol w:w="1701"/>
        <w:gridCol w:w="1134"/>
        <w:gridCol w:w="992"/>
        <w:gridCol w:w="720"/>
      </w:tblGrid>
      <w:tr w:rsidR="00D761FF">
        <w:trPr>
          <w:cantSplit/>
          <w:trHeight w:val="660"/>
        </w:trPr>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tcPr>
          <w:p w:rsidR="00D761FF"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部门（单位）名称</w:t>
            </w:r>
          </w:p>
        </w:tc>
        <w:tc>
          <w:tcPr>
            <w:tcW w:w="8658" w:type="dxa"/>
            <w:gridSpan w:val="7"/>
            <w:tcBorders>
              <w:top w:val="single" w:sz="4" w:space="0" w:color="auto"/>
              <w:left w:val="nil"/>
              <w:bottom w:val="single" w:sz="4" w:space="0" w:color="auto"/>
              <w:right w:val="single" w:sz="4" w:space="0" w:color="auto"/>
            </w:tcBorders>
            <w:shd w:val="clear" w:color="auto" w:fill="auto"/>
            <w:noWrap/>
            <w:vAlign w:val="center"/>
          </w:tcPr>
          <w:p w:rsidR="00D761FF" w:rsidRDefault="00000000">
            <w:pPr>
              <w:jc w:val="center"/>
            </w:pPr>
            <w:r>
              <w:rPr>
                <w:rFonts w:ascii="宋体" w:hAnsi="宋体"/>
                <w:sz w:val="18"/>
              </w:rPr>
              <w:t>奇台县项目代建管理局</w:t>
            </w:r>
          </w:p>
        </w:tc>
      </w:tr>
      <w:tr w:rsidR="00D761FF">
        <w:trPr>
          <w:cantSplit/>
          <w:trHeight w:val="570"/>
        </w:trPr>
        <w:tc>
          <w:tcPr>
            <w:tcW w:w="993"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D761FF"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部门资金（万元）</w:t>
            </w:r>
          </w:p>
        </w:tc>
        <w:tc>
          <w:tcPr>
            <w:tcW w:w="1417" w:type="dxa"/>
            <w:tcBorders>
              <w:top w:val="nil"/>
              <w:left w:val="nil"/>
              <w:bottom w:val="single" w:sz="4" w:space="0" w:color="auto"/>
              <w:right w:val="single" w:sz="4" w:space="0" w:color="auto"/>
            </w:tcBorders>
            <w:shd w:val="clear" w:color="auto" w:fill="auto"/>
            <w:vAlign w:val="center"/>
          </w:tcPr>
          <w:p w:rsidR="00D761FF"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资金来源</w:t>
            </w:r>
          </w:p>
        </w:tc>
        <w:tc>
          <w:tcPr>
            <w:tcW w:w="1418" w:type="dxa"/>
            <w:tcBorders>
              <w:top w:val="nil"/>
              <w:left w:val="nil"/>
              <w:bottom w:val="single" w:sz="4" w:space="0" w:color="auto"/>
              <w:right w:val="single" w:sz="4" w:space="0" w:color="auto"/>
            </w:tcBorders>
            <w:shd w:val="clear" w:color="auto" w:fill="auto"/>
            <w:vAlign w:val="center"/>
          </w:tcPr>
          <w:p w:rsidR="00D761FF"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年初预算数</w:t>
            </w:r>
          </w:p>
        </w:tc>
        <w:tc>
          <w:tcPr>
            <w:tcW w:w="1276" w:type="dxa"/>
            <w:tcBorders>
              <w:top w:val="nil"/>
              <w:left w:val="nil"/>
              <w:bottom w:val="single" w:sz="4" w:space="0" w:color="auto"/>
              <w:right w:val="single" w:sz="4" w:space="0" w:color="auto"/>
            </w:tcBorders>
            <w:shd w:val="clear" w:color="auto" w:fill="auto"/>
            <w:vAlign w:val="center"/>
          </w:tcPr>
          <w:p w:rsidR="00D761FF"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全年预算数</w:t>
            </w:r>
          </w:p>
        </w:tc>
        <w:tc>
          <w:tcPr>
            <w:tcW w:w="1701" w:type="dxa"/>
            <w:tcBorders>
              <w:top w:val="nil"/>
              <w:left w:val="nil"/>
              <w:bottom w:val="single" w:sz="4" w:space="0" w:color="auto"/>
              <w:right w:val="single" w:sz="4" w:space="0" w:color="auto"/>
            </w:tcBorders>
            <w:shd w:val="clear" w:color="auto" w:fill="auto"/>
            <w:vAlign w:val="center"/>
          </w:tcPr>
          <w:p w:rsidR="00D761FF"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全年执行数</w:t>
            </w:r>
          </w:p>
        </w:tc>
        <w:tc>
          <w:tcPr>
            <w:tcW w:w="1134" w:type="dxa"/>
            <w:tcBorders>
              <w:top w:val="nil"/>
              <w:left w:val="nil"/>
              <w:bottom w:val="single" w:sz="4" w:space="0" w:color="auto"/>
              <w:right w:val="single" w:sz="4" w:space="0" w:color="auto"/>
            </w:tcBorders>
            <w:shd w:val="clear" w:color="auto" w:fill="auto"/>
            <w:vAlign w:val="center"/>
          </w:tcPr>
          <w:p w:rsidR="00D761FF"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分值权重</w:t>
            </w:r>
          </w:p>
        </w:tc>
        <w:tc>
          <w:tcPr>
            <w:tcW w:w="992" w:type="dxa"/>
            <w:tcBorders>
              <w:top w:val="nil"/>
              <w:left w:val="nil"/>
              <w:bottom w:val="single" w:sz="4" w:space="0" w:color="auto"/>
              <w:right w:val="single" w:sz="4" w:space="0" w:color="auto"/>
            </w:tcBorders>
            <w:shd w:val="clear" w:color="auto" w:fill="auto"/>
            <w:vAlign w:val="center"/>
          </w:tcPr>
          <w:p w:rsidR="00D761FF"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执行率</w:t>
            </w:r>
          </w:p>
        </w:tc>
        <w:tc>
          <w:tcPr>
            <w:tcW w:w="720" w:type="dxa"/>
            <w:tcBorders>
              <w:top w:val="nil"/>
              <w:left w:val="nil"/>
              <w:bottom w:val="single" w:sz="4" w:space="0" w:color="auto"/>
              <w:right w:val="single" w:sz="4" w:space="0" w:color="auto"/>
            </w:tcBorders>
            <w:shd w:val="clear" w:color="auto" w:fill="auto"/>
            <w:vAlign w:val="center"/>
          </w:tcPr>
          <w:p w:rsidR="00D761FF"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得分</w:t>
            </w:r>
          </w:p>
        </w:tc>
      </w:tr>
      <w:tr w:rsidR="00D761FF">
        <w:trPr>
          <w:cantSplit/>
          <w:trHeight w:val="489"/>
        </w:trPr>
        <w:tc>
          <w:tcPr>
            <w:tcW w:w="993" w:type="dxa"/>
            <w:vMerge/>
            <w:tcBorders>
              <w:top w:val="single" w:sz="4" w:space="0" w:color="auto"/>
              <w:left w:val="single" w:sz="4" w:space="0" w:color="auto"/>
              <w:bottom w:val="single" w:sz="4" w:space="0" w:color="auto"/>
              <w:right w:val="single" w:sz="4" w:space="0" w:color="auto"/>
            </w:tcBorders>
            <w:vAlign w:val="center"/>
          </w:tcPr>
          <w:p w:rsidR="00D761FF" w:rsidRDefault="00D761FF">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noWrap/>
            <w:vAlign w:val="center"/>
          </w:tcPr>
          <w:p w:rsidR="00D761FF"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中央安排</w:t>
            </w:r>
          </w:p>
        </w:tc>
        <w:tc>
          <w:tcPr>
            <w:tcW w:w="1418" w:type="dxa"/>
            <w:tcBorders>
              <w:top w:val="nil"/>
              <w:left w:val="nil"/>
              <w:bottom w:val="single" w:sz="4" w:space="0" w:color="auto"/>
              <w:right w:val="single" w:sz="4" w:space="0" w:color="auto"/>
            </w:tcBorders>
            <w:shd w:val="clear" w:color="auto" w:fill="auto"/>
            <w:vAlign w:val="center"/>
          </w:tcPr>
          <w:p w:rsidR="00D761FF" w:rsidRDefault="00000000">
            <w:pPr>
              <w:jc w:val="center"/>
            </w:pPr>
            <w:r>
              <w:rPr>
                <w:rFonts w:ascii="宋体" w:hAnsi="宋体"/>
                <w:sz w:val="18"/>
              </w:rPr>
              <w:t>0.00</w:t>
            </w:r>
          </w:p>
        </w:tc>
        <w:tc>
          <w:tcPr>
            <w:tcW w:w="1276" w:type="dxa"/>
            <w:tcBorders>
              <w:top w:val="nil"/>
              <w:left w:val="nil"/>
              <w:bottom w:val="single" w:sz="4" w:space="0" w:color="auto"/>
              <w:right w:val="single" w:sz="4" w:space="0" w:color="auto"/>
            </w:tcBorders>
            <w:shd w:val="clear" w:color="auto" w:fill="auto"/>
            <w:vAlign w:val="center"/>
          </w:tcPr>
          <w:p w:rsidR="00D761FF" w:rsidRDefault="00000000">
            <w:pPr>
              <w:jc w:val="center"/>
            </w:pPr>
            <w:r>
              <w:rPr>
                <w:rFonts w:ascii="宋体" w:hAnsi="宋体"/>
                <w:sz w:val="18"/>
              </w:rPr>
              <w:t>0.00</w:t>
            </w:r>
          </w:p>
        </w:tc>
        <w:tc>
          <w:tcPr>
            <w:tcW w:w="1701" w:type="dxa"/>
            <w:tcBorders>
              <w:top w:val="nil"/>
              <w:left w:val="nil"/>
              <w:bottom w:val="single" w:sz="4" w:space="0" w:color="auto"/>
              <w:right w:val="single" w:sz="4" w:space="0" w:color="auto"/>
            </w:tcBorders>
            <w:shd w:val="clear" w:color="auto" w:fill="auto"/>
            <w:vAlign w:val="center"/>
          </w:tcPr>
          <w:p w:rsidR="00D761FF" w:rsidRDefault="00000000">
            <w:pPr>
              <w:jc w:val="center"/>
            </w:pPr>
            <w:r>
              <w:rPr>
                <w:rFonts w:ascii="宋体" w:hAnsi="宋体"/>
                <w:sz w:val="18"/>
              </w:rPr>
              <w:t>0.00</w:t>
            </w:r>
          </w:p>
        </w:tc>
        <w:tc>
          <w:tcPr>
            <w:tcW w:w="1134" w:type="dxa"/>
            <w:tcBorders>
              <w:top w:val="nil"/>
              <w:left w:val="nil"/>
              <w:bottom w:val="single" w:sz="4" w:space="0" w:color="auto"/>
              <w:right w:val="single" w:sz="4" w:space="0" w:color="auto"/>
            </w:tcBorders>
            <w:shd w:val="clear" w:color="auto" w:fill="auto"/>
            <w:vAlign w:val="center"/>
          </w:tcPr>
          <w:p w:rsidR="00D761FF" w:rsidRDefault="00000000">
            <w:pPr>
              <w:jc w:val="center"/>
            </w:pPr>
            <w:r>
              <w:rPr>
                <w:rFonts w:ascii="宋体" w:hAnsi="宋体"/>
                <w:sz w:val="18"/>
              </w:rPr>
              <w:t>10</w:t>
            </w:r>
          </w:p>
        </w:tc>
        <w:tc>
          <w:tcPr>
            <w:tcW w:w="992" w:type="dxa"/>
            <w:tcBorders>
              <w:top w:val="nil"/>
              <w:left w:val="nil"/>
              <w:bottom w:val="single" w:sz="4" w:space="0" w:color="auto"/>
              <w:right w:val="single" w:sz="4" w:space="0" w:color="auto"/>
            </w:tcBorders>
            <w:shd w:val="clear" w:color="auto" w:fill="auto"/>
            <w:vAlign w:val="center"/>
          </w:tcPr>
          <w:p w:rsidR="00D761FF" w:rsidRDefault="00000000">
            <w:pPr>
              <w:jc w:val="center"/>
            </w:pPr>
            <w:r>
              <w:rPr>
                <w:rFonts w:ascii="宋体" w:hAnsi="宋体"/>
                <w:sz w:val="18"/>
              </w:rPr>
              <w:t>100%</w:t>
            </w:r>
          </w:p>
        </w:tc>
        <w:tc>
          <w:tcPr>
            <w:tcW w:w="720" w:type="dxa"/>
            <w:tcBorders>
              <w:top w:val="nil"/>
              <w:left w:val="nil"/>
              <w:bottom w:val="single" w:sz="4" w:space="0" w:color="auto"/>
              <w:right w:val="single" w:sz="4" w:space="0" w:color="auto"/>
            </w:tcBorders>
            <w:shd w:val="clear" w:color="auto" w:fill="auto"/>
            <w:vAlign w:val="center"/>
          </w:tcPr>
          <w:p w:rsidR="00D761FF" w:rsidRDefault="00000000">
            <w:pPr>
              <w:jc w:val="center"/>
            </w:pPr>
            <w:r>
              <w:rPr>
                <w:rFonts w:ascii="宋体" w:hAnsi="宋体"/>
                <w:sz w:val="18"/>
              </w:rPr>
              <w:t>10</w:t>
            </w:r>
          </w:p>
        </w:tc>
      </w:tr>
      <w:tr w:rsidR="00D761FF">
        <w:trPr>
          <w:cantSplit/>
          <w:trHeight w:val="425"/>
        </w:trPr>
        <w:tc>
          <w:tcPr>
            <w:tcW w:w="993" w:type="dxa"/>
            <w:vMerge/>
            <w:tcBorders>
              <w:top w:val="single" w:sz="4" w:space="0" w:color="auto"/>
              <w:left w:val="single" w:sz="4" w:space="0" w:color="auto"/>
              <w:bottom w:val="single" w:sz="4" w:space="0" w:color="auto"/>
              <w:right w:val="single" w:sz="4" w:space="0" w:color="auto"/>
            </w:tcBorders>
            <w:vAlign w:val="center"/>
          </w:tcPr>
          <w:p w:rsidR="00D761FF" w:rsidRDefault="00D761FF">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tcPr>
          <w:p w:rsidR="00D761FF"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自治区安排</w:t>
            </w:r>
          </w:p>
        </w:tc>
        <w:tc>
          <w:tcPr>
            <w:tcW w:w="1418" w:type="dxa"/>
            <w:tcBorders>
              <w:top w:val="nil"/>
              <w:left w:val="nil"/>
              <w:bottom w:val="single" w:sz="4" w:space="0" w:color="auto"/>
              <w:right w:val="single" w:sz="4" w:space="0" w:color="auto"/>
            </w:tcBorders>
            <w:shd w:val="clear" w:color="auto" w:fill="auto"/>
            <w:vAlign w:val="center"/>
          </w:tcPr>
          <w:p w:rsidR="00D761FF" w:rsidRDefault="00000000">
            <w:pPr>
              <w:jc w:val="center"/>
            </w:pPr>
            <w:r>
              <w:rPr>
                <w:rFonts w:ascii="宋体" w:hAnsi="宋体"/>
                <w:sz w:val="18"/>
              </w:rPr>
              <w:t>0.00</w:t>
            </w:r>
          </w:p>
        </w:tc>
        <w:tc>
          <w:tcPr>
            <w:tcW w:w="1276" w:type="dxa"/>
            <w:tcBorders>
              <w:top w:val="nil"/>
              <w:left w:val="nil"/>
              <w:bottom w:val="single" w:sz="4" w:space="0" w:color="auto"/>
              <w:right w:val="single" w:sz="4" w:space="0" w:color="auto"/>
            </w:tcBorders>
            <w:shd w:val="clear" w:color="auto" w:fill="auto"/>
            <w:vAlign w:val="center"/>
          </w:tcPr>
          <w:p w:rsidR="00D761FF" w:rsidRDefault="00000000">
            <w:pPr>
              <w:jc w:val="center"/>
            </w:pPr>
            <w:r>
              <w:rPr>
                <w:rFonts w:ascii="宋体" w:hAnsi="宋体"/>
                <w:sz w:val="18"/>
              </w:rPr>
              <w:t>0.00</w:t>
            </w:r>
          </w:p>
        </w:tc>
        <w:tc>
          <w:tcPr>
            <w:tcW w:w="1701" w:type="dxa"/>
            <w:tcBorders>
              <w:top w:val="nil"/>
              <w:left w:val="nil"/>
              <w:bottom w:val="single" w:sz="4" w:space="0" w:color="auto"/>
              <w:right w:val="single" w:sz="4" w:space="0" w:color="auto"/>
            </w:tcBorders>
            <w:shd w:val="clear" w:color="auto" w:fill="auto"/>
            <w:vAlign w:val="center"/>
          </w:tcPr>
          <w:p w:rsidR="00D761FF" w:rsidRDefault="00000000">
            <w:pPr>
              <w:jc w:val="center"/>
            </w:pPr>
            <w:r>
              <w:rPr>
                <w:rFonts w:ascii="宋体" w:hAnsi="宋体"/>
                <w:sz w:val="18"/>
              </w:rPr>
              <w:t>0.00</w:t>
            </w:r>
          </w:p>
        </w:tc>
        <w:tc>
          <w:tcPr>
            <w:tcW w:w="1134" w:type="dxa"/>
            <w:tcBorders>
              <w:top w:val="nil"/>
              <w:left w:val="nil"/>
              <w:bottom w:val="single" w:sz="4" w:space="0" w:color="auto"/>
              <w:right w:val="single" w:sz="4" w:space="0" w:color="auto"/>
            </w:tcBorders>
            <w:shd w:val="clear" w:color="auto" w:fill="auto"/>
            <w:vAlign w:val="center"/>
          </w:tcPr>
          <w:p w:rsidR="00D761FF" w:rsidRDefault="00000000">
            <w:pPr>
              <w:widowControl/>
              <w:jc w:val="center"/>
              <w:rPr>
                <w:rFonts w:ascii="宋体" w:hAnsi="宋体" w:cs="宋体" w:hint="eastAsia"/>
                <w:kern w:val="0"/>
                <w:sz w:val="18"/>
                <w:szCs w:val="18"/>
              </w:rPr>
            </w:pPr>
            <w:r>
              <w:rPr>
                <w:rFonts w:ascii="宋体" w:hAnsi="宋体" w:hint="eastAsia"/>
                <w:sz w:val="18"/>
                <w:szCs w:val="18"/>
              </w:rPr>
              <w:t>-</w:t>
            </w:r>
          </w:p>
        </w:tc>
        <w:tc>
          <w:tcPr>
            <w:tcW w:w="992" w:type="dxa"/>
            <w:tcBorders>
              <w:top w:val="nil"/>
              <w:left w:val="nil"/>
              <w:bottom w:val="single" w:sz="4" w:space="0" w:color="auto"/>
              <w:right w:val="single" w:sz="4" w:space="0" w:color="auto"/>
            </w:tcBorders>
            <w:shd w:val="clear" w:color="auto" w:fill="auto"/>
            <w:vAlign w:val="center"/>
          </w:tcPr>
          <w:p w:rsidR="00D761FF" w:rsidRDefault="00000000">
            <w:pPr>
              <w:widowControl/>
              <w:jc w:val="center"/>
              <w:rPr>
                <w:rFonts w:ascii="宋体" w:hAnsi="宋体" w:cs="宋体" w:hint="eastAsia"/>
                <w:kern w:val="0"/>
                <w:sz w:val="18"/>
                <w:szCs w:val="18"/>
              </w:rPr>
            </w:pPr>
            <w:r>
              <w:rPr>
                <w:rFonts w:ascii="宋体" w:hAnsi="宋体" w:hint="eastAsia"/>
                <w:sz w:val="18"/>
                <w:szCs w:val="18"/>
              </w:rPr>
              <w:t>-</w:t>
            </w:r>
          </w:p>
        </w:tc>
        <w:tc>
          <w:tcPr>
            <w:tcW w:w="720" w:type="dxa"/>
            <w:tcBorders>
              <w:top w:val="nil"/>
              <w:left w:val="nil"/>
              <w:bottom w:val="single" w:sz="4" w:space="0" w:color="auto"/>
              <w:right w:val="single" w:sz="4" w:space="0" w:color="auto"/>
            </w:tcBorders>
            <w:shd w:val="clear" w:color="auto" w:fill="auto"/>
            <w:vAlign w:val="center"/>
          </w:tcPr>
          <w:p w:rsidR="00D761FF" w:rsidRDefault="00000000">
            <w:pPr>
              <w:widowControl/>
              <w:jc w:val="center"/>
              <w:rPr>
                <w:rFonts w:ascii="宋体" w:hAnsi="宋体" w:cs="宋体" w:hint="eastAsia"/>
                <w:kern w:val="0"/>
                <w:sz w:val="18"/>
                <w:szCs w:val="18"/>
              </w:rPr>
            </w:pPr>
            <w:r>
              <w:rPr>
                <w:rFonts w:ascii="宋体" w:hAnsi="宋体" w:hint="eastAsia"/>
                <w:sz w:val="18"/>
                <w:szCs w:val="18"/>
              </w:rPr>
              <w:t>-</w:t>
            </w:r>
          </w:p>
        </w:tc>
      </w:tr>
      <w:tr w:rsidR="00D761FF">
        <w:trPr>
          <w:cantSplit/>
          <w:trHeight w:val="281"/>
        </w:trPr>
        <w:tc>
          <w:tcPr>
            <w:tcW w:w="993" w:type="dxa"/>
            <w:vMerge/>
            <w:tcBorders>
              <w:top w:val="single" w:sz="4" w:space="0" w:color="auto"/>
              <w:left w:val="single" w:sz="4" w:space="0" w:color="auto"/>
              <w:bottom w:val="single" w:sz="4" w:space="0" w:color="auto"/>
              <w:right w:val="single" w:sz="4" w:space="0" w:color="auto"/>
            </w:tcBorders>
            <w:vAlign w:val="center"/>
          </w:tcPr>
          <w:p w:rsidR="00D761FF" w:rsidRDefault="00D761FF">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tcPr>
          <w:p w:rsidR="00D761FF"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地（州、市）安排</w:t>
            </w:r>
          </w:p>
        </w:tc>
        <w:tc>
          <w:tcPr>
            <w:tcW w:w="1418" w:type="dxa"/>
            <w:tcBorders>
              <w:top w:val="nil"/>
              <w:left w:val="nil"/>
              <w:bottom w:val="single" w:sz="4" w:space="0" w:color="auto"/>
              <w:right w:val="single" w:sz="4" w:space="0" w:color="auto"/>
            </w:tcBorders>
            <w:shd w:val="clear" w:color="auto" w:fill="auto"/>
            <w:vAlign w:val="center"/>
          </w:tcPr>
          <w:p w:rsidR="00D761FF" w:rsidRDefault="00000000">
            <w:pPr>
              <w:jc w:val="center"/>
            </w:pPr>
            <w:r>
              <w:rPr>
                <w:rFonts w:ascii="宋体" w:hAnsi="宋体"/>
                <w:sz w:val="18"/>
              </w:rPr>
              <w:t>0.00</w:t>
            </w:r>
          </w:p>
        </w:tc>
        <w:tc>
          <w:tcPr>
            <w:tcW w:w="1276" w:type="dxa"/>
            <w:tcBorders>
              <w:top w:val="nil"/>
              <w:left w:val="nil"/>
              <w:bottom w:val="single" w:sz="4" w:space="0" w:color="auto"/>
              <w:right w:val="single" w:sz="4" w:space="0" w:color="auto"/>
            </w:tcBorders>
            <w:shd w:val="clear" w:color="auto" w:fill="auto"/>
            <w:vAlign w:val="center"/>
          </w:tcPr>
          <w:p w:rsidR="00D761FF" w:rsidRDefault="00000000">
            <w:pPr>
              <w:jc w:val="center"/>
            </w:pPr>
            <w:r>
              <w:rPr>
                <w:rFonts w:ascii="宋体" w:hAnsi="宋体"/>
                <w:sz w:val="18"/>
              </w:rPr>
              <w:t>0.00</w:t>
            </w:r>
          </w:p>
        </w:tc>
        <w:tc>
          <w:tcPr>
            <w:tcW w:w="1701" w:type="dxa"/>
            <w:tcBorders>
              <w:top w:val="nil"/>
              <w:left w:val="nil"/>
              <w:bottom w:val="single" w:sz="4" w:space="0" w:color="auto"/>
              <w:right w:val="single" w:sz="4" w:space="0" w:color="auto"/>
            </w:tcBorders>
            <w:shd w:val="clear" w:color="auto" w:fill="auto"/>
            <w:vAlign w:val="center"/>
          </w:tcPr>
          <w:p w:rsidR="00D761FF" w:rsidRDefault="00000000">
            <w:pPr>
              <w:jc w:val="center"/>
            </w:pPr>
            <w:r>
              <w:rPr>
                <w:rFonts w:ascii="宋体" w:hAnsi="宋体"/>
                <w:sz w:val="18"/>
              </w:rPr>
              <w:t>0.00</w:t>
            </w:r>
          </w:p>
        </w:tc>
        <w:tc>
          <w:tcPr>
            <w:tcW w:w="1134" w:type="dxa"/>
            <w:tcBorders>
              <w:top w:val="nil"/>
              <w:left w:val="nil"/>
              <w:bottom w:val="single" w:sz="4" w:space="0" w:color="auto"/>
              <w:right w:val="single" w:sz="4" w:space="0" w:color="auto"/>
            </w:tcBorders>
            <w:shd w:val="clear" w:color="auto" w:fill="auto"/>
            <w:vAlign w:val="center"/>
          </w:tcPr>
          <w:p w:rsidR="00D761FF" w:rsidRDefault="00000000">
            <w:pPr>
              <w:widowControl/>
              <w:jc w:val="center"/>
              <w:rPr>
                <w:rFonts w:ascii="宋体" w:hAnsi="宋体" w:cs="宋体" w:hint="eastAsia"/>
                <w:kern w:val="0"/>
                <w:sz w:val="18"/>
                <w:szCs w:val="18"/>
              </w:rPr>
            </w:pPr>
            <w:r>
              <w:rPr>
                <w:rFonts w:ascii="宋体" w:hAnsi="宋体" w:hint="eastAsia"/>
                <w:sz w:val="18"/>
                <w:szCs w:val="18"/>
              </w:rPr>
              <w:t>-</w:t>
            </w:r>
          </w:p>
        </w:tc>
        <w:tc>
          <w:tcPr>
            <w:tcW w:w="992" w:type="dxa"/>
            <w:tcBorders>
              <w:top w:val="nil"/>
              <w:left w:val="nil"/>
              <w:bottom w:val="single" w:sz="4" w:space="0" w:color="auto"/>
              <w:right w:val="single" w:sz="4" w:space="0" w:color="auto"/>
            </w:tcBorders>
            <w:shd w:val="clear" w:color="auto" w:fill="auto"/>
            <w:vAlign w:val="center"/>
          </w:tcPr>
          <w:p w:rsidR="00D761FF" w:rsidRDefault="00000000">
            <w:pPr>
              <w:widowControl/>
              <w:jc w:val="center"/>
              <w:rPr>
                <w:rFonts w:ascii="宋体" w:hAnsi="宋体" w:cs="宋体" w:hint="eastAsia"/>
                <w:kern w:val="0"/>
                <w:sz w:val="18"/>
                <w:szCs w:val="18"/>
              </w:rPr>
            </w:pPr>
            <w:r>
              <w:rPr>
                <w:rFonts w:ascii="宋体" w:hAnsi="宋体" w:hint="eastAsia"/>
                <w:sz w:val="18"/>
                <w:szCs w:val="18"/>
              </w:rPr>
              <w:t>-</w:t>
            </w:r>
          </w:p>
        </w:tc>
        <w:tc>
          <w:tcPr>
            <w:tcW w:w="720" w:type="dxa"/>
            <w:tcBorders>
              <w:top w:val="nil"/>
              <w:left w:val="nil"/>
              <w:bottom w:val="single" w:sz="4" w:space="0" w:color="auto"/>
              <w:right w:val="single" w:sz="4" w:space="0" w:color="auto"/>
            </w:tcBorders>
            <w:shd w:val="clear" w:color="auto" w:fill="auto"/>
            <w:vAlign w:val="center"/>
          </w:tcPr>
          <w:p w:rsidR="00D761FF" w:rsidRDefault="00000000">
            <w:pPr>
              <w:widowControl/>
              <w:jc w:val="center"/>
              <w:rPr>
                <w:rFonts w:ascii="宋体" w:hAnsi="宋体" w:cs="宋体" w:hint="eastAsia"/>
                <w:kern w:val="0"/>
                <w:sz w:val="18"/>
                <w:szCs w:val="18"/>
              </w:rPr>
            </w:pPr>
            <w:r>
              <w:rPr>
                <w:rFonts w:ascii="宋体" w:hAnsi="宋体" w:hint="eastAsia"/>
                <w:sz w:val="18"/>
                <w:szCs w:val="18"/>
              </w:rPr>
              <w:t>-</w:t>
            </w:r>
          </w:p>
        </w:tc>
      </w:tr>
      <w:tr w:rsidR="00D761FF">
        <w:trPr>
          <w:cantSplit/>
          <w:trHeight w:val="373"/>
        </w:trPr>
        <w:tc>
          <w:tcPr>
            <w:tcW w:w="993" w:type="dxa"/>
            <w:vMerge/>
            <w:tcBorders>
              <w:top w:val="single" w:sz="4" w:space="0" w:color="auto"/>
              <w:left w:val="single" w:sz="4" w:space="0" w:color="auto"/>
              <w:bottom w:val="single" w:sz="4" w:space="0" w:color="auto"/>
              <w:right w:val="single" w:sz="4" w:space="0" w:color="auto"/>
            </w:tcBorders>
            <w:vAlign w:val="center"/>
          </w:tcPr>
          <w:p w:rsidR="00D761FF" w:rsidRDefault="00D761FF">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tcPr>
          <w:p w:rsidR="00D761FF"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县（市、区）安排</w:t>
            </w:r>
          </w:p>
        </w:tc>
        <w:tc>
          <w:tcPr>
            <w:tcW w:w="1418" w:type="dxa"/>
            <w:tcBorders>
              <w:top w:val="nil"/>
              <w:left w:val="nil"/>
              <w:bottom w:val="single" w:sz="4" w:space="0" w:color="auto"/>
              <w:right w:val="single" w:sz="4" w:space="0" w:color="auto"/>
            </w:tcBorders>
            <w:shd w:val="clear" w:color="auto" w:fill="auto"/>
            <w:vAlign w:val="center"/>
          </w:tcPr>
          <w:p w:rsidR="00D761FF" w:rsidRDefault="00000000">
            <w:pPr>
              <w:jc w:val="center"/>
            </w:pPr>
            <w:r>
              <w:rPr>
                <w:rFonts w:ascii="宋体" w:hAnsi="宋体"/>
                <w:sz w:val="18"/>
              </w:rPr>
              <w:t>119.73</w:t>
            </w:r>
          </w:p>
        </w:tc>
        <w:tc>
          <w:tcPr>
            <w:tcW w:w="1276" w:type="dxa"/>
            <w:tcBorders>
              <w:top w:val="nil"/>
              <w:left w:val="nil"/>
              <w:bottom w:val="single" w:sz="4" w:space="0" w:color="auto"/>
              <w:right w:val="single" w:sz="4" w:space="0" w:color="auto"/>
            </w:tcBorders>
            <w:shd w:val="clear" w:color="auto" w:fill="auto"/>
            <w:vAlign w:val="center"/>
          </w:tcPr>
          <w:p w:rsidR="00D761FF" w:rsidRDefault="00000000">
            <w:pPr>
              <w:jc w:val="center"/>
            </w:pPr>
            <w:r>
              <w:rPr>
                <w:rFonts w:ascii="宋体" w:hAnsi="宋体"/>
                <w:sz w:val="18"/>
              </w:rPr>
              <w:t>132.85</w:t>
            </w:r>
          </w:p>
        </w:tc>
        <w:tc>
          <w:tcPr>
            <w:tcW w:w="1701" w:type="dxa"/>
            <w:tcBorders>
              <w:top w:val="nil"/>
              <w:left w:val="nil"/>
              <w:bottom w:val="single" w:sz="4" w:space="0" w:color="auto"/>
              <w:right w:val="single" w:sz="4" w:space="0" w:color="auto"/>
            </w:tcBorders>
            <w:shd w:val="clear" w:color="auto" w:fill="auto"/>
            <w:vAlign w:val="center"/>
          </w:tcPr>
          <w:p w:rsidR="00D761FF" w:rsidRDefault="00000000">
            <w:pPr>
              <w:jc w:val="center"/>
            </w:pPr>
            <w:r>
              <w:rPr>
                <w:rFonts w:ascii="宋体" w:hAnsi="宋体"/>
                <w:sz w:val="18"/>
              </w:rPr>
              <w:t>132.85</w:t>
            </w:r>
          </w:p>
        </w:tc>
        <w:tc>
          <w:tcPr>
            <w:tcW w:w="1134" w:type="dxa"/>
            <w:tcBorders>
              <w:top w:val="nil"/>
              <w:left w:val="nil"/>
              <w:bottom w:val="single" w:sz="4" w:space="0" w:color="auto"/>
              <w:right w:val="single" w:sz="4" w:space="0" w:color="auto"/>
            </w:tcBorders>
            <w:shd w:val="clear" w:color="auto" w:fill="auto"/>
            <w:vAlign w:val="center"/>
          </w:tcPr>
          <w:p w:rsidR="00D761FF" w:rsidRDefault="00000000">
            <w:pPr>
              <w:widowControl/>
              <w:jc w:val="center"/>
              <w:rPr>
                <w:rFonts w:ascii="宋体" w:hAnsi="宋体" w:cs="宋体" w:hint="eastAsia"/>
                <w:kern w:val="0"/>
                <w:sz w:val="18"/>
                <w:szCs w:val="18"/>
              </w:rPr>
            </w:pPr>
            <w:r>
              <w:rPr>
                <w:rFonts w:ascii="宋体" w:hAnsi="宋体" w:cs="宋体" w:hint="eastAsia"/>
                <w:kern w:val="0"/>
                <w:sz w:val="18"/>
                <w:szCs w:val="18"/>
              </w:rPr>
              <w:t>-</w:t>
            </w:r>
          </w:p>
        </w:tc>
        <w:tc>
          <w:tcPr>
            <w:tcW w:w="992" w:type="dxa"/>
            <w:tcBorders>
              <w:top w:val="nil"/>
              <w:left w:val="nil"/>
              <w:bottom w:val="single" w:sz="4" w:space="0" w:color="auto"/>
              <w:right w:val="single" w:sz="4" w:space="0" w:color="auto"/>
            </w:tcBorders>
            <w:shd w:val="clear" w:color="auto" w:fill="auto"/>
            <w:vAlign w:val="center"/>
          </w:tcPr>
          <w:p w:rsidR="00D761FF" w:rsidRDefault="00000000">
            <w:pPr>
              <w:widowControl/>
              <w:jc w:val="center"/>
              <w:rPr>
                <w:rFonts w:ascii="宋体" w:hAnsi="宋体" w:cs="宋体" w:hint="eastAsia"/>
                <w:kern w:val="0"/>
                <w:sz w:val="18"/>
                <w:szCs w:val="18"/>
              </w:rPr>
            </w:pPr>
            <w:r>
              <w:rPr>
                <w:rFonts w:ascii="宋体" w:hAnsi="宋体" w:cs="宋体" w:hint="eastAsia"/>
                <w:kern w:val="0"/>
                <w:sz w:val="18"/>
                <w:szCs w:val="18"/>
              </w:rPr>
              <w:t>-</w:t>
            </w:r>
          </w:p>
        </w:tc>
        <w:tc>
          <w:tcPr>
            <w:tcW w:w="720" w:type="dxa"/>
            <w:tcBorders>
              <w:top w:val="nil"/>
              <w:left w:val="nil"/>
              <w:bottom w:val="single" w:sz="4" w:space="0" w:color="auto"/>
              <w:right w:val="single" w:sz="4" w:space="0" w:color="auto"/>
            </w:tcBorders>
            <w:shd w:val="clear" w:color="auto" w:fill="auto"/>
            <w:vAlign w:val="center"/>
          </w:tcPr>
          <w:p w:rsidR="00D761FF" w:rsidRDefault="00000000">
            <w:pPr>
              <w:widowControl/>
              <w:jc w:val="center"/>
              <w:rPr>
                <w:rFonts w:ascii="宋体" w:hAnsi="宋体" w:cs="宋体" w:hint="eastAsia"/>
                <w:kern w:val="0"/>
                <w:sz w:val="18"/>
                <w:szCs w:val="18"/>
              </w:rPr>
            </w:pPr>
            <w:r>
              <w:rPr>
                <w:rFonts w:ascii="宋体" w:hAnsi="宋体" w:cs="宋体" w:hint="eastAsia"/>
                <w:kern w:val="0"/>
                <w:sz w:val="18"/>
                <w:szCs w:val="18"/>
              </w:rPr>
              <w:t>-</w:t>
            </w:r>
          </w:p>
        </w:tc>
      </w:tr>
      <w:tr w:rsidR="00D761FF">
        <w:trPr>
          <w:cantSplit/>
          <w:trHeight w:val="459"/>
        </w:trPr>
        <w:tc>
          <w:tcPr>
            <w:tcW w:w="993" w:type="dxa"/>
            <w:vMerge/>
            <w:tcBorders>
              <w:top w:val="single" w:sz="4" w:space="0" w:color="auto"/>
              <w:left w:val="single" w:sz="4" w:space="0" w:color="auto"/>
              <w:bottom w:val="single" w:sz="4" w:space="0" w:color="auto"/>
              <w:right w:val="single" w:sz="4" w:space="0" w:color="auto"/>
            </w:tcBorders>
            <w:vAlign w:val="center"/>
          </w:tcPr>
          <w:p w:rsidR="00D761FF" w:rsidRDefault="00D761FF">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tcPr>
          <w:p w:rsidR="00D761FF"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其他资金</w:t>
            </w:r>
          </w:p>
        </w:tc>
        <w:tc>
          <w:tcPr>
            <w:tcW w:w="1418" w:type="dxa"/>
            <w:tcBorders>
              <w:top w:val="nil"/>
              <w:left w:val="nil"/>
              <w:bottom w:val="single" w:sz="4" w:space="0" w:color="auto"/>
              <w:right w:val="single" w:sz="4" w:space="0" w:color="auto"/>
            </w:tcBorders>
            <w:shd w:val="clear" w:color="auto" w:fill="auto"/>
            <w:vAlign w:val="center"/>
          </w:tcPr>
          <w:p w:rsidR="00D761FF" w:rsidRDefault="00000000">
            <w:pPr>
              <w:jc w:val="center"/>
            </w:pPr>
            <w:r>
              <w:rPr>
                <w:rFonts w:ascii="宋体" w:hAnsi="宋体"/>
                <w:sz w:val="18"/>
              </w:rPr>
              <w:t>3.81</w:t>
            </w:r>
          </w:p>
        </w:tc>
        <w:tc>
          <w:tcPr>
            <w:tcW w:w="1276" w:type="dxa"/>
            <w:tcBorders>
              <w:top w:val="nil"/>
              <w:left w:val="nil"/>
              <w:bottom w:val="single" w:sz="4" w:space="0" w:color="auto"/>
              <w:right w:val="single" w:sz="4" w:space="0" w:color="auto"/>
            </w:tcBorders>
            <w:shd w:val="clear" w:color="auto" w:fill="auto"/>
            <w:vAlign w:val="center"/>
          </w:tcPr>
          <w:p w:rsidR="00D761FF" w:rsidRDefault="00000000">
            <w:pPr>
              <w:jc w:val="center"/>
            </w:pPr>
            <w:r>
              <w:rPr>
                <w:rFonts w:ascii="宋体" w:hAnsi="宋体"/>
                <w:sz w:val="18"/>
              </w:rPr>
              <w:t>1,708.59</w:t>
            </w:r>
          </w:p>
        </w:tc>
        <w:tc>
          <w:tcPr>
            <w:tcW w:w="1701" w:type="dxa"/>
            <w:tcBorders>
              <w:top w:val="nil"/>
              <w:left w:val="nil"/>
              <w:bottom w:val="single" w:sz="4" w:space="0" w:color="auto"/>
              <w:right w:val="single" w:sz="4" w:space="0" w:color="auto"/>
            </w:tcBorders>
            <w:shd w:val="clear" w:color="auto" w:fill="auto"/>
            <w:vAlign w:val="center"/>
          </w:tcPr>
          <w:p w:rsidR="00D761FF" w:rsidRDefault="00000000">
            <w:pPr>
              <w:jc w:val="center"/>
            </w:pPr>
            <w:r>
              <w:rPr>
                <w:rFonts w:ascii="宋体" w:hAnsi="宋体"/>
                <w:sz w:val="18"/>
              </w:rPr>
              <w:t>1,708.59</w:t>
            </w:r>
          </w:p>
        </w:tc>
        <w:tc>
          <w:tcPr>
            <w:tcW w:w="1134" w:type="dxa"/>
            <w:tcBorders>
              <w:top w:val="nil"/>
              <w:left w:val="nil"/>
              <w:bottom w:val="single" w:sz="4" w:space="0" w:color="auto"/>
              <w:right w:val="single" w:sz="4" w:space="0" w:color="auto"/>
            </w:tcBorders>
            <w:shd w:val="clear" w:color="auto" w:fill="auto"/>
            <w:vAlign w:val="center"/>
          </w:tcPr>
          <w:p w:rsidR="00D761FF" w:rsidRDefault="00000000">
            <w:pPr>
              <w:widowControl/>
              <w:jc w:val="center"/>
              <w:rPr>
                <w:rFonts w:ascii="宋体" w:hAnsi="宋体" w:cs="宋体" w:hint="eastAsia"/>
                <w:kern w:val="0"/>
                <w:sz w:val="18"/>
                <w:szCs w:val="18"/>
              </w:rPr>
            </w:pPr>
            <w:r>
              <w:rPr>
                <w:rFonts w:ascii="宋体" w:hAnsi="宋体" w:cs="宋体" w:hint="eastAsia"/>
                <w:kern w:val="0"/>
                <w:sz w:val="18"/>
                <w:szCs w:val="18"/>
              </w:rPr>
              <w:t>-</w:t>
            </w:r>
          </w:p>
        </w:tc>
        <w:tc>
          <w:tcPr>
            <w:tcW w:w="992" w:type="dxa"/>
            <w:tcBorders>
              <w:top w:val="nil"/>
              <w:left w:val="nil"/>
              <w:bottom w:val="single" w:sz="4" w:space="0" w:color="auto"/>
              <w:right w:val="single" w:sz="4" w:space="0" w:color="auto"/>
            </w:tcBorders>
            <w:shd w:val="clear" w:color="auto" w:fill="auto"/>
            <w:vAlign w:val="center"/>
          </w:tcPr>
          <w:p w:rsidR="00D761FF" w:rsidRDefault="00000000">
            <w:pPr>
              <w:widowControl/>
              <w:jc w:val="center"/>
              <w:rPr>
                <w:rFonts w:ascii="宋体" w:hAnsi="宋体" w:cs="宋体" w:hint="eastAsia"/>
                <w:kern w:val="0"/>
                <w:sz w:val="18"/>
                <w:szCs w:val="18"/>
              </w:rPr>
            </w:pPr>
            <w:r>
              <w:rPr>
                <w:rFonts w:ascii="宋体" w:hAnsi="宋体" w:cs="宋体" w:hint="eastAsia"/>
                <w:kern w:val="0"/>
                <w:sz w:val="18"/>
                <w:szCs w:val="18"/>
              </w:rPr>
              <w:t>-</w:t>
            </w:r>
          </w:p>
        </w:tc>
        <w:tc>
          <w:tcPr>
            <w:tcW w:w="720" w:type="dxa"/>
            <w:tcBorders>
              <w:top w:val="nil"/>
              <w:left w:val="nil"/>
              <w:bottom w:val="single" w:sz="4" w:space="0" w:color="auto"/>
              <w:right w:val="single" w:sz="4" w:space="0" w:color="auto"/>
            </w:tcBorders>
            <w:shd w:val="clear" w:color="auto" w:fill="auto"/>
            <w:vAlign w:val="center"/>
          </w:tcPr>
          <w:p w:rsidR="00D761FF" w:rsidRDefault="00000000">
            <w:pPr>
              <w:widowControl/>
              <w:jc w:val="center"/>
              <w:rPr>
                <w:rFonts w:ascii="宋体" w:hAnsi="宋体" w:cs="宋体" w:hint="eastAsia"/>
                <w:kern w:val="0"/>
                <w:sz w:val="18"/>
                <w:szCs w:val="18"/>
              </w:rPr>
            </w:pPr>
            <w:r>
              <w:rPr>
                <w:rFonts w:ascii="宋体" w:hAnsi="宋体" w:cs="宋体" w:hint="eastAsia"/>
                <w:kern w:val="0"/>
                <w:sz w:val="18"/>
                <w:szCs w:val="18"/>
              </w:rPr>
              <w:t>-</w:t>
            </w:r>
          </w:p>
        </w:tc>
      </w:tr>
      <w:tr w:rsidR="00D761FF">
        <w:trPr>
          <w:cantSplit/>
          <w:trHeight w:val="415"/>
        </w:trPr>
        <w:tc>
          <w:tcPr>
            <w:tcW w:w="993" w:type="dxa"/>
            <w:vMerge/>
            <w:tcBorders>
              <w:top w:val="single" w:sz="4" w:space="0" w:color="auto"/>
              <w:left w:val="single" w:sz="4" w:space="0" w:color="auto"/>
              <w:bottom w:val="single" w:sz="4" w:space="0" w:color="auto"/>
              <w:right w:val="single" w:sz="4" w:space="0" w:color="auto"/>
            </w:tcBorders>
            <w:vAlign w:val="center"/>
          </w:tcPr>
          <w:p w:rsidR="00D761FF" w:rsidRDefault="00D761FF">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tcPr>
          <w:p w:rsidR="00D761FF"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合计</w:t>
            </w:r>
          </w:p>
        </w:tc>
        <w:tc>
          <w:tcPr>
            <w:tcW w:w="1418" w:type="dxa"/>
            <w:tcBorders>
              <w:top w:val="nil"/>
              <w:left w:val="nil"/>
              <w:bottom w:val="single" w:sz="4" w:space="0" w:color="auto"/>
              <w:right w:val="single" w:sz="4" w:space="0" w:color="auto"/>
            </w:tcBorders>
            <w:shd w:val="clear" w:color="auto" w:fill="auto"/>
            <w:vAlign w:val="center"/>
          </w:tcPr>
          <w:p w:rsidR="00D761FF" w:rsidRDefault="00000000">
            <w:pPr>
              <w:jc w:val="center"/>
            </w:pPr>
            <w:r>
              <w:rPr>
                <w:rFonts w:ascii="宋体" w:hAnsi="宋体"/>
                <w:sz w:val="18"/>
              </w:rPr>
              <w:t>123.54</w:t>
            </w:r>
          </w:p>
        </w:tc>
        <w:tc>
          <w:tcPr>
            <w:tcW w:w="1276" w:type="dxa"/>
            <w:tcBorders>
              <w:top w:val="nil"/>
              <w:left w:val="nil"/>
              <w:bottom w:val="single" w:sz="4" w:space="0" w:color="auto"/>
              <w:right w:val="single" w:sz="4" w:space="0" w:color="auto"/>
            </w:tcBorders>
            <w:shd w:val="clear" w:color="auto" w:fill="auto"/>
            <w:vAlign w:val="center"/>
          </w:tcPr>
          <w:p w:rsidR="00D761FF" w:rsidRDefault="00000000">
            <w:pPr>
              <w:jc w:val="center"/>
            </w:pPr>
            <w:r>
              <w:rPr>
                <w:rFonts w:ascii="宋体" w:hAnsi="宋体"/>
                <w:sz w:val="18"/>
              </w:rPr>
              <w:t>1,841.44</w:t>
            </w:r>
          </w:p>
        </w:tc>
        <w:tc>
          <w:tcPr>
            <w:tcW w:w="1701" w:type="dxa"/>
            <w:tcBorders>
              <w:top w:val="nil"/>
              <w:left w:val="nil"/>
              <w:bottom w:val="single" w:sz="4" w:space="0" w:color="auto"/>
              <w:right w:val="single" w:sz="4" w:space="0" w:color="auto"/>
            </w:tcBorders>
            <w:shd w:val="clear" w:color="auto" w:fill="auto"/>
            <w:vAlign w:val="center"/>
          </w:tcPr>
          <w:p w:rsidR="00D761FF" w:rsidRDefault="00000000">
            <w:pPr>
              <w:jc w:val="center"/>
            </w:pPr>
            <w:r>
              <w:rPr>
                <w:rFonts w:ascii="宋体" w:hAnsi="宋体"/>
                <w:sz w:val="18"/>
              </w:rPr>
              <w:t>1,841.44</w:t>
            </w:r>
          </w:p>
        </w:tc>
        <w:tc>
          <w:tcPr>
            <w:tcW w:w="1134" w:type="dxa"/>
            <w:tcBorders>
              <w:top w:val="nil"/>
              <w:left w:val="nil"/>
              <w:bottom w:val="single" w:sz="4" w:space="0" w:color="auto"/>
              <w:right w:val="single" w:sz="4" w:space="0" w:color="auto"/>
            </w:tcBorders>
            <w:shd w:val="clear" w:color="auto" w:fill="auto"/>
            <w:vAlign w:val="center"/>
          </w:tcPr>
          <w:p w:rsidR="00D761FF" w:rsidRDefault="00000000">
            <w:pPr>
              <w:widowControl/>
              <w:jc w:val="center"/>
              <w:rPr>
                <w:rFonts w:ascii="宋体" w:hAnsi="宋体" w:cs="宋体" w:hint="eastAsia"/>
                <w:kern w:val="0"/>
                <w:sz w:val="18"/>
                <w:szCs w:val="18"/>
              </w:rPr>
            </w:pPr>
            <w:r>
              <w:rPr>
                <w:rFonts w:ascii="宋体" w:hAnsi="宋体" w:cs="宋体" w:hint="eastAsia"/>
                <w:kern w:val="0"/>
                <w:sz w:val="18"/>
                <w:szCs w:val="18"/>
              </w:rPr>
              <w:t>-</w:t>
            </w:r>
          </w:p>
        </w:tc>
        <w:tc>
          <w:tcPr>
            <w:tcW w:w="992" w:type="dxa"/>
            <w:tcBorders>
              <w:top w:val="nil"/>
              <w:left w:val="nil"/>
              <w:bottom w:val="single" w:sz="4" w:space="0" w:color="auto"/>
              <w:right w:val="single" w:sz="4" w:space="0" w:color="auto"/>
            </w:tcBorders>
            <w:shd w:val="clear" w:color="auto" w:fill="auto"/>
            <w:vAlign w:val="center"/>
          </w:tcPr>
          <w:p w:rsidR="00D761FF" w:rsidRDefault="00000000">
            <w:pPr>
              <w:widowControl/>
              <w:jc w:val="center"/>
              <w:rPr>
                <w:rFonts w:ascii="宋体" w:hAnsi="宋体" w:cs="宋体" w:hint="eastAsia"/>
                <w:kern w:val="0"/>
                <w:sz w:val="18"/>
                <w:szCs w:val="18"/>
              </w:rPr>
            </w:pPr>
            <w:r>
              <w:rPr>
                <w:rFonts w:ascii="宋体" w:hAnsi="宋体" w:cs="宋体" w:hint="eastAsia"/>
                <w:kern w:val="0"/>
                <w:sz w:val="18"/>
                <w:szCs w:val="18"/>
              </w:rPr>
              <w:t>-</w:t>
            </w:r>
          </w:p>
        </w:tc>
        <w:tc>
          <w:tcPr>
            <w:tcW w:w="720" w:type="dxa"/>
            <w:tcBorders>
              <w:top w:val="nil"/>
              <w:left w:val="nil"/>
              <w:bottom w:val="single" w:sz="4" w:space="0" w:color="auto"/>
              <w:right w:val="single" w:sz="4" w:space="0" w:color="auto"/>
            </w:tcBorders>
            <w:shd w:val="clear" w:color="auto" w:fill="auto"/>
            <w:vAlign w:val="center"/>
          </w:tcPr>
          <w:p w:rsidR="00D761FF" w:rsidRDefault="00000000">
            <w:pPr>
              <w:widowControl/>
              <w:jc w:val="center"/>
              <w:rPr>
                <w:rFonts w:ascii="宋体" w:hAnsi="宋体" w:cs="宋体" w:hint="eastAsia"/>
                <w:kern w:val="0"/>
                <w:sz w:val="18"/>
                <w:szCs w:val="18"/>
              </w:rPr>
            </w:pPr>
            <w:r>
              <w:rPr>
                <w:rFonts w:ascii="宋体" w:hAnsi="宋体" w:cs="宋体" w:hint="eastAsia"/>
                <w:kern w:val="0"/>
                <w:sz w:val="18"/>
                <w:szCs w:val="18"/>
              </w:rPr>
              <w:t>-</w:t>
            </w:r>
          </w:p>
        </w:tc>
      </w:tr>
      <w:tr w:rsidR="00D761FF">
        <w:trPr>
          <w:cantSplit/>
          <w:trHeight w:val="341"/>
        </w:trPr>
        <w:tc>
          <w:tcPr>
            <w:tcW w:w="993"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D761FF"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年度总体目标</w:t>
            </w:r>
          </w:p>
        </w:tc>
        <w:tc>
          <w:tcPr>
            <w:tcW w:w="4111" w:type="dxa"/>
            <w:gridSpan w:val="3"/>
            <w:tcBorders>
              <w:top w:val="single" w:sz="4" w:space="0" w:color="auto"/>
              <w:left w:val="nil"/>
              <w:bottom w:val="single" w:sz="4" w:space="0" w:color="auto"/>
              <w:right w:val="single" w:sz="4" w:space="0" w:color="auto"/>
            </w:tcBorders>
            <w:shd w:val="clear" w:color="auto" w:fill="auto"/>
            <w:noWrap/>
            <w:vAlign w:val="center"/>
          </w:tcPr>
          <w:p w:rsidR="00D761FF"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预期目标</w:t>
            </w:r>
          </w:p>
        </w:tc>
        <w:tc>
          <w:tcPr>
            <w:tcW w:w="4547" w:type="dxa"/>
            <w:gridSpan w:val="4"/>
            <w:tcBorders>
              <w:top w:val="single" w:sz="4" w:space="0" w:color="auto"/>
              <w:left w:val="nil"/>
              <w:bottom w:val="single" w:sz="4" w:space="0" w:color="auto"/>
              <w:right w:val="single" w:sz="4" w:space="0" w:color="auto"/>
            </w:tcBorders>
            <w:shd w:val="clear" w:color="auto" w:fill="auto"/>
            <w:noWrap/>
            <w:vAlign w:val="center"/>
          </w:tcPr>
          <w:p w:rsidR="00D761FF"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实际完成情况</w:t>
            </w:r>
          </w:p>
        </w:tc>
      </w:tr>
      <w:tr w:rsidR="00D761FF">
        <w:trPr>
          <w:cantSplit/>
          <w:trHeight w:val="705"/>
        </w:trPr>
        <w:tc>
          <w:tcPr>
            <w:tcW w:w="993" w:type="dxa"/>
            <w:vMerge/>
            <w:tcBorders>
              <w:top w:val="single" w:sz="4" w:space="0" w:color="auto"/>
              <w:left w:val="single" w:sz="4" w:space="0" w:color="auto"/>
              <w:bottom w:val="single" w:sz="4" w:space="0" w:color="auto"/>
              <w:right w:val="single" w:sz="4" w:space="0" w:color="auto"/>
            </w:tcBorders>
            <w:vAlign w:val="center"/>
          </w:tcPr>
          <w:p w:rsidR="00D761FF" w:rsidRDefault="00D761FF">
            <w:pPr>
              <w:widowControl/>
              <w:jc w:val="left"/>
              <w:rPr>
                <w:rFonts w:ascii="宋体" w:hAnsi="宋体" w:cs="宋体" w:hint="eastAsia"/>
                <w:b/>
                <w:bCs/>
                <w:kern w:val="0"/>
                <w:sz w:val="18"/>
                <w:szCs w:val="18"/>
              </w:rPr>
            </w:pPr>
          </w:p>
        </w:tc>
        <w:tc>
          <w:tcPr>
            <w:tcW w:w="4111" w:type="dxa"/>
            <w:gridSpan w:val="3"/>
            <w:tcBorders>
              <w:top w:val="single" w:sz="4" w:space="0" w:color="auto"/>
              <w:left w:val="nil"/>
              <w:bottom w:val="single" w:sz="4" w:space="0" w:color="auto"/>
              <w:right w:val="single" w:sz="4" w:space="0" w:color="auto"/>
            </w:tcBorders>
            <w:shd w:val="clear" w:color="auto" w:fill="auto"/>
          </w:tcPr>
          <w:p w:rsidR="00D761FF" w:rsidRDefault="00000000">
            <w:pPr>
              <w:jc w:val="left"/>
            </w:pPr>
            <w:r>
              <w:rPr>
                <w:rFonts w:ascii="宋体" w:hAnsi="宋体"/>
                <w:sz w:val="18"/>
              </w:rPr>
              <w:t>1.廉政勤政，扎实做好各项工作。2.奇台县水磨河至文化路桥河道和四大节点水景亮化工程项目，审核结算、财务决算。</w:t>
            </w:r>
          </w:p>
        </w:tc>
        <w:tc>
          <w:tcPr>
            <w:tcW w:w="4547" w:type="dxa"/>
            <w:gridSpan w:val="4"/>
            <w:tcBorders>
              <w:top w:val="single" w:sz="4" w:space="0" w:color="auto"/>
              <w:left w:val="nil"/>
              <w:bottom w:val="single" w:sz="4" w:space="0" w:color="auto"/>
              <w:right w:val="single" w:sz="4" w:space="0" w:color="auto"/>
            </w:tcBorders>
            <w:shd w:val="clear" w:color="auto" w:fill="auto"/>
          </w:tcPr>
          <w:p w:rsidR="00D761FF" w:rsidRDefault="00000000">
            <w:pPr>
              <w:jc w:val="left"/>
            </w:pPr>
            <w:r>
              <w:rPr>
                <w:rFonts w:ascii="宋体" w:hAnsi="宋体"/>
                <w:sz w:val="18"/>
              </w:rPr>
              <w:t>1.廉政勤政，已扎实做好发展各项工作，参加公益日场次8次。2.完成项目审核结算个数1个：奇台县水磨河至文化路河道和四大节点水景亮化工程项目审计结算，完成项目财务决算个数1个：奇台县水磨河至文化路河道和四大节点水景亮化工程项目财务决算。</w:t>
            </w:r>
          </w:p>
        </w:tc>
      </w:tr>
      <w:tr w:rsidR="00D761FF">
        <w:trPr>
          <w:cantSplit/>
          <w:trHeight w:val="716"/>
        </w:trPr>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D761FF"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一级指标</w:t>
            </w:r>
          </w:p>
        </w:tc>
        <w:tc>
          <w:tcPr>
            <w:tcW w:w="1417" w:type="dxa"/>
            <w:tcBorders>
              <w:top w:val="nil"/>
              <w:left w:val="nil"/>
              <w:bottom w:val="single" w:sz="4" w:space="0" w:color="auto"/>
              <w:right w:val="single" w:sz="4" w:space="0" w:color="auto"/>
            </w:tcBorders>
            <w:shd w:val="clear" w:color="auto" w:fill="auto"/>
            <w:vAlign w:val="center"/>
          </w:tcPr>
          <w:p w:rsidR="00D761FF"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二级指标</w:t>
            </w:r>
          </w:p>
        </w:tc>
        <w:tc>
          <w:tcPr>
            <w:tcW w:w="1418" w:type="dxa"/>
            <w:tcBorders>
              <w:top w:val="nil"/>
              <w:left w:val="nil"/>
              <w:bottom w:val="single" w:sz="4" w:space="0" w:color="auto"/>
              <w:right w:val="single" w:sz="4" w:space="0" w:color="auto"/>
            </w:tcBorders>
            <w:shd w:val="clear" w:color="auto" w:fill="auto"/>
            <w:vAlign w:val="center"/>
          </w:tcPr>
          <w:p w:rsidR="00D761FF"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三级指标</w:t>
            </w:r>
          </w:p>
        </w:tc>
        <w:tc>
          <w:tcPr>
            <w:tcW w:w="1276" w:type="dxa"/>
            <w:tcBorders>
              <w:top w:val="nil"/>
              <w:left w:val="nil"/>
              <w:bottom w:val="single" w:sz="4" w:space="0" w:color="auto"/>
              <w:right w:val="single" w:sz="4" w:space="0" w:color="auto"/>
            </w:tcBorders>
            <w:shd w:val="clear" w:color="auto" w:fill="auto"/>
            <w:vAlign w:val="center"/>
          </w:tcPr>
          <w:p w:rsidR="00D761FF"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预期指标值</w:t>
            </w:r>
          </w:p>
        </w:tc>
        <w:tc>
          <w:tcPr>
            <w:tcW w:w="1701" w:type="dxa"/>
            <w:tcBorders>
              <w:top w:val="nil"/>
              <w:left w:val="nil"/>
              <w:bottom w:val="single" w:sz="4" w:space="0" w:color="auto"/>
              <w:right w:val="single" w:sz="4" w:space="0" w:color="auto"/>
            </w:tcBorders>
            <w:shd w:val="clear" w:color="auto" w:fill="auto"/>
            <w:vAlign w:val="center"/>
          </w:tcPr>
          <w:p w:rsidR="00D761FF"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指标值设定依据</w:t>
            </w:r>
          </w:p>
        </w:tc>
        <w:tc>
          <w:tcPr>
            <w:tcW w:w="1134" w:type="dxa"/>
            <w:tcBorders>
              <w:top w:val="nil"/>
              <w:left w:val="nil"/>
              <w:bottom w:val="single" w:sz="4" w:space="0" w:color="auto"/>
              <w:right w:val="single" w:sz="4" w:space="0" w:color="auto"/>
            </w:tcBorders>
            <w:shd w:val="clear" w:color="auto" w:fill="auto"/>
            <w:vAlign w:val="center"/>
          </w:tcPr>
          <w:p w:rsidR="00D761FF"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分值权重</w:t>
            </w:r>
          </w:p>
        </w:tc>
        <w:tc>
          <w:tcPr>
            <w:tcW w:w="992" w:type="dxa"/>
            <w:tcBorders>
              <w:top w:val="nil"/>
              <w:left w:val="nil"/>
              <w:bottom w:val="single" w:sz="4" w:space="0" w:color="auto"/>
              <w:right w:val="single" w:sz="4" w:space="0" w:color="auto"/>
            </w:tcBorders>
            <w:shd w:val="clear" w:color="auto" w:fill="auto"/>
            <w:vAlign w:val="center"/>
          </w:tcPr>
          <w:p w:rsidR="00D761FF"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实际完成指标值</w:t>
            </w:r>
          </w:p>
        </w:tc>
        <w:tc>
          <w:tcPr>
            <w:tcW w:w="720" w:type="dxa"/>
            <w:tcBorders>
              <w:top w:val="nil"/>
              <w:left w:val="nil"/>
              <w:bottom w:val="single" w:sz="4" w:space="0" w:color="auto"/>
              <w:right w:val="single" w:sz="4" w:space="0" w:color="auto"/>
            </w:tcBorders>
            <w:shd w:val="clear" w:color="auto" w:fill="auto"/>
            <w:vAlign w:val="center"/>
          </w:tcPr>
          <w:p w:rsidR="00D761FF"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得分</w:t>
            </w:r>
          </w:p>
        </w:tc>
      </w:tr>
      <w:tr w:rsidR="00D761FF">
        <w:trPr>
          <w:cantSplit/>
          <w:trHeight w:val="740"/>
        </w:trPr>
        <w:tc>
          <w:tcPr>
            <w:tcW w:w="993"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D761FF" w:rsidRDefault="00000000">
            <w:pPr>
              <w:jc w:val="center"/>
            </w:pPr>
            <w:r>
              <w:rPr>
                <w:rFonts w:ascii="宋体" w:hAnsi="宋体"/>
                <w:sz w:val="18"/>
              </w:rPr>
              <w:t>履职效能</w:t>
            </w:r>
          </w:p>
        </w:tc>
        <w:tc>
          <w:tcPr>
            <w:tcW w:w="1417" w:type="dxa"/>
            <w:vMerge w:val="restart"/>
            <w:tcBorders>
              <w:top w:val="nil"/>
              <w:left w:val="nil"/>
              <w:bottom w:val="single" w:sz="4" w:space="0" w:color="auto"/>
              <w:right w:val="single" w:sz="4" w:space="0" w:color="auto"/>
            </w:tcBorders>
            <w:shd w:val="clear" w:color="auto" w:fill="auto"/>
            <w:noWrap/>
            <w:vAlign w:val="center"/>
          </w:tcPr>
          <w:p w:rsidR="00D761FF" w:rsidRDefault="00000000">
            <w:pPr>
              <w:jc w:val="center"/>
            </w:pPr>
            <w:r>
              <w:rPr>
                <w:rFonts w:ascii="宋体" w:hAnsi="宋体"/>
                <w:sz w:val="18"/>
              </w:rPr>
              <w:t>数量指标</w:t>
            </w:r>
          </w:p>
        </w:tc>
        <w:tc>
          <w:tcPr>
            <w:tcW w:w="1418" w:type="dxa"/>
            <w:tcBorders>
              <w:top w:val="nil"/>
              <w:left w:val="nil"/>
              <w:bottom w:val="single" w:sz="4" w:space="0" w:color="auto"/>
              <w:right w:val="single" w:sz="4" w:space="0" w:color="auto"/>
            </w:tcBorders>
            <w:shd w:val="clear" w:color="auto" w:fill="auto"/>
            <w:noWrap/>
            <w:vAlign w:val="center"/>
          </w:tcPr>
          <w:p w:rsidR="00D761FF" w:rsidRDefault="00000000">
            <w:pPr>
              <w:jc w:val="center"/>
            </w:pPr>
            <w:r>
              <w:rPr>
                <w:rFonts w:ascii="宋体" w:hAnsi="宋体"/>
                <w:sz w:val="18"/>
              </w:rPr>
              <w:t>财务决算项目个数</w:t>
            </w:r>
          </w:p>
        </w:tc>
        <w:tc>
          <w:tcPr>
            <w:tcW w:w="1276" w:type="dxa"/>
            <w:tcBorders>
              <w:top w:val="nil"/>
              <w:left w:val="nil"/>
              <w:bottom w:val="single" w:sz="4" w:space="0" w:color="auto"/>
              <w:right w:val="single" w:sz="4" w:space="0" w:color="auto"/>
            </w:tcBorders>
            <w:shd w:val="clear" w:color="auto" w:fill="auto"/>
            <w:noWrap/>
            <w:vAlign w:val="center"/>
          </w:tcPr>
          <w:p w:rsidR="00D761FF" w:rsidRDefault="00000000">
            <w:pPr>
              <w:jc w:val="center"/>
            </w:pPr>
            <w:r>
              <w:rPr>
                <w:rFonts w:ascii="宋体" w:hAnsi="宋体"/>
                <w:sz w:val="18"/>
              </w:rPr>
              <w:t>&gt;=1个</w:t>
            </w:r>
          </w:p>
        </w:tc>
        <w:tc>
          <w:tcPr>
            <w:tcW w:w="1701" w:type="dxa"/>
            <w:tcBorders>
              <w:top w:val="nil"/>
              <w:left w:val="nil"/>
              <w:bottom w:val="single" w:sz="4" w:space="0" w:color="auto"/>
              <w:right w:val="single" w:sz="4" w:space="0" w:color="auto"/>
            </w:tcBorders>
            <w:shd w:val="clear" w:color="auto" w:fill="auto"/>
            <w:noWrap/>
            <w:vAlign w:val="center"/>
          </w:tcPr>
          <w:p w:rsidR="00D761FF" w:rsidRDefault="00000000">
            <w:pPr>
              <w:jc w:val="center"/>
            </w:pPr>
            <w:r>
              <w:rPr>
                <w:rFonts w:ascii="宋体" w:hAnsi="宋体"/>
                <w:sz w:val="18"/>
              </w:rPr>
              <w:t>2023年工作计划</w:t>
            </w:r>
          </w:p>
        </w:tc>
        <w:tc>
          <w:tcPr>
            <w:tcW w:w="1134" w:type="dxa"/>
            <w:tcBorders>
              <w:top w:val="nil"/>
              <w:left w:val="nil"/>
              <w:bottom w:val="single" w:sz="4" w:space="0" w:color="auto"/>
              <w:right w:val="single" w:sz="4" w:space="0" w:color="auto"/>
            </w:tcBorders>
            <w:shd w:val="clear" w:color="auto" w:fill="auto"/>
            <w:noWrap/>
            <w:vAlign w:val="center"/>
          </w:tcPr>
          <w:p w:rsidR="00D761FF" w:rsidRDefault="00000000">
            <w:pPr>
              <w:jc w:val="center"/>
            </w:pPr>
            <w:r>
              <w:rPr>
                <w:rFonts w:ascii="宋体" w:hAnsi="宋体"/>
                <w:sz w:val="18"/>
              </w:rPr>
              <w:t>30</w:t>
            </w:r>
          </w:p>
        </w:tc>
        <w:tc>
          <w:tcPr>
            <w:tcW w:w="992" w:type="dxa"/>
            <w:tcBorders>
              <w:top w:val="nil"/>
              <w:left w:val="nil"/>
              <w:bottom w:val="single" w:sz="4" w:space="0" w:color="auto"/>
              <w:right w:val="single" w:sz="4" w:space="0" w:color="auto"/>
            </w:tcBorders>
            <w:shd w:val="clear" w:color="auto" w:fill="auto"/>
            <w:noWrap/>
            <w:vAlign w:val="center"/>
          </w:tcPr>
          <w:p w:rsidR="00D761FF" w:rsidRDefault="00000000">
            <w:pPr>
              <w:jc w:val="center"/>
            </w:pPr>
            <w:r>
              <w:rPr>
                <w:rFonts w:ascii="宋体" w:hAnsi="宋体"/>
                <w:sz w:val="18"/>
              </w:rPr>
              <w:t>1个</w:t>
            </w:r>
          </w:p>
        </w:tc>
        <w:tc>
          <w:tcPr>
            <w:tcW w:w="720" w:type="dxa"/>
            <w:tcBorders>
              <w:top w:val="nil"/>
              <w:left w:val="nil"/>
              <w:bottom w:val="single" w:sz="4" w:space="0" w:color="auto"/>
              <w:right w:val="single" w:sz="4" w:space="0" w:color="auto"/>
            </w:tcBorders>
            <w:shd w:val="clear" w:color="auto" w:fill="auto"/>
            <w:noWrap/>
            <w:vAlign w:val="center"/>
          </w:tcPr>
          <w:p w:rsidR="00D761FF" w:rsidRDefault="00000000">
            <w:pPr>
              <w:jc w:val="center"/>
            </w:pPr>
            <w:r>
              <w:rPr>
                <w:rFonts w:ascii="宋体" w:hAnsi="宋体"/>
                <w:sz w:val="18"/>
              </w:rPr>
              <w:t>30</w:t>
            </w:r>
          </w:p>
        </w:tc>
      </w:tr>
      <w:tr w:rsidR="00D761FF">
        <w:trPr>
          <w:cantSplit/>
          <w:trHeight w:val="740"/>
        </w:trPr>
        <w:tc>
          <w:tcPr>
            <w:tcW w:w="993" w:type="dxa"/>
            <w:vMerge/>
            <w:tcBorders>
              <w:top w:val="single" w:sz="4" w:space="0" w:color="auto"/>
              <w:left w:val="single" w:sz="4" w:space="0" w:color="auto"/>
              <w:bottom w:val="single" w:sz="4" w:space="0" w:color="auto"/>
              <w:right w:val="single" w:sz="4" w:space="0" w:color="auto"/>
            </w:tcBorders>
            <w:shd w:val="clear" w:color="auto" w:fill="auto"/>
            <w:noWrap/>
            <w:vAlign w:val="center"/>
          </w:tcPr>
          <w:p w:rsidR="00D761FF" w:rsidRDefault="00D761FF">
            <w:pPr>
              <w:widowControl/>
              <w:jc w:val="center"/>
              <w:rPr>
                <w:rFonts w:ascii="宋体" w:hAnsi="宋体" w:cs="宋体" w:hint="eastAsia"/>
                <w:kern w:val="0"/>
                <w:sz w:val="18"/>
                <w:szCs w:val="18"/>
              </w:rPr>
            </w:pPr>
          </w:p>
        </w:tc>
        <w:tc>
          <w:tcPr>
            <w:tcW w:w="1417" w:type="dxa"/>
            <w:vMerge/>
            <w:tcBorders>
              <w:top w:val="nil"/>
              <w:left w:val="nil"/>
              <w:bottom w:val="single" w:sz="4" w:space="0" w:color="auto"/>
              <w:right w:val="single" w:sz="4" w:space="0" w:color="auto"/>
            </w:tcBorders>
            <w:shd w:val="clear" w:color="auto" w:fill="auto"/>
            <w:noWrap/>
            <w:vAlign w:val="center"/>
          </w:tcPr>
          <w:p w:rsidR="00D761FF" w:rsidRDefault="00D761FF">
            <w:pPr>
              <w:widowControl/>
              <w:jc w:val="center"/>
              <w:rPr>
                <w:rFonts w:ascii="宋体" w:hAnsi="宋体" w:cs="宋体" w:hint="eastAsia"/>
                <w:kern w:val="0"/>
                <w:sz w:val="18"/>
                <w:szCs w:val="18"/>
              </w:rPr>
            </w:pPr>
          </w:p>
        </w:tc>
        <w:tc>
          <w:tcPr>
            <w:tcW w:w="1418" w:type="dxa"/>
            <w:tcBorders>
              <w:top w:val="nil"/>
              <w:left w:val="nil"/>
              <w:bottom w:val="single" w:sz="4" w:space="0" w:color="auto"/>
              <w:right w:val="single" w:sz="4" w:space="0" w:color="auto"/>
            </w:tcBorders>
            <w:shd w:val="clear" w:color="auto" w:fill="auto"/>
            <w:noWrap/>
            <w:vAlign w:val="center"/>
          </w:tcPr>
          <w:p w:rsidR="00D761FF" w:rsidRDefault="00000000">
            <w:pPr>
              <w:jc w:val="center"/>
            </w:pPr>
            <w:r>
              <w:rPr>
                <w:rFonts w:ascii="宋体" w:hAnsi="宋体"/>
                <w:sz w:val="18"/>
              </w:rPr>
              <w:t>项目审核个数</w:t>
            </w:r>
          </w:p>
        </w:tc>
        <w:tc>
          <w:tcPr>
            <w:tcW w:w="1276" w:type="dxa"/>
            <w:tcBorders>
              <w:top w:val="nil"/>
              <w:left w:val="nil"/>
              <w:bottom w:val="single" w:sz="4" w:space="0" w:color="auto"/>
              <w:right w:val="single" w:sz="4" w:space="0" w:color="auto"/>
            </w:tcBorders>
            <w:shd w:val="clear" w:color="auto" w:fill="auto"/>
            <w:noWrap/>
            <w:vAlign w:val="center"/>
          </w:tcPr>
          <w:p w:rsidR="00D761FF" w:rsidRDefault="00000000">
            <w:pPr>
              <w:jc w:val="center"/>
            </w:pPr>
            <w:r>
              <w:rPr>
                <w:rFonts w:ascii="宋体" w:hAnsi="宋体"/>
                <w:sz w:val="18"/>
              </w:rPr>
              <w:t>&gt;=1个</w:t>
            </w:r>
          </w:p>
        </w:tc>
        <w:tc>
          <w:tcPr>
            <w:tcW w:w="1701" w:type="dxa"/>
            <w:tcBorders>
              <w:top w:val="nil"/>
              <w:left w:val="nil"/>
              <w:bottom w:val="single" w:sz="4" w:space="0" w:color="auto"/>
              <w:right w:val="single" w:sz="4" w:space="0" w:color="auto"/>
            </w:tcBorders>
            <w:shd w:val="clear" w:color="auto" w:fill="auto"/>
            <w:noWrap/>
            <w:vAlign w:val="center"/>
          </w:tcPr>
          <w:p w:rsidR="00D761FF" w:rsidRDefault="00000000">
            <w:pPr>
              <w:jc w:val="center"/>
            </w:pPr>
            <w:r>
              <w:rPr>
                <w:rFonts w:ascii="宋体" w:hAnsi="宋体"/>
                <w:sz w:val="18"/>
              </w:rPr>
              <w:t>2023年工作计划</w:t>
            </w:r>
          </w:p>
        </w:tc>
        <w:tc>
          <w:tcPr>
            <w:tcW w:w="1134" w:type="dxa"/>
            <w:tcBorders>
              <w:top w:val="nil"/>
              <w:left w:val="nil"/>
              <w:bottom w:val="single" w:sz="4" w:space="0" w:color="auto"/>
              <w:right w:val="single" w:sz="4" w:space="0" w:color="auto"/>
            </w:tcBorders>
            <w:shd w:val="clear" w:color="auto" w:fill="auto"/>
            <w:noWrap/>
            <w:vAlign w:val="center"/>
          </w:tcPr>
          <w:p w:rsidR="00D761FF" w:rsidRDefault="00000000">
            <w:pPr>
              <w:jc w:val="center"/>
            </w:pPr>
            <w:r>
              <w:rPr>
                <w:rFonts w:ascii="宋体" w:hAnsi="宋体"/>
                <w:sz w:val="18"/>
              </w:rPr>
              <w:t>30</w:t>
            </w:r>
          </w:p>
        </w:tc>
        <w:tc>
          <w:tcPr>
            <w:tcW w:w="992" w:type="dxa"/>
            <w:tcBorders>
              <w:top w:val="nil"/>
              <w:left w:val="nil"/>
              <w:bottom w:val="single" w:sz="4" w:space="0" w:color="auto"/>
              <w:right w:val="single" w:sz="4" w:space="0" w:color="auto"/>
            </w:tcBorders>
            <w:shd w:val="clear" w:color="auto" w:fill="auto"/>
            <w:noWrap/>
            <w:vAlign w:val="center"/>
          </w:tcPr>
          <w:p w:rsidR="00D761FF" w:rsidRDefault="00000000">
            <w:pPr>
              <w:jc w:val="center"/>
            </w:pPr>
            <w:r>
              <w:rPr>
                <w:rFonts w:ascii="宋体" w:hAnsi="宋体"/>
                <w:sz w:val="18"/>
              </w:rPr>
              <w:t>1个</w:t>
            </w:r>
          </w:p>
        </w:tc>
        <w:tc>
          <w:tcPr>
            <w:tcW w:w="720" w:type="dxa"/>
            <w:tcBorders>
              <w:top w:val="nil"/>
              <w:left w:val="nil"/>
              <w:bottom w:val="single" w:sz="4" w:space="0" w:color="auto"/>
              <w:right w:val="single" w:sz="4" w:space="0" w:color="auto"/>
            </w:tcBorders>
            <w:shd w:val="clear" w:color="auto" w:fill="auto"/>
            <w:noWrap/>
            <w:vAlign w:val="center"/>
          </w:tcPr>
          <w:p w:rsidR="00D761FF" w:rsidRDefault="00000000">
            <w:pPr>
              <w:jc w:val="center"/>
            </w:pPr>
            <w:r>
              <w:rPr>
                <w:rFonts w:ascii="宋体" w:hAnsi="宋体"/>
                <w:sz w:val="18"/>
              </w:rPr>
              <w:t>30</w:t>
            </w:r>
          </w:p>
        </w:tc>
      </w:tr>
      <w:tr w:rsidR="00D761FF">
        <w:trPr>
          <w:cantSplit/>
          <w:trHeight w:val="740"/>
        </w:trPr>
        <w:tc>
          <w:tcPr>
            <w:tcW w:w="993" w:type="dxa"/>
            <w:vMerge/>
            <w:tcBorders>
              <w:top w:val="single" w:sz="4" w:space="0" w:color="auto"/>
              <w:left w:val="single" w:sz="4" w:space="0" w:color="auto"/>
              <w:bottom w:val="single" w:sz="4" w:space="0" w:color="auto"/>
              <w:right w:val="single" w:sz="4" w:space="0" w:color="auto"/>
            </w:tcBorders>
            <w:shd w:val="clear" w:color="auto" w:fill="auto"/>
            <w:noWrap/>
            <w:vAlign w:val="center"/>
          </w:tcPr>
          <w:p w:rsidR="00D761FF" w:rsidRDefault="00D761FF">
            <w:pPr>
              <w:widowControl/>
              <w:jc w:val="center"/>
              <w:rPr>
                <w:rFonts w:ascii="宋体" w:hAnsi="宋体" w:cs="宋体" w:hint="eastAsia"/>
                <w:kern w:val="0"/>
                <w:sz w:val="18"/>
                <w:szCs w:val="18"/>
              </w:rPr>
            </w:pPr>
          </w:p>
        </w:tc>
        <w:tc>
          <w:tcPr>
            <w:tcW w:w="1417" w:type="dxa"/>
            <w:vMerge/>
            <w:tcBorders>
              <w:top w:val="nil"/>
              <w:left w:val="nil"/>
              <w:bottom w:val="single" w:sz="4" w:space="0" w:color="auto"/>
              <w:right w:val="single" w:sz="4" w:space="0" w:color="auto"/>
            </w:tcBorders>
            <w:shd w:val="clear" w:color="auto" w:fill="auto"/>
            <w:noWrap/>
            <w:vAlign w:val="center"/>
          </w:tcPr>
          <w:p w:rsidR="00D761FF" w:rsidRDefault="00D761FF">
            <w:pPr>
              <w:widowControl/>
              <w:jc w:val="center"/>
              <w:rPr>
                <w:rFonts w:ascii="宋体" w:hAnsi="宋体" w:cs="宋体" w:hint="eastAsia"/>
                <w:kern w:val="0"/>
                <w:sz w:val="18"/>
                <w:szCs w:val="18"/>
              </w:rPr>
            </w:pPr>
          </w:p>
        </w:tc>
        <w:tc>
          <w:tcPr>
            <w:tcW w:w="1418" w:type="dxa"/>
            <w:tcBorders>
              <w:top w:val="nil"/>
              <w:left w:val="nil"/>
              <w:bottom w:val="single" w:sz="4" w:space="0" w:color="auto"/>
              <w:right w:val="single" w:sz="4" w:space="0" w:color="auto"/>
            </w:tcBorders>
            <w:shd w:val="clear" w:color="auto" w:fill="auto"/>
            <w:noWrap/>
            <w:vAlign w:val="center"/>
          </w:tcPr>
          <w:p w:rsidR="00D761FF" w:rsidRDefault="00000000">
            <w:pPr>
              <w:jc w:val="center"/>
            </w:pPr>
            <w:r>
              <w:rPr>
                <w:rFonts w:ascii="宋体" w:hAnsi="宋体"/>
                <w:sz w:val="18"/>
              </w:rPr>
              <w:t>公益日场次数量</w:t>
            </w:r>
          </w:p>
        </w:tc>
        <w:tc>
          <w:tcPr>
            <w:tcW w:w="1276" w:type="dxa"/>
            <w:tcBorders>
              <w:top w:val="nil"/>
              <w:left w:val="nil"/>
              <w:bottom w:val="single" w:sz="4" w:space="0" w:color="auto"/>
              <w:right w:val="single" w:sz="4" w:space="0" w:color="auto"/>
            </w:tcBorders>
            <w:shd w:val="clear" w:color="auto" w:fill="auto"/>
            <w:noWrap/>
            <w:vAlign w:val="center"/>
          </w:tcPr>
          <w:p w:rsidR="00D761FF" w:rsidRDefault="00000000">
            <w:pPr>
              <w:jc w:val="center"/>
            </w:pPr>
            <w:r>
              <w:rPr>
                <w:rFonts w:ascii="宋体" w:hAnsi="宋体"/>
                <w:sz w:val="18"/>
              </w:rPr>
              <w:t>&gt;=8次</w:t>
            </w:r>
          </w:p>
        </w:tc>
        <w:tc>
          <w:tcPr>
            <w:tcW w:w="1701" w:type="dxa"/>
            <w:tcBorders>
              <w:top w:val="nil"/>
              <w:left w:val="nil"/>
              <w:bottom w:val="single" w:sz="4" w:space="0" w:color="auto"/>
              <w:right w:val="single" w:sz="4" w:space="0" w:color="auto"/>
            </w:tcBorders>
            <w:shd w:val="clear" w:color="auto" w:fill="auto"/>
            <w:noWrap/>
            <w:vAlign w:val="center"/>
          </w:tcPr>
          <w:p w:rsidR="00D761FF" w:rsidRDefault="00000000">
            <w:pPr>
              <w:jc w:val="center"/>
            </w:pPr>
            <w:r>
              <w:rPr>
                <w:rFonts w:ascii="宋体" w:hAnsi="宋体"/>
                <w:sz w:val="18"/>
              </w:rPr>
              <w:t>2023年工作计划</w:t>
            </w:r>
          </w:p>
        </w:tc>
        <w:tc>
          <w:tcPr>
            <w:tcW w:w="1134" w:type="dxa"/>
            <w:tcBorders>
              <w:top w:val="nil"/>
              <w:left w:val="nil"/>
              <w:bottom w:val="single" w:sz="4" w:space="0" w:color="auto"/>
              <w:right w:val="single" w:sz="4" w:space="0" w:color="auto"/>
            </w:tcBorders>
            <w:shd w:val="clear" w:color="auto" w:fill="auto"/>
            <w:noWrap/>
            <w:vAlign w:val="center"/>
          </w:tcPr>
          <w:p w:rsidR="00D761FF" w:rsidRDefault="00000000">
            <w:pPr>
              <w:jc w:val="center"/>
            </w:pPr>
            <w:r>
              <w:rPr>
                <w:rFonts w:ascii="宋体" w:hAnsi="宋体"/>
                <w:sz w:val="18"/>
              </w:rPr>
              <w:t>30</w:t>
            </w:r>
          </w:p>
        </w:tc>
        <w:tc>
          <w:tcPr>
            <w:tcW w:w="992" w:type="dxa"/>
            <w:tcBorders>
              <w:top w:val="nil"/>
              <w:left w:val="nil"/>
              <w:bottom w:val="single" w:sz="4" w:space="0" w:color="auto"/>
              <w:right w:val="single" w:sz="4" w:space="0" w:color="auto"/>
            </w:tcBorders>
            <w:shd w:val="clear" w:color="auto" w:fill="auto"/>
            <w:noWrap/>
            <w:vAlign w:val="center"/>
          </w:tcPr>
          <w:p w:rsidR="00D761FF" w:rsidRDefault="00000000">
            <w:pPr>
              <w:jc w:val="center"/>
            </w:pPr>
            <w:r>
              <w:rPr>
                <w:rFonts w:ascii="宋体" w:hAnsi="宋体"/>
                <w:sz w:val="18"/>
              </w:rPr>
              <w:t>8次</w:t>
            </w:r>
          </w:p>
        </w:tc>
        <w:tc>
          <w:tcPr>
            <w:tcW w:w="720" w:type="dxa"/>
            <w:tcBorders>
              <w:top w:val="nil"/>
              <w:left w:val="nil"/>
              <w:bottom w:val="single" w:sz="4" w:space="0" w:color="auto"/>
              <w:right w:val="single" w:sz="4" w:space="0" w:color="auto"/>
            </w:tcBorders>
            <w:shd w:val="clear" w:color="auto" w:fill="auto"/>
            <w:noWrap/>
            <w:vAlign w:val="center"/>
          </w:tcPr>
          <w:p w:rsidR="00D761FF" w:rsidRDefault="00000000">
            <w:pPr>
              <w:jc w:val="center"/>
            </w:pPr>
            <w:r>
              <w:rPr>
                <w:rFonts w:ascii="宋体" w:hAnsi="宋体"/>
                <w:sz w:val="18"/>
              </w:rPr>
              <w:t>30</w:t>
            </w:r>
          </w:p>
        </w:tc>
      </w:tr>
    </w:tbl>
    <w:p w:rsidR="00D761FF" w:rsidRDefault="00D761FF">
      <w:pPr>
        <w:rPr>
          <w:rFonts w:ascii="宋体" w:hAnsi="宋体" w:cs="宋体" w:hint="eastAsia"/>
          <w:b/>
          <w:bCs/>
          <w:kern w:val="0"/>
          <w:sz w:val="18"/>
          <w:szCs w:val="18"/>
        </w:rPr>
      </w:pPr>
    </w:p>
    <w:p w:rsidR="00D761FF" w:rsidRDefault="00000000">
      <w:pPr>
        <w:jc w:val="center"/>
        <w:rPr>
          <w:rFonts w:ascii="宋体" w:hAnsi="宋体" w:cs="宋体" w:hint="eastAsia"/>
          <w:b/>
          <w:bCs/>
          <w:kern w:val="0"/>
          <w:sz w:val="28"/>
          <w:szCs w:val="28"/>
        </w:rPr>
      </w:pPr>
      <w:r>
        <w:rPr>
          <w:rFonts w:ascii="宋体" w:hAnsi="宋体" w:cs="宋体" w:hint="eastAsia"/>
          <w:b/>
          <w:bCs/>
          <w:kern w:val="0"/>
          <w:sz w:val="28"/>
          <w:szCs w:val="28"/>
        </w:rPr>
        <w:t>项目支出绩效自评表</w:t>
      </w:r>
    </w:p>
    <w:p w:rsidR="00D761FF" w:rsidRDefault="00000000">
      <w:pPr>
        <w:jc w:val="center"/>
        <w:rPr>
          <w:rFonts w:ascii="宋体" w:hAnsi="宋体" w:cs="宋体" w:hint="eastAsia"/>
          <w:b/>
          <w:bCs/>
          <w:kern w:val="0"/>
          <w:sz w:val="18"/>
          <w:szCs w:val="18"/>
        </w:rPr>
      </w:pPr>
      <w:r>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25"/>
        <w:gridCol w:w="1229"/>
        <w:gridCol w:w="46"/>
        <w:gridCol w:w="709"/>
        <w:gridCol w:w="425"/>
        <w:gridCol w:w="284"/>
        <w:gridCol w:w="709"/>
        <w:gridCol w:w="1275"/>
      </w:tblGrid>
      <w:tr w:rsidR="00D761FF">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D761FF"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tcPr>
          <w:p w:rsidR="00D761FF" w:rsidRDefault="00000000">
            <w:pPr>
              <w:jc w:val="center"/>
            </w:pPr>
            <w:r>
              <w:rPr>
                <w:rFonts w:ascii="宋体" w:hAnsi="宋体"/>
                <w:sz w:val="18"/>
              </w:rPr>
              <w:t>奇台县2023年化解工程欠款</w:t>
            </w:r>
          </w:p>
        </w:tc>
      </w:tr>
      <w:tr w:rsidR="00D761FF">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D761FF"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主管部门</w:t>
            </w:r>
          </w:p>
        </w:tc>
        <w:tc>
          <w:tcPr>
            <w:tcW w:w="3700" w:type="dxa"/>
            <w:gridSpan w:val="4"/>
            <w:tcBorders>
              <w:top w:val="single" w:sz="4" w:space="0" w:color="auto"/>
              <w:left w:val="nil"/>
              <w:bottom w:val="single" w:sz="4" w:space="0" w:color="auto"/>
              <w:right w:val="single" w:sz="4" w:space="0" w:color="000000"/>
            </w:tcBorders>
            <w:shd w:val="clear" w:color="auto" w:fill="auto"/>
            <w:vAlign w:val="center"/>
          </w:tcPr>
          <w:p w:rsidR="00D761FF" w:rsidRDefault="00000000">
            <w:pPr>
              <w:jc w:val="center"/>
            </w:pPr>
            <w:r>
              <w:rPr>
                <w:rFonts w:ascii="宋体" w:hAnsi="宋体"/>
                <w:sz w:val="18"/>
              </w:rPr>
              <w:t>奇台县项目代建管理局</w:t>
            </w:r>
          </w:p>
        </w:tc>
        <w:tc>
          <w:tcPr>
            <w:tcW w:w="1275" w:type="dxa"/>
            <w:gridSpan w:val="2"/>
            <w:tcBorders>
              <w:top w:val="nil"/>
              <w:left w:val="nil"/>
              <w:bottom w:val="single" w:sz="4" w:space="0" w:color="auto"/>
              <w:right w:val="single" w:sz="4" w:space="0" w:color="000000"/>
            </w:tcBorders>
            <w:shd w:val="clear" w:color="auto" w:fill="auto"/>
            <w:vAlign w:val="center"/>
          </w:tcPr>
          <w:p w:rsidR="00D761FF" w:rsidRDefault="00000000">
            <w:pPr>
              <w:widowControl/>
              <w:jc w:val="center"/>
              <w:rPr>
                <w:rFonts w:ascii="宋体" w:hAnsi="宋体" w:cs="宋体" w:hint="eastAsia"/>
                <w:color w:val="000000"/>
                <w:kern w:val="0"/>
                <w:sz w:val="18"/>
                <w:szCs w:val="18"/>
              </w:rPr>
            </w:pPr>
            <w:r>
              <w:rPr>
                <w:rFonts w:ascii="宋体" w:hAnsi="宋体" w:cs="宋体" w:hint="eastAsia"/>
                <w:b/>
                <w:bCs/>
                <w:color w:val="000000"/>
                <w:kern w:val="0"/>
                <w:sz w:val="18"/>
                <w:szCs w:val="18"/>
              </w:rPr>
              <w:t>实施单位</w:t>
            </w:r>
          </w:p>
        </w:tc>
        <w:tc>
          <w:tcPr>
            <w:tcW w:w="3402" w:type="dxa"/>
            <w:gridSpan w:val="5"/>
            <w:tcBorders>
              <w:top w:val="nil"/>
              <w:left w:val="nil"/>
              <w:bottom w:val="single" w:sz="4" w:space="0" w:color="auto"/>
              <w:right w:val="single" w:sz="4" w:space="0" w:color="000000"/>
            </w:tcBorders>
            <w:shd w:val="clear" w:color="auto" w:fill="auto"/>
            <w:vAlign w:val="center"/>
          </w:tcPr>
          <w:p w:rsidR="00D761FF" w:rsidRDefault="00000000">
            <w:pPr>
              <w:jc w:val="center"/>
            </w:pPr>
            <w:r>
              <w:rPr>
                <w:rFonts w:ascii="宋体" w:hAnsi="宋体"/>
                <w:sz w:val="18"/>
              </w:rPr>
              <w:t>奇台县项目代建管理局</w:t>
            </w:r>
          </w:p>
        </w:tc>
      </w:tr>
      <w:tr w:rsidR="00D761FF">
        <w:trPr>
          <w:cantSplit/>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D761FF"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rsidR="00D761FF" w:rsidRDefault="00D761FF">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tcPr>
          <w:p w:rsidR="00D761FF"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年初预算数</w:t>
            </w:r>
          </w:p>
        </w:tc>
        <w:tc>
          <w:tcPr>
            <w:tcW w:w="1125" w:type="dxa"/>
            <w:tcBorders>
              <w:top w:val="nil"/>
              <w:left w:val="nil"/>
              <w:bottom w:val="single" w:sz="4" w:space="0" w:color="auto"/>
              <w:right w:val="single" w:sz="4" w:space="0" w:color="auto"/>
            </w:tcBorders>
            <w:shd w:val="clear" w:color="auto" w:fill="auto"/>
            <w:vAlign w:val="center"/>
          </w:tcPr>
          <w:p w:rsidR="00D761FF"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全年预算数</w:t>
            </w:r>
          </w:p>
        </w:tc>
        <w:tc>
          <w:tcPr>
            <w:tcW w:w="1275" w:type="dxa"/>
            <w:gridSpan w:val="2"/>
            <w:tcBorders>
              <w:top w:val="single" w:sz="4" w:space="0" w:color="auto"/>
              <w:left w:val="nil"/>
              <w:bottom w:val="single" w:sz="4" w:space="0" w:color="auto"/>
              <w:right w:val="single" w:sz="4" w:space="0" w:color="auto"/>
            </w:tcBorders>
            <w:shd w:val="clear" w:color="auto" w:fill="auto"/>
            <w:vAlign w:val="center"/>
          </w:tcPr>
          <w:p w:rsidR="00D761FF"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全年执行数</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rsidR="00D761FF"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分值</w:t>
            </w: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rsidR="00D761FF"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执行率</w:t>
            </w:r>
          </w:p>
        </w:tc>
        <w:tc>
          <w:tcPr>
            <w:tcW w:w="1275" w:type="dxa"/>
            <w:tcBorders>
              <w:top w:val="nil"/>
              <w:left w:val="nil"/>
              <w:bottom w:val="single" w:sz="4" w:space="0" w:color="auto"/>
              <w:right w:val="single" w:sz="4" w:space="0" w:color="auto"/>
            </w:tcBorders>
            <w:shd w:val="clear" w:color="auto" w:fill="auto"/>
            <w:vAlign w:val="center"/>
          </w:tcPr>
          <w:p w:rsidR="00D761FF"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得分</w:t>
            </w:r>
          </w:p>
        </w:tc>
      </w:tr>
      <w:tr w:rsidR="00D761FF">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rsidR="00D761FF" w:rsidRDefault="00D761FF">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rsidR="00D761FF"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rsidR="00D761FF" w:rsidRDefault="00000000">
            <w:pPr>
              <w:jc w:val="center"/>
            </w:pPr>
            <w:r>
              <w:rPr>
                <w:rFonts w:ascii="宋体" w:hAnsi="宋体"/>
                <w:sz w:val="18"/>
              </w:rPr>
              <w:t>5.00</w:t>
            </w:r>
          </w:p>
        </w:tc>
        <w:tc>
          <w:tcPr>
            <w:tcW w:w="1125" w:type="dxa"/>
            <w:tcBorders>
              <w:top w:val="nil"/>
              <w:left w:val="nil"/>
              <w:bottom w:val="single" w:sz="4" w:space="0" w:color="auto"/>
              <w:right w:val="single" w:sz="4" w:space="0" w:color="auto"/>
            </w:tcBorders>
            <w:shd w:val="clear" w:color="auto" w:fill="auto"/>
            <w:noWrap/>
            <w:vAlign w:val="center"/>
          </w:tcPr>
          <w:p w:rsidR="00D761FF" w:rsidRDefault="00000000">
            <w:pPr>
              <w:jc w:val="center"/>
            </w:pPr>
            <w:r>
              <w:rPr>
                <w:rFonts w:ascii="宋体" w:hAnsi="宋体"/>
                <w:sz w:val="18"/>
              </w:rPr>
              <w:t>969.29</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rsidR="00D761FF" w:rsidRDefault="00000000">
            <w:pPr>
              <w:jc w:val="center"/>
            </w:pPr>
            <w:r>
              <w:rPr>
                <w:rFonts w:ascii="宋体" w:hAnsi="宋体"/>
                <w:sz w:val="18"/>
              </w:rPr>
              <w:t>969.20</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rsidR="00D761FF" w:rsidRDefault="00000000">
            <w:pPr>
              <w:jc w:val="center"/>
            </w:pPr>
            <w:r>
              <w:rPr>
                <w:rFonts w:ascii="宋体" w:hAnsi="宋体"/>
                <w:sz w:val="18"/>
              </w:rPr>
              <w:t>10</w:t>
            </w: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rsidR="00D761FF" w:rsidRDefault="00000000">
            <w:pPr>
              <w:jc w:val="center"/>
            </w:pPr>
            <w:r>
              <w:rPr>
                <w:rFonts w:ascii="宋体" w:hAnsi="宋体"/>
                <w:sz w:val="18"/>
              </w:rPr>
              <w:t>99.99%</w:t>
            </w:r>
          </w:p>
        </w:tc>
        <w:tc>
          <w:tcPr>
            <w:tcW w:w="1275" w:type="dxa"/>
            <w:tcBorders>
              <w:top w:val="nil"/>
              <w:left w:val="nil"/>
              <w:bottom w:val="single" w:sz="4" w:space="0" w:color="auto"/>
              <w:right w:val="single" w:sz="4" w:space="0" w:color="auto"/>
            </w:tcBorders>
            <w:shd w:val="clear" w:color="auto" w:fill="auto"/>
            <w:vAlign w:val="center"/>
          </w:tcPr>
          <w:p w:rsidR="00D761FF" w:rsidRDefault="00000000">
            <w:pPr>
              <w:jc w:val="center"/>
            </w:pPr>
            <w:r>
              <w:rPr>
                <w:rFonts w:ascii="宋体" w:hAnsi="宋体"/>
                <w:sz w:val="18"/>
              </w:rPr>
              <w:t>10.00</w:t>
            </w:r>
          </w:p>
        </w:tc>
      </w:tr>
      <w:tr w:rsidR="00D761FF">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rsidR="00D761FF" w:rsidRDefault="00D761FF">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rsidR="00D761FF"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rsidR="00D761FF" w:rsidRDefault="00000000">
            <w:pPr>
              <w:jc w:val="center"/>
            </w:pPr>
            <w:r>
              <w:rPr>
                <w:rFonts w:ascii="宋体" w:hAnsi="宋体"/>
                <w:sz w:val="18"/>
              </w:rPr>
              <w:t>5.00</w:t>
            </w:r>
          </w:p>
        </w:tc>
        <w:tc>
          <w:tcPr>
            <w:tcW w:w="1125" w:type="dxa"/>
            <w:tcBorders>
              <w:top w:val="nil"/>
              <w:left w:val="nil"/>
              <w:bottom w:val="single" w:sz="4" w:space="0" w:color="auto"/>
              <w:right w:val="single" w:sz="4" w:space="0" w:color="auto"/>
            </w:tcBorders>
            <w:shd w:val="clear" w:color="auto" w:fill="auto"/>
            <w:noWrap/>
            <w:vAlign w:val="center"/>
          </w:tcPr>
          <w:p w:rsidR="00D761FF" w:rsidRDefault="00000000">
            <w:pPr>
              <w:jc w:val="center"/>
            </w:pPr>
            <w:r>
              <w:rPr>
                <w:rFonts w:ascii="宋体" w:hAnsi="宋体"/>
                <w:sz w:val="18"/>
              </w:rPr>
              <w:t>969.29</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rsidR="00D761FF" w:rsidRDefault="00000000">
            <w:pPr>
              <w:jc w:val="center"/>
            </w:pPr>
            <w:r>
              <w:rPr>
                <w:rFonts w:ascii="宋体" w:hAnsi="宋体"/>
                <w:sz w:val="18"/>
              </w:rPr>
              <w:t>969.20</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rsidR="00D761FF"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rsidR="00D761FF"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tcPr>
          <w:p w:rsidR="00D761FF"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D761FF">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rsidR="00D761FF" w:rsidRDefault="00D761FF">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rsidR="00D761FF"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rsidR="00D761FF" w:rsidRDefault="00000000">
            <w:pPr>
              <w:jc w:val="center"/>
            </w:pPr>
            <w:r>
              <w:rPr>
                <w:rFonts w:ascii="宋体" w:hAnsi="宋体"/>
                <w:sz w:val="18"/>
              </w:rPr>
              <w:t>0.00</w:t>
            </w:r>
          </w:p>
        </w:tc>
        <w:tc>
          <w:tcPr>
            <w:tcW w:w="1125" w:type="dxa"/>
            <w:tcBorders>
              <w:top w:val="nil"/>
              <w:left w:val="nil"/>
              <w:bottom w:val="single" w:sz="4" w:space="0" w:color="auto"/>
              <w:right w:val="single" w:sz="4" w:space="0" w:color="auto"/>
            </w:tcBorders>
            <w:shd w:val="clear" w:color="auto" w:fill="auto"/>
            <w:noWrap/>
            <w:vAlign w:val="center"/>
          </w:tcPr>
          <w:p w:rsidR="00D761FF" w:rsidRDefault="00000000">
            <w:pPr>
              <w:jc w:val="center"/>
            </w:pPr>
            <w:r>
              <w:rPr>
                <w:rFonts w:ascii="宋体" w:hAnsi="宋体"/>
                <w:sz w:val="18"/>
              </w:rPr>
              <w:t>0.00</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rsidR="00D761FF" w:rsidRDefault="00000000">
            <w:pPr>
              <w:jc w:val="center"/>
            </w:pPr>
            <w:r>
              <w:rPr>
                <w:rFonts w:ascii="宋体" w:hAnsi="宋体"/>
                <w:sz w:val="18"/>
              </w:rPr>
              <w:t>0.00</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rsidR="00D761FF"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rsidR="00D761FF"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tcPr>
          <w:p w:rsidR="00D761FF"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D761FF">
        <w:trPr>
          <w:cantSplit/>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rsidR="00D761FF"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年度总体目标</w:t>
            </w:r>
          </w:p>
        </w:tc>
        <w:tc>
          <w:tcPr>
            <w:tcW w:w="4407" w:type="dxa"/>
            <w:gridSpan w:val="5"/>
            <w:tcBorders>
              <w:top w:val="single" w:sz="4" w:space="0" w:color="auto"/>
              <w:left w:val="nil"/>
              <w:bottom w:val="single" w:sz="4" w:space="0" w:color="auto"/>
              <w:right w:val="single" w:sz="4" w:space="0" w:color="auto"/>
            </w:tcBorders>
            <w:shd w:val="clear" w:color="auto" w:fill="auto"/>
            <w:vAlign w:val="center"/>
          </w:tcPr>
          <w:p w:rsidR="00D761FF"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预期目标</w:t>
            </w:r>
          </w:p>
        </w:tc>
        <w:tc>
          <w:tcPr>
            <w:tcW w:w="4677" w:type="dxa"/>
            <w:gridSpan w:val="7"/>
            <w:tcBorders>
              <w:top w:val="single" w:sz="4" w:space="0" w:color="auto"/>
              <w:left w:val="nil"/>
              <w:bottom w:val="single" w:sz="4" w:space="0" w:color="auto"/>
              <w:right w:val="single" w:sz="4" w:space="0" w:color="auto"/>
            </w:tcBorders>
            <w:shd w:val="clear" w:color="auto" w:fill="auto"/>
            <w:vAlign w:val="center"/>
          </w:tcPr>
          <w:p w:rsidR="00D761FF"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实际完成情况</w:t>
            </w:r>
          </w:p>
        </w:tc>
      </w:tr>
      <w:tr w:rsidR="00D761FF">
        <w:trPr>
          <w:cantSplit/>
          <w:trHeight w:val="703"/>
        </w:trPr>
        <w:tc>
          <w:tcPr>
            <w:tcW w:w="598" w:type="dxa"/>
            <w:vMerge/>
            <w:tcBorders>
              <w:top w:val="nil"/>
              <w:left w:val="single" w:sz="4" w:space="0" w:color="auto"/>
              <w:bottom w:val="single" w:sz="4" w:space="0" w:color="auto"/>
              <w:right w:val="single" w:sz="4" w:space="0" w:color="auto"/>
            </w:tcBorders>
            <w:vAlign w:val="center"/>
          </w:tcPr>
          <w:p w:rsidR="00D761FF" w:rsidRDefault="00D761FF">
            <w:pPr>
              <w:widowControl/>
              <w:jc w:val="left"/>
              <w:rPr>
                <w:rFonts w:ascii="宋体" w:hAnsi="宋体" w:cs="宋体" w:hint="eastAsia"/>
                <w:color w:val="000000"/>
                <w:kern w:val="0"/>
                <w:sz w:val="18"/>
                <w:szCs w:val="18"/>
              </w:rPr>
            </w:pPr>
          </w:p>
        </w:tc>
        <w:tc>
          <w:tcPr>
            <w:tcW w:w="4407" w:type="dxa"/>
            <w:gridSpan w:val="5"/>
            <w:tcBorders>
              <w:top w:val="single" w:sz="4" w:space="0" w:color="auto"/>
              <w:left w:val="nil"/>
              <w:bottom w:val="single" w:sz="4" w:space="0" w:color="auto"/>
              <w:right w:val="single" w:sz="4" w:space="0" w:color="000000"/>
            </w:tcBorders>
            <w:shd w:val="clear" w:color="auto" w:fill="auto"/>
          </w:tcPr>
          <w:p w:rsidR="00D761FF" w:rsidRDefault="00000000">
            <w:pPr>
              <w:jc w:val="left"/>
            </w:pPr>
            <w:r>
              <w:rPr>
                <w:rFonts w:ascii="宋体" w:hAnsi="宋体"/>
                <w:sz w:val="18"/>
              </w:rPr>
              <w:t>债务支付笔数&gt;10笔，债务资金支付完成率&gt;=100%，债务还款准确率&gt;=100%，债务资金按期支付率&gt;=100%，债务资金支付率&gt;=100%，保障单位良好信用，有保障，支付对象满意度&gt;=95%。</w:t>
            </w:r>
          </w:p>
        </w:tc>
        <w:tc>
          <w:tcPr>
            <w:tcW w:w="4677" w:type="dxa"/>
            <w:gridSpan w:val="7"/>
            <w:tcBorders>
              <w:top w:val="single" w:sz="4" w:space="0" w:color="auto"/>
              <w:left w:val="nil"/>
              <w:bottom w:val="single" w:sz="4" w:space="0" w:color="auto"/>
              <w:right w:val="single" w:sz="4" w:space="0" w:color="000000"/>
            </w:tcBorders>
            <w:shd w:val="clear" w:color="auto" w:fill="auto"/>
          </w:tcPr>
          <w:p w:rsidR="00D761FF" w:rsidRDefault="00000000">
            <w:pPr>
              <w:jc w:val="left"/>
            </w:pPr>
            <w:r>
              <w:rPr>
                <w:rFonts w:ascii="宋体" w:hAnsi="宋体"/>
                <w:sz w:val="18"/>
              </w:rPr>
              <w:t>完成支付债务支付笔数13笔，，债务资金支付完成率&gt;=100%，债务还款准确率&gt;=100%，债务资金按期支付率&gt;=100%，债务资金支付率&gt;=100%，保障单位良好信用，有保障，支付对象满意度&gt;=95%。</w:t>
            </w:r>
          </w:p>
        </w:tc>
      </w:tr>
      <w:tr w:rsidR="00D761FF">
        <w:trPr>
          <w:cantSplit/>
          <w:trHeight w:val="312"/>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rsidR="00D761FF" w:rsidRDefault="00D761FF">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tcPr>
          <w:p w:rsidR="00D761FF"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tcPr>
          <w:p w:rsidR="00D761FF"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D761FF"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三级指标</w:t>
            </w:r>
          </w:p>
        </w:tc>
        <w:tc>
          <w:tcPr>
            <w:tcW w:w="1125" w:type="dxa"/>
            <w:vMerge w:val="restart"/>
            <w:tcBorders>
              <w:top w:val="nil"/>
              <w:left w:val="single" w:sz="4" w:space="0" w:color="auto"/>
              <w:bottom w:val="single" w:sz="4" w:space="0" w:color="auto"/>
              <w:right w:val="single" w:sz="4" w:space="0" w:color="auto"/>
            </w:tcBorders>
            <w:shd w:val="clear" w:color="auto" w:fill="auto"/>
            <w:vAlign w:val="center"/>
          </w:tcPr>
          <w:p w:rsidR="00D761FF"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年度指标值</w:t>
            </w:r>
          </w:p>
        </w:tc>
        <w:tc>
          <w:tcPr>
            <w:tcW w:w="1229" w:type="dxa"/>
            <w:vMerge w:val="restart"/>
            <w:tcBorders>
              <w:top w:val="nil"/>
              <w:left w:val="single" w:sz="4" w:space="0" w:color="auto"/>
              <w:bottom w:val="single" w:sz="4" w:space="0" w:color="auto"/>
              <w:right w:val="single" w:sz="4" w:space="0" w:color="auto"/>
            </w:tcBorders>
            <w:shd w:val="clear" w:color="auto" w:fill="auto"/>
            <w:vAlign w:val="center"/>
          </w:tcPr>
          <w:p w:rsidR="00D761FF"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实际完成值</w:t>
            </w:r>
          </w:p>
        </w:tc>
        <w:tc>
          <w:tcPr>
            <w:tcW w:w="75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D761FF"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分值</w:t>
            </w:r>
          </w:p>
        </w:tc>
        <w:tc>
          <w:tcPr>
            <w:tcW w:w="709"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D761FF"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得分</w:t>
            </w:r>
          </w:p>
        </w:tc>
        <w:tc>
          <w:tcPr>
            <w:tcW w:w="1984"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D761FF"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偏差原因分析及改进措施</w:t>
            </w:r>
          </w:p>
        </w:tc>
      </w:tr>
      <w:tr w:rsidR="00D761FF">
        <w:trPr>
          <w:cantSplit/>
          <w:trHeight w:val="345"/>
        </w:trPr>
        <w:tc>
          <w:tcPr>
            <w:tcW w:w="598" w:type="dxa"/>
            <w:vMerge/>
            <w:tcBorders>
              <w:top w:val="nil"/>
              <w:left w:val="single" w:sz="4" w:space="0" w:color="auto"/>
              <w:bottom w:val="single" w:sz="4" w:space="0" w:color="auto"/>
              <w:right w:val="single" w:sz="4" w:space="0" w:color="auto"/>
            </w:tcBorders>
            <w:vAlign w:val="center"/>
          </w:tcPr>
          <w:p w:rsidR="00D761FF" w:rsidRDefault="00D761FF">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tcPr>
          <w:p w:rsidR="00D761FF" w:rsidRDefault="00D761FF">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tcPr>
          <w:p w:rsidR="00D761FF" w:rsidRDefault="00D761FF">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tcPr>
          <w:p w:rsidR="00D761FF" w:rsidRDefault="00D761FF">
            <w:pPr>
              <w:widowControl/>
              <w:jc w:val="left"/>
              <w:rPr>
                <w:rFonts w:ascii="宋体" w:hAnsi="宋体" w:cs="宋体" w:hint="eastAsia"/>
                <w:color w:val="000000"/>
                <w:kern w:val="0"/>
                <w:sz w:val="18"/>
                <w:szCs w:val="18"/>
              </w:rPr>
            </w:pPr>
          </w:p>
        </w:tc>
        <w:tc>
          <w:tcPr>
            <w:tcW w:w="1125" w:type="dxa"/>
            <w:vMerge/>
            <w:tcBorders>
              <w:top w:val="nil"/>
              <w:left w:val="single" w:sz="4" w:space="0" w:color="auto"/>
              <w:bottom w:val="single" w:sz="4" w:space="0" w:color="auto"/>
              <w:right w:val="single" w:sz="4" w:space="0" w:color="auto"/>
            </w:tcBorders>
            <w:vAlign w:val="center"/>
          </w:tcPr>
          <w:p w:rsidR="00D761FF" w:rsidRDefault="00D761FF">
            <w:pPr>
              <w:widowControl/>
              <w:jc w:val="left"/>
              <w:rPr>
                <w:rFonts w:ascii="宋体" w:hAnsi="宋体" w:cs="宋体" w:hint="eastAsia"/>
                <w:color w:val="000000"/>
                <w:kern w:val="0"/>
                <w:sz w:val="18"/>
                <w:szCs w:val="18"/>
              </w:rPr>
            </w:pPr>
          </w:p>
        </w:tc>
        <w:tc>
          <w:tcPr>
            <w:tcW w:w="1229" w:type="dxa"/>
            <w:vMerge/>
            <w:tcBorders>
              <w:top w:val="nil"/>
              <w:left w:val="single" w:sz="4" w:space="0" w:color="auto"/>
              <w:bottom w:val="single" w:sz="4" w:space="0" w:color="auto"/>
              <w:right w:val="single" w:sz="4" w:space="0" w:color="auto"/>
            </w:tcBorders>
            <w:vAlign w:val="center"/>
          </w:tcPr>
          <w:p w:rsidR="00D761FF" w:rsidRDefault="00D761FF">
            <w:pPr>
              <w:widowControl/>
              <w:jc w:val="left"/>
              <w:rPr>
                <w:rFonts w:ascii="宋体" w:hAnsi="宋体" w:cs="宋体" w:hint="eastAsia"/>
                <w:color w:val="000000"/>
                <w:kern w:val="0"/>
                <w:sz w:val="18"/>
                <w:szCs w:val="18"/>
              </w:rPr>
            </w:pPr>
          </w:p>
        </w:tc>
        <w:tc>
          <w:tcPr>
            <w:tcW w:w="755" w:type="dxa"/>
            <w:gridSpan w:val="2"/>
            <w:vMerge/>
            <w:tcBorders>
              <w:top w:val="single" w:sz="4" w:space="0" w:color="auto"/>
              <w:left w:val="single" w:sz="4" w:space="0" w:color="auto"/>
              <w:bottom w:val="single" w:sz="4" w:space="0" w:color="auto"/>
              <w:right w:val="single" w:sz="4" w:space="0" w:color="auto"/>
            </w:tcBorders>
            <w:vAlign w:val="center"/>
          </w:tcPr>
          <w:p w:rsidR="00D761FF" w:rsidRDefault="00D761FF">
            <w:pPr>
              <w:widowControl/>
              <w:jc w:val="left"/>
              <w:rPr>
                <w:rFonts w:ascii="宋体" w:hAnsi="宋体" w:cs="宋体" w:hint="eastAsia"/>
                <w:color w:val="000000"/>
                <w:kern w:val="0"/>
                <w:sz w:val="18"/>
                <w:szCs w:val="18"/>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tcPr>
          <w:p w:rsidR="00D761FF" w:rsidRDefault="00D761FF">
            <w:pPr>
              <w:widowControl/>
              <w:jc w:val="left"/>
              <w:rPr>
                <w:rFonts w:ascii="宋体" w:hAnsi="宋体" w:cs="宋体" w:hint="eastAsia"/>
                <w:color w:val="000000"/>
                <w:kern w:val="0"/>
                <w:sz w:val="18"/>
                <w:szCs w:val="18"/>
              </w:rPr>
            </w:pPr>
          </w:p>
        </w:tc>
        <w:tc>
          <w:tcPr>
            <w:tcW w:w="1984" w:type="dxa"/>
            <w:gridSpan w:val="2"/>
            <w:vMerge/>
            <w:tcBorders>
              <w:top w:val="single" w:sz="4" w:space="0" w:color="auto"/>
              <w:left w:val="single" w:sz="4" w:space="0" w:color="auto"/>
              <w:bottom w:val="single" w:sz="4" w:space="0" w:color="auto"/>
              <w:right w:val="single" w:sz="4" w:space="0" w:color="auto"/>
            </w:tcBorders>
            <w:vAlign w:val="center"/>
          </w:tcPr>
          <w:p w:rsidR="00D761FF" w:rsidRDefault="00D761FF">
            <w:pPr>
              <w:widowControl/>
              <w:jc w:val="left"/>
              <w:rPr>
                <w:rFonts w:ascii="宋体" w:hAnsi="宋体" w:cs="宋体" w:hint="eastAsia"/>
                <w:color w:val="000000"/>
                <w:kern w:val="0"/>
                <w:sz w:val="18"/>
                <w:szCs w:val="18"/>
              </w:rPr>
            </w:pPr>
          </w:p>
        </w:tc>
      </w:tr>
      <w:tr w:rsidR="00D761FF">
        <w:trPr>
          <w:cantSplit/>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rsidR="00D761FF" w:rsidRDefault="00000000">
            <w:pPr>
              <w:jc w:val="center"/>
            </w:pPr>
            <w:r>
              <w:rPr>
                <w:rFonts w:ascii="宋体" w:hAnsi="宋体"/>
                <w:sz w:val="18"/>
              </w:rPr>
              <w:t>年度绩效指标完成</w:t>
            </w:r>
            <w:r>
              <w:rPr>
                <w:rFonts w:ascii="宋体" w:hAnsi="宋体"/>
                <w:sz w:val="18"/>
              </w:rPr>
              <w:lastRenderedPageBreak/>
              <w:t>情况</w:t>
            </w:r>
          </w:p>
        </w:tc>
        <w:tc>
          <w:tcPr>
            <w:tcW w:w="707" w:type="dxa"/>
            <w:vMerge w:val="restart"/>
            <w:tcBorders>
              <w:top w:val="nil"/>
              <w:left w:val="nil"/>
              <w:bottom w:val="single" w:sz="4" w:space="0" w:color="auto"/>
              <w:right w:val="single" w:sz="4" w:space="0" w:color="auto"/>
            </w:tcBorders>
            <w:shd w:val="clear" w:color="auto" w:fill="auto"/>
            <w:vAlign w:val="center"/>
          </w:tcPr>
          <w:p w:rsidR="00D761FF" w:rsidRDefault="00000000">
            <w:pPr>
              <w:jc w:val="center"/>
            </w:pPr>
            <w:r>
              <w:rPr>
                <w:rFonts w:ascii="宋体" w:hAnsi="宋体"/>
                <w:sz w:val="18"/>
              </w:rPr>
              <w:lastRenderedPageBreak/>
              <w:t>产出指标</w:t>
            </w:r>
          </w:p>
        </w:tc>
        <w:tc>
          <w:tcPr>
            <w:tcW w:w="718" w:type="dxa"/>
            <w:tcBorders>
              <w:top w:val="nil"/>
              <w:left w:val="nil"/>
              <w:bottom w:val="single" w:sz="4" w:space="0" w:color="auto"/>
              <w:right w:val="single" w:sz="4" w:space="0" w:color="auto"/>
            </w:tcBorders>
            <w:shd w:val="clear" w:color="auto" w:fill="auto"/>
            <w:vAlign w:val="center"/>
          </w:tcPr>
          <w:p w:rsidR="00D761FF" w:rsidRDefault="00000000">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D761FF" w:rsidRDefault="00000000">
            <w:pPr>
              <w:jc w:val="center"/>
            </w:pPr>
            <w:r>
              <w:rPr>
                <w:rFonts w:ascii="宋体" w:hAnsi="宋体"/>
                <w:sz w:val="18"/>
              </w:rPr>
              <w:t>债务支付笔数</w:t>
            </w:r>
          </w:p>
        </w:tc>
        <w:tc>
          <w:tcPr>
            <w:tcW w:w="1125" w:type="dxa"/>
            <w:tcBorders>
              <w:top w:val="nil"/>
              <w:left w:val="nil"/>
              <w:bottom w:val="single" w:sz="4" w:space="0" w:color="auto"/>
              <w:right w:val="single" w:sz="4" w:space="0" w:color="auto"/>
            </w:tcBorders>
            <w:shd w:val="clear" w:color="auto" w:fill="auto"/>
            <w:vAlign w:val="center"/>
          </w:tcPr>
          <w:p w:rsidR="00D761FF" w:rsidRDefault="00000000">
            <w:pPr>
              <w:jc w:val="center"/>
            </w:pPr>
            <w:r>
              <w:rPr>
                <w:rFonts w:ascii="宋体" w:hAnsi="宋体"/>
                <w:sz w:val="18"/>
              </w:rPr>
              <w:t>&gt;=13笔</w:t>
            </w:r>
          </w:p>
        </w:tc>
        <w:tc>
          <w:tcPr>
            <w:tcW w:w="1229" w:type="dxa"/>
            <w:tcBorders>
              <w:top w:val="nil"/>
              <w:left w:val="nil"/>
              <w:bottom w:val="single" w:sz="4" w:space="0" w:color="auto"/>
              <w:right w:val="single" w:sz="4" w:space="0" w:color="auto"/>
            </w:tcBorders>
            <w:shd w:val="clear" w:color="auto" w:fill="auto"/>
            <w:vAlign w:val="center"/>
          </w:tcPr>
          <w:p w:rsidR="00D761FF" w:rsidRDefault="00000000">
            <w:pPr>
              <w:jc w:val="center"/>
            </w:pPr>
            <w:r>
              <w:rPr>
                <w:rFonts w:ascii="宋体" w:hAnsi="宋体"/>
                <w:sz w:val="18"/>
              </w:rPr>
              <w:t>=13笔</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rsidR="00D761FF" w:rsidRDefault="00000000">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rsidR="00D761FF" w:rsidRDefault="00000000">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rsidR="00D761FF" w:rsidRDefault="00D761FF">
            <w:pPr>
              <w:jc w:val="center"/>
            </w:pPr>
          </w:p>
        </w:tc>
      </w:tr>
      <w:tr w:rsidR="00D761FF">
        <w:trPr>
          <w:cantSplit/>
          <w:trHeight w:val="600"/>
        </w:trPr>
        <w:tc>
          <w:tcPr>
            <w:tcW w:w="598" w:type="dxa"/>
            <w:vMerge/>
            <w:tcBorders>
              <w:top w:val="nil"/>
              <w:left w:val="single" w:sz="4" w:space="0" w:color="auto"/>
              <w:bottom w:val="single" w:sz="4" w:space="0" w:color="auto"/>
              <w:right w:val="single" w:sz="4" w:space="0" w:color="auto"/>
            </w:tcBorders>
            <w:vAlign w:val="center"/>
          </w:tcPr>
          <w:p w:rsidR="00D761FF" w:rsidRDefault="00D761FF">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rsidR="00D761FF" w:rsidRDefault="00D761FF">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rsidR="00D761FF" w:rsidRDefault="00000000">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D761FF" w:rsidRDefault="00000000">
            <w:pPr>
              <w:jc w:val="center"/>
            </w:pPr>
            <w:r>
              <w:rPr>
                <w:rFonts w:ascii="宋体" w:hAnsi="宋体"/>
                <w:sz w:val="18"/>
              </w:rPr>
              <w:t>债务资金支付完成率</w:t>
            </w:r>
          </w:p>
        </w:tc>
        <w:tc>
          <w:tcPr>
            <w:tcW w:w="1125" w:type="dxa"/>
            <w:tcBorders>
              <w:top w:val="nil"/>
              <w:left w:val="nil"/>
              <w:bottom w:val="single" w:sz="4" w:space="0" w:color="auto"/>
              <w:right w:val="single" w:sz="4" w:space="0" w:color="auto"/>
            </w:tcBorders>
            <w:shd w:val="clear" w:color="auto" w:fill="auto"/>
            <w:vAlign w:val="center"/>
          </w:tcPr>
          <w:p w:rsidR="00D761FF" w:rsidRDefault="00000000">
            <w:pPr>
              <w:jc w:val="center"/>
            </w:pPr>
            <w:r>
              <w:rPr>
                <w:rFonts w:ascii="宋体" w:hAnsi="宋体"/>
                <w:sz w:val="18"/>
              </w:rPr>
              <w:t>&gt;=100%</w:t>
            </w:r>
          </w:p>
        </w:tc>
        <w:tc>
          <w:tcPr>
            <w:tcW w:w="1229" w:type="dxa"/>
            <w:tcBorders>
              <w:top w:val="nil"/>
              <w:left w:val="nil"/>
              <w:bottom w:val="single" w:sz="4" w:space="0" w:color="auto"/>
              <w:right w:val="single" w:sz="4" w:space="0" w:color="auto"/>
            </w:tcBorders>
            <w:shd w:val="clear" w:color="auto" w:fill="auto"/>
            <w:vAlign w:val="center"/>
          </w:tcPr>
          <w:p w:rsidR="00D761FF" w:rsidRDefault="00000000">
            <w:pPr>
              <w:jc w:val="center"/>
            </w:pPr>
            <w:r>
              <w:rPr>
                <w:rFonts w:ascii="宋体" w:hAnsi="宋体"/>
                <w:sz w:val="18"/>
              </w:rPr>
              <w:t>=100%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rsidR="00D761FF" w:rsidRDefault="00000000">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rsidR="00D761FF" w:rsidRDefault="00000000">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rsidR="00D761FF" w:rsidRDefault="00D761FF">
            <w:pPr>
              <w:jc w:val="center"/>
            </w:pPr>
          </w:p>
        </w:tc>
      </w:tr>
      <w:tr w:rsidR="00D761FF">
        <w:trPr>
          <w:cantSplit/>
          <w:trHeight w:val="600"/>
        </w:trPr>
        <w:tc>
          <w:tcPr>
            <w:tcW w:w="598" w:type="dxa"/>
            <w:vMerge/>
            <w:tcBorders>
              <w:top w:val="nil"/>
              <w:left w:val="single" w:sz="4" w:space="0" w:color="auto"/>
              <w:bottom w:val="single" w:sz="4" w:space="0" w:color="auto"/>
              <w:right w:val="single" w:sz="4" w:space="0" w:color="auto"/>
            </w:tcBorders>
            <w:vAlign w:val="center"/>
          </w:tcPr>
          <w:p w:rsidR="00D761FF" w:rsidRDefault="00D761FF">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rsidR="00D761FF" w:rsidRDefault="00D761FF">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rsidR="00D761FF" w:rsidRDefault="00000000">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D761FF" w:rsidRDefault="00000000">
            <w:pPr>
              <w:jc w:val="center"/>
            </w:pPr>
            <w:r>
              <w:rPr>
                <w:rFonts w:ascii="宋体" w:hAnsi="宋体"/>
                <w:sz w:val="18"/>
              </w:rPr>
              <w:t>债务还款准确率</w:t>
            </w:r>
          </w:p>
        </w:tc>
        <w:tc>
          <w:tcPr>
            <w:tcW w:w="1125" w:type="dxa"/>
            <w:tcBorders>
              <w:top w:val="nil"/>
              <w:left w:val="nil"/>
              <w:bottom w:val="single" w:sz="4" w:space="0" w:color="auto"/>
              <w:right w:val="single" w:sz="4" w:space="0" w:color="auto"/>
            </w:tcBorders>
            <w:shd w:val="clear" w:color="auto" w:fill="auto"/>
            <w:vAlign w:val="center"/>
          </w:tcPr>
          <w:p w:rsidR="00D761FF" w:rsidRDefault="00000000">
            <w:pPr>
              <w:jc w:val="center"/>
            </w:pPr>
            <w:r>
              <w:rPr>
                <w:rFonts w:ascii="宋体" w:hAnsi="宋体"/>
                <w:sz w:val="18"/>
              </w:rPr>
              <w:t>&gt;=100%</w:t>
            </w:r>
          </w:p>
        </w:tc>
        <w:tc>
          <w:tcPr>
            <w:tcW w:w="1229" w:type="dxa"/>
            <w:tcBorders>
              <w:top w:val="nil"/>
              <w:left w:val="nil"/>
              <w:bottom w:val="single" w:sz="4" w:space="0" w:color="auto"/>
              <w:right w:val="single" w:sz="4" w:space="0" w:color="auto"/>
            </w:tcBorders>
            <w:shd w:val="clear" w:color="auto" w:fill="auto"/>
            <w:vAlign w:val="center"/>
          </w:tcPr>
          <w:p w:rsidR="00D761FF" w:rsidRDefault="00000000">
            <w:pPr>
              <w:jc w:val="center"/>
            </w:pPr>
            <w:r>
              <w:rPr>
                <w:rFonts w:ascii="宋体" w:hAnsi="宋体"/>
                <w:sz w:val="18"/>
              </w:rPr>
              <w:t>=100%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rsidR="00D761FF" w:rsidRDefault="00000000">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rsidR="00D761FF" w:rsidRDefault="00000000">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rsidR="00D761FF" w:rsidRDefault="00D761FF">
            <w:pPr>
              <w:jc w:val="center"/>
            </w:pPr>
          </w:p>
        </w:tc>
      </w:tr>
      <w:tr w:rsidR="00D761FF">
        <w:trPr>
          <w:cantSplit/>
          <w:trHeight w:val="600"/>
        </w:trPr>
        <w:tc>
          <w:tcPr>
            <w:tcW w:w="598" w:type="dxa"/>
            <w:vMerge/>
            <w:tcBorders>
              <w:top w:val="nil"/>
              <w:left w:val="single" w:sz="4" w:space="0" w:color="auto"/>
              <w:bottom w:val="single" w:sz="4" w:space="0" w:color="auto"/>
              <w:right w:val="single" w:sz="4" w:space="0" w:color="auto"/>
            </w:tcBorders>
            <w:vAlign w:val="center"/>
          </w:tcPr>
          <w:p w:rsidR="00D761FF" w:rsidRDefault="00D761FF">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rsidR="00D761FF" w:rsidRDefault="00D761FF">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rsidR="00D761FF" w:rsidRDefault="00000000">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D761FF" w:rsidRDefault="00000000">
            <w:pPr>
              <w:jc w:val="center"/>
            </w:pPr>
            <w:r>
              <w:rPr>
                <w:rFonts w:ascii="宋体" w:hAnsi="宋体"/>
                <w:sz w:val="18"/>
              </w:rPr>
              <w:t>债务资金按期支付率</w:t>
            </w:r>
          </w:p>
        </w:tc>
        <w:tc>
          <w:tcPr>
            <w:tcW w:w="1125" w:type="dxa"/>
            <w:tcBorders>
              <w:top w:val="nil"/>
              <w:left w:val="nil"/>
              <w:bottom w:val="single" w:sz="4" w:space="0" w:color="auto"/>
              <w:right w:val="single" w:sz="4" w:space="0" w:color="auto"/>
            </w:tcBorders>
            <w:shd w:val="clear" w:color="auto" w:fill="auto"/>
            <w:vAlign w:val="center"/>
          </w:tcPr>
          <w:p w:rsidR="00D761FF" w:rsidRDefault="00000000">
            <w:pPr>
              <w:jc w:val="center"/>
            </w:pPr>
            <w:r>
              <w:rPr>
                <w:rFonts w:ascii="宋体" w:hAnsi="宋体"/>
                <w:sz w:val="18"/>
              </w:rPr>
              <w:t>&gt;=100%</w:t>
            </w:r>
          </w:p>
        </w:tc>
        <w:tc>
          <w:tcPr>
            <w:tcW w:w="1229" w:type="dxa"/>
            <w:tcBorders>
              <w:top w:val="nil"/>
              <w:left w:val="nil"/>
              <w:bottom w:val="single" w:sz="4" w:space="0" w:color="auto"/>
              <w:right w:val="single" w:sz="4" w:space="0" w:color="auto"/>
            </w:tcBorders>
            <w:shd w:val="clear" w:color="auto" w:fill="auto"/>
            <w:vAlign w:val="center"/>
          </w:tcPr>
          <w:p w:rsidR="00D761FF" w:rsidRDefault="00000000">
            <w:pPr>
              <w:jc w:val="center"/>
            </w:pPr>
            <w:r>
              <w:rPr>
                <w:rFonts w:ascii="宋体" w:hAnsi="宋体"/>
                <w:sz w:val="18"/>
              </w:rPr>
              <w:t>=100%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rsidR="00D761FF" w:rsidRDefault="00000000">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rsidR="00D761FF" w:rsidRDefault="00000000">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rsidR="00D761FF" w:rsidRDefault="00D761FF">
            <w:pPr>
              <w:jc w:val="center"/>
            </w:pPr>
          </w:p>
        </w:tc>
      </w:tr>
      <w:tr w:rsidR="00D761FF">
        <w:trPr>
          <w:cantSplit/>
          <w:trHeight w:val="600"/>
        </w:trPr>
        <w:tc>
          <w:tcPr>
            <w:tcW w:w="598" w:type="dxa"/>
            <w:vMerge/>
            <w:tcBorders>
              <w:top w:val="nil"/>
              <w:left w:val="single" w:sz="4" w:space="0" w:color="auto"/>
              <w:bottom w:val="single" w:sz="4" w:space="0" w:color="auto"/>
              <w:right w:val="single" w:sz="4" w:space="0" w:color="auto"/>
            </w:tcBorders>
            <w:vAlign w:val="center"/>
          </w:tcPr>
          <w:p w:rsidR="00D761FF" w:rsidRDefault="00D761FF">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rsidR="00D761FF" w:rsidRDefault="00000000">
            <w:pPr>
              <w:jc w:val="center"/>
            </w:pPr>
            <w:r>
              <w:rPr>
                <w:rFonts w:ascii="宋体" w:hAnsi="宋体"/>
                <w:sz w:val="18"/>
              </w:rPr>
              <w:t>成本指标</w:t>
            </w:r>
          </w:p>
        </w:tc>
        <w:tc>
          <w:tcPr>
            <w:tcW w:w="718" w:type="dxa"/>
            <w:tcBorders>
              <w:top w:val="nil"/>
              <w:left w:val="nil"/>
              <w:bottom w:val="single" w:sz="4" w:space="0" w:color="auto"/>
              <w:right w:val="single" w:sz="4" w:space="0" w:color="auto"/>
            </w:tcBorders>
            <w:shd w:val="clear" w:color="auto" w:fill="auto"/>
            <w:vAlign w:val="center"/>
          </w:tcPr>
          <w:p w:rsidR="00D761FF" w:rsidRDefault="00000000">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D761FF" w:rsidRDefault="00000000">
            <w:pPr>
              <w:jc w:val="center"/>
            </w:pPr>
            <w:r>
              <w:rPr>
                <w:rFonts w:ascii="宋体" w:hAnsi="宋体"/>
                <w:sz w:val="18"/>
              </w:rPr>
              <w:t>债务资金支付率</w:t>
            </w:r>
          </w:p>
        </w:tc>
        <w:tc>
          <w:tcPr>
            <w:tcW w:w="1125" w:type="dxa"/>
            <w:tcBorders>
              <w:top w:val="nil"/>
              <w:left w:val="nil"/>
              <w:bottom w:val="single" w:sz="4" w:space="0" w:color="auto"/>
              <w:right w:val="single" w:sz="4" w:space="0" w:color="auto"/>
            </w:tcBorders>
            <w:shd w:val="clear" w:color="auto" w:fill="auto"/>
            <w:vAlign w:val="center"/>
          </w:tcPr>
          <w:p w:rsidR="00D761FF" w:rsidRDefault="00000000">
            <w:pPr>
              <w:jc w:val="center"/>
            </w:pPr>
            <w:r>
              <w:rPr>
                <w:rFonts w:ascii="宋体" w:hAnsi="宋体"/>
                <w:sz w:val="18"/>
              </w:rPr>
              <w:t>&lt;=100%</w:t>
            </w:r>
          </w:p>
        </w:tc>
        <w:tc>
          <w:tcPr>
            <w:tcW w:w="1229" w:type="dxa"/>
            <w:tcBorders>
              <w:top w:val="nil"/>
              <w:left w:val="nil"/>
              <w:bottom w:val="single" w:sz="4" w:space="0" w:color="auto"/>
              <w:right w:val="single" w:sz="4" w:space="0" w:color="auto"/>
            </w:tcBorders>
            <w:shd w:val="clear" w:color="auto" w:fill="auto"/>
            <w:vAlign w:val="center"/>
          </w:tcPr>
          <w:p w:rsidR="00D761FF" w:rsidRDefault="00000000">
            <w:pPr>
              <w:jc w:val="center"/>
            </w:pPr>
            <w:r>
              <w:rPr>
                <w:rFonts w:ascii="宋体" w:hAnsi="宋体"/>
                <w:sz w:val="18"/>
              </w:rPr>
              <w:t>=99.99%</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rsidR="00D761FF" w:rsidRDefault="00000000">
            <w:pPr>
              <w:jc w:val="center"/>
            </w:pPr>
            <w:r>
              <w:rPr>
                <w:rFonts w:ascii="宋体" w:hAnsi="宋体"/>
                <w:sz w:val="18"/>
              </w:rPr>
              <w:t>20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rsidR="00D761FF" w:rsidRDefault="00000000">
            <w:pPr>
              <w:jc w:val="center"/>
            </w:pPr>
            <w:r>
              <w:rPr>
                <w:rFonts w:ascii="宋体" w:hAnsi="宋体"/>
                <w:sz w:val="18"/>
              </w:rPr>
              <w:t>19.99</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rsidR="00D761FF" w:rsidRDefault="00000000">
            <w:pPr>
              <w:jc w:val="center"/>
            </w:pPr>
            <w:r>
              <w:rPr>
                <w:rFonts w:ascii="宋体" w:hAnsi="宋体"/>
                <w:sz w:val="18"/>
              </w:rPr>
              <w:t>与财政局、商信局沟通失误，多支付0.09万元，改进措施：进一步加强与商信局及财政局的沟通工作</w:t>
            </w:r>
          </w:p>
        </w:tc>
      </w:tr>
      <w:tr w:rsidR="00D761FF">
        <w:trPr>
          <w:cantSplit/>
          <w:trHeight w:val="600"/>
        </w:trPr>
        <w:tc>
          <w:tcPr>
            <w:tcW w:w="598" w:type="dxa"/>
            <w:vMerge/>
            <w:tcBorders>
              <w:top w:val="nil"/>
              <w:left w:val="single" w:sz="4" w:space="0" w:color="auto"/>
              <w:bottom w:val="single" w:sz="4" w:space="0" w:color="auto"/>
              <w:right w:val="single" w:sz="4" w:space="0" w:color="auto"/>
            </w:tcBorders>
            <w:vAlign w:val="center"/>
          </w:tcPr>
          <w:p w:rsidR="00D761FF" w:rsidRDefault="00D761FF">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rsidR="00D761FF" w:rsidRDefault="00000000">
            <w:pPr>
              <w:jc w:val="center"/>
            </w:pPr>
            <w:r>
              <w:rPr>
                <w:rFonts w:ascii="宋体" w:hAnsi="宋体"/>
                <w:sz w:val="18"/>
              </w:rPr>
              <w:t>效益指标</w:t>
            </w:r>
          </w:p>
        </w:tc>
        <w:tc>
          <w:tcPr>
            <w:tcW w:w="718" w:type="dxa"/>
            <w:tcBorders>
              <w:top w:val="nil"/>
              <w:left w:val="nil"/>
              <w:bottom w:val="single" w:sz="4" w:space="0" w:color="auto"/>
              <w:right w:val="single" w:sz="4" w:space="0" w:color="auto"/>
            </w:tcBorders>
            <w:shd w:val="clear" w:color="auto" w:fill="auto"/>
            <w:vAlign w:val="center"/>
          </w:tcPr>
          <w:p w:rsidR="00D761FF" w:rsidRDefault="00000000">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D761FF" w:rsidRDefault="00000000">
            <w:pPr>
              <w:jc w:val="center"/>
            </w:pPr>
            <w:r>
              <w:rPr>
                <w:rFonts w:ascii="宋体" w:hAnsi="宋体"/>
                <w:sz w:val="18"/>
              </w:rPr>
              <w:t>保障单位良好信用</w:t>
            </w:r>
          </w:p>
        </w:tc>
        <w:tc>
          <w:tcPr>
            <w:tcW w:w="1125" w:type="dxa"/>
            <w:tcBorders>
              <w:top w:val="nil"/>
              <w:left w:val="nil"/>
              <w:bottom w:val="single" w:sz="4" w:space="0" w:color="auto"/>
              <w:right w:val="single" w:sz="4" w:space="0" w:color="auto"/>
            </w:tcBorders>
            <w:shd w:val="clear" w:color="auto" w:fill="auto"/>
            <w:vAlign w:val="center"/>
          </w:tcPr>
          <w:p w:rsidR="00D761FF" w:rsidRDefault="00000000">
            <w:pPr>
              <w:jc w:val="center"/>
            </w:pPr>
            <w:r>
              <w:rPr>
                <w:rFonts w:ascii="宋体" w:hAnsi="宋体"/>
                <w:sz w:val="18"/>
              </w:rPr>
              <w:t>有效保障</w:t>
            </w:r>
          </w:p>
        </w:tc>
        <w:tc>
          <w:tcPr>
            <w:tcW w:w="1229" w:type="dxa"/>
            <w:tcBorders>
              <w:top w:val="nil"/>
              <w:left w:val="nil"/>
              <w:bottom w:val="single" w:sz="4" w:space="0" w:color="auto"/>
              <w:right w:val="single" w:sz="4" w:space="0" w:color="auto"/>
            </w:tcBorders>
            <w:shd w:val="clear" w:color="auto" w:fill="auto"/>
            <w:vAlign w:val="center"/>
          </w:tcPr>
          <w:p w:rsidR="00D761FF" w:rsidRDefault="00000000">
            <w:pPr>
              <w:jc w:val="center"/>
            </w:pPr>
            <w:r>
              <w:rPr>
                <w:rFonts w:ascii="宋体" w:hAnsi="宋体"/>
                <w:sz w:val="18"/>
              </w:rPr>
              <w:t>有效保障</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rsidR="00D761FF" w:rsidRDefault="00000000">
            <w:pPr>
              <w:jc w:val="center"/>
            </w:pPr>
            <w:r>
              <w:rPr>
                <w:rFonts w:ascii="宋体" w:hAnsi="宋体"/>
                <w:sz w:val="18"/>
              </w:rPr>
              <w:t>20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rsidR="00D761FF" w:rsidRDefault="00000000">
            <w:pPr>
              <w:jc w:val="center"/>
            </w:pPr>
            <w:r>
              <w:rPr>
                <w:rFonts w:ascii="宋体" w:hAnsi="宋体"/>
                <w:sz w:val="18"/>
              </w:rPr>
              <w:t>20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rsidR="00D761FF" w:rsidRDefault="00D761FF">
            <w:pPr>
              <w:jc w:val="center"/>
            </w:pPr>
          </w:p>
        </w:tc>
      </w:tr>
      <w:tr w:rsidR="00D761FF">
        <w:trPr>
          <w:cantSplit/>
          <w:trHeight w:val="600"/>
        </w:trPr>
        <w:tc>
          <w:tcPr>
            <w:tcW w:w="598" w:type="dxa"/>
            <w:vMerge/>
            <w:tcBorders>
              <w:top w:val="nil"/>
              <w:left w:val="single" w:sz="4" w:space="0" w:color="auto"/>
              <w:bottom w:val="single" w:sz="4" w:space="0" w:color="auto"/>
              <w:right w:val="single" w:sz="4" w:space="0" w:color="auto"/>
            </w:tcBorders>
            <w:vAlign w:val="center"/>
          </w:tcPr>
          <w:p w:rsidR="00D761FF" w:rsidRDefault="00D761FF">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rsidR="00D761FF" w:rsidRDefault="00000000">
            <w:pPr>
              <w:jc w:val="center"/>
            </w:pPr>
            <w:r>
              <w:rPr>
                <w:rFonts w:ascii="宋体" w:hAnsi="宋体"/>
                <w:sz w:val="18"/>
              </w:rPr>
              <w:t>满意度指标</w:t>
            </w:r>
          </w:p>
        </w:tc>
        <w:tc>
          <w:tcPr>
            <w:tcW w:w="718" w:type="dxa"/>
            <w:tcBorders>
              <w:top w:val="nil"/>
              <w:left w:val="nil"/>
              <w:bottom w:val="single" w:sz="4" w:space="0" w:color="auto"/>
              <w:right w:val="single" w:sz="4" w:space="0" w:color="auto"/>
            </w:tcBorders>
            <w:shd w:val="clear" w:color="auto" w:fill="auto"/>
            <w:vAlign w:val="center"/>
          </w:tcPr>
          <w:p w:rsidR="00D761FF" w:rsidRDefault="00000000">
            <w:pPr>
              <w:jc w:val="center"/>
            </w:pPr>
            <w:r>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rsidR="00D761FF" w:rsidRDefault="00000000">
            <w:pPr>
              <w:jc w:val="center"/>
            </w:pPr>
            <w:r>
              <w:rPr>
                <w:rFonts w:ascii="宋体" w:hAnsi="宋体"/>
                <w:sz w:val="18"/>
              </w:rPr>
              <w:t>支付对象满意度</w:t>
            </w:r>
          </w:p>
        </w:tc>
        <w:tc>
          <w:tcPr>
            <w:tcW w:w="1125" w:type="dxa"/>
            <w:tcBorders>
              <w:top w:val="nil"/>
              <w:left w:val="nil"/>
              <w:bottom w:val="single" w:sz="4" w:space="0" w:color="auto"/>
              <w:right w:val="single" w:sz="4" w:space="0" w:color="auto"/>
            </w:tcBorders>
            <w:shd w:val="clear" w:color="auto" w:fill="auto"/>
            <w:vAlign w:val="center"/>
          </w:tcPr>
          <w:p w:rsidR="00D761FF" w:rsidRDefault="00000000">
            <w:pPr>
              <w:jc w:val="center"/>
            </w:pPr>
            <w:r>
              <w:rPr>
                <w:rFonts w:ascii="宋体" w:hAnsi="宋体"/>
                <w:sz w:val="18"/>
              </w:rPr>
              <w:t>&gt;=95%</w:t>
            </w:r>
          </w:p>
        </w:tc>
        <w:tc>
          <w:tcPr>
            <w:tcW w:w="1229" w:type="dxa"/>
            <w:tcBorders>
              <w:top w:val="nil"/>
              <w:left w:val="nil"/>
              <w:bottom w:val="single" w:sz="4" w:space="0" w:color="auto"/>
              <w:right w:val="single" w:sz="4" w:space="0" w:color="auto"/>
            </w:tcBorders>
            <w:shd w:val="clear" w:color="auto" w:fill="auto"/>
            <w:vAlign w:val="center"/>
          </w:tcPr>
          <w:p w:rsidR="00D761FF" w:rsidRDefault="00000000">
            <w:pPr>
              <w:jc w:val="center"/>
            </w:pPr>
            <w:r>
              <w:rPr>
                <w:rFonts w:ascii="宋体" w:hAnsi="宋体"/>
                <w:sz w:val="18"/>
              </w:rPr>
              <w:t>=95%</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rsidR="00D761FF" w:rsidRDefault="00000000">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rsidR="00D761FF" w:rsidRDefault="00000000">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rsidR="00D761FF" w:rsidRDefault="00D761FF">
            <w:pPr>
              <w:jc w:val="center"/>
            </w:pPr>
          </w:p>
        </w:tc>
      </w:tr>
      <w:tr w:rsidR="00D761FF">
        <w:trPr>
          <w:cantSplit/>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tcPr>
          <w:p w:rsidR="00D761FF" w:rsidRDefault="00000000">
            <w:pPr>
              <w:jc w:val="center"/>
            </w:pPr>
            <w:r>
              <w:rPr>
                <w:rFonts w:ascii="宋体" w:hAnsi="宋体"/>
                <w:sz w:val="18"/>
              </w:rPr>
              <w:t>总分</w:t>
            </w:r>
          </w:p>
        </w:tc>
        <w:tc>
          <w:tcPr>
            <w:tcW w:w="755" w:type="dxa"/>
            <w:gridSpan w:val="2"/>
            <w:tcBorders>
              <w:top w:val="single" w:sz="4" w:space="0" w:color="auto"/>
              <w:left w:val="nil"/>
              <w:bottom w:val="single" w:sz="4" w:space="0" w:color="auto"/>
              <w:right w:val="single" w:sz="4" w:space="0" w:color="auto"/>
            </w:tcBorders>
            <w:shd w:val="clear" w:color="auto" w:fill="auto"/>
            <w:vAlign w:val="center"/>
          </w:tcPr>
          <w:p w:rsidR="00D761FF" w:rsidRDefault="00000000">
            <w:pPr>
              <w:jc w:val="center"/>
            </w:pPr>
            <w:r>
              <w:rPr>
                <w:rFonts w:ascii="宋体" w:hAnsi="宋体"/>
                <w:sz w:val="18"/>
              </w:rPr>
              <w:t>100</w:t>
            </w:r>
          </w:p>
        </w:tc>
        <w:tc>
          <w:tcPr>
            <w:tcW w:w="709" w:type="dxa"/>
            <w:gridSpan w:val="2"/>
            <w:tcBorders>
              <w:top w:val="single" w:sz="4" w:space="0" w:color="auto"/>
              <w:left w:val="nil"/>
              <w:bottom w:val="single" w:sz="4" w:space="0" w:color="auto"/>
              <w:right w:val="single" w:sz="4" w:space="0" w:color="auto"/>
            </w:tcBorders>
            <w:shd w:val="clear" w:color="auto" w:fill="auto"/>
            <w:vAlign w:val="center"/>
          </w:tcPr>
          <w:p w:rsidR="00D761FF" w:rsidRDefault="00000000">
            <w:pPr>
              <w:jc w:val="center"/>
            </w:pPr>
            <w:r>
              <w:rPr>
                <w:rFonts w:ascii="宋体" w:hAnsi="宋体"/>
                <w:sz w:val="18"/>
              </w:rPr>
              <w:t>99.99分</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rsidR="00D761FF" w:rsidRDefault="00D761FF">
            <w:pPr>
              <w:jc w:val="center"/>
            </w:pPr>
          </w:p>
        </w:tc>
      </w:tr>
    </w:tbl>
    <w:p w:rsidR="00D761FF" w:rsidRDefault="00D761FF">
      <w:pPr>
        <w:ind w:firstLineChars="200" w:firstLine="640"/>
        <w:jc w:val="left"/>
        <w:rPr>
          <w:rFonts w:ascii="仿宋_GB2312" w:eastAsia="仿宋_GB2312" w:hAnsi="仿宋_GB2312" w:cs="仿宋_GB2312" w:hint="eastAsia"/>
          <w:kern w:val="0"/>
          <w:sz w:val="32"/>
          <w:szCs w:val="32"/>
          <w:lang w:eastAsia="zh-Hans"/>
        </w:rPr>
      </w:pPr>
    </w:p>
    <w:p w:rsidR="00D761FF" w:rsidRDefault="00000000">
      <w:pPr>
        <w:ind w:firstLineChars="200" w:firstLine="640"/>
        <w:jc w:val="left"/>
        <w:rPr>
          <w:rFonts w:ascii="黑体" w:eastAsia="黑体" w:hAnsi="黑体" w:cs="宋体" w:hint="eastAsia"/>
          <w:bCs/>
          <w:kern w:val="0"/>
          <w:sz w:val="32"/>
          <w:szCs w:val="32"/>
        </w:rPr>
      </w:pPr>
      <w:r>
        <w:rPr>
          <w:rFonts w:ascii="黑体" w:eastAsia="黑体" w:hAnsi="黑体" w:cs="宋体" w:hint="eastAsia"/>
          <w:bCs/>
          <w:kern w:val="0"/>
          <w:sz w:val="32"/>
          <w:szCs w:val="32"/>
        </w:rPr>
        <w:t>十二、其他需说明的事项</w:t>
      </w:r>
    </w:p>
    <w:p w:rsidR="00D761FF" w:rsidRDefault="00000000">
      <w:pPr>
        <w:ind w:firstLineChars="200" w:firstLine="640"/>
        <w:jc w:val="left"/>
        <w:rPr>
          <w:rFonts w:ascii="仿宋_GB2312" w:eastAsia="仿宋_GB2312" w:hAnsi="仿宋_GB2312" w:cs="仿宋_GB2312" w:hint="eastAsia"/>
          <w:kern w:val="0"/>
          <w:sz w:val="32"/>
          <w:szCs w:val="32"/>
        </w:rPr>
      </w:pPr>
      <w:r>
        <w:rPr>
          <w:rFonts w:ascii="仿宋_GB2312" w:eastAsia="仿宋_GB2312" w:hAnsi="仿宋_GB2312" w:cs="仿宋_GB2312" w:hint="eastAsia"/>
          <w:kern w:val="0"/>
          <w:sz w:val="32"/>
          <w:szCs w:val="32"/>
        </w:rPr>
        <w:t>本单位无其他需说明事项。</w:t>
      </w:r>
    </w:p>
    <w:p w:rsidR="00D761FF" w:rsidRDefault="00000000">
      <w:pPr>
        <w:jc w:val="center"/>
        <w:outlineLvl w:val="0"/>
        <w:rPr>
          <w:rFonts w:ascii="黑体" w:eastAsia="黑体" w:hAnsi="黑体" w:hint="eastAsia"/>
          <w:sz w:val="32"/>
          <w:szCs w:val="32"/>
        </w:rPr>
      </w:pPr>
      <w:bookmarkStart w:id="30" w:name="_Toc24143"/>
      <w:bookmarkStart w:id="31" w:name="_Toc3250"/>
      <w:r>
        <w:rPr>
          <w:rFonts w:ascii="黑体" w:eastAsia="黑体" w:hAnsi="黑体" w:hint="eastAsia"/>
          <w:sz w:val="32"/>
          <w:szCs w:val="32"/>
        </w:rPr>
        <w:br w:type="page"/>
      </w:r>
      <w:r>
        <w:rPr>
          <w:rFonts w:ascii="黑体" w:eastAsia="黑体" w:hAnsi="黑体" w:hint="eastAsia"/>
          <w:sz w:val="32"/>
          <w:szCs w:val="32"/>
        </w:rPr>
        <w:lastRenderedPageBreak/>
        <w:t>第三部分 专业名词解释</w:t>
      </w:r>
      <w:bookmarkEnd w:id="30"/>
      <w:bookmarkEnd w:id="31"/>
    </w:p>
    <w:p w:rsidR="00D761FF"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一、财政拨款收入：</w:t>
      </w:r>
      <w:r>
        <w:rPr>
          <w:rFonts w:ascii="仿宋_GB2312" w:eastAsia="仿宋_GB2312" w:hint="eastAsia"/>
          <w:sz w:val="32"/>
          <w:szCs w:val="32"/>
        </w:rPr>
        <w:t>指同级财政当年拨付的资金。</w:t>
      </w:r>
    </w:p>
    <w:p w:rsidR="00D761FF"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二、上级补助收入：</w:t>
      </w:r>
      <w:r>
        <w:rPr>
          <w:rFonts w:ascii="仿宋_GB2312" w:eastAsia="仿宋_GB2312" w:hint="eastAsia"/>
          <w:sz w:val="32"/>
          <w:szCs w:val="32"/>
        </w:rPr>
        <w:t>指事业单位从主管部门和上级单位取得的非财政补助收入。</w:t>
      </w:r>
    </w:p>
    <w:p w:rsidR="00D761FF"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三、事业收入：</w:t>
      </w:r>
      <w:r>
        <w:rPr>
          <w:rFonts w:ascii="仿宋_GB2312" w:eastAsia="仿宋_GB2312" w:hint="eastAsia"/>
          <w:sz w:val="32"/>
          <w:szCs w:val="32"/>
        </w:rPr>
        <w:t>指事业单位开展专业业务活动及其辅助活动所取得的收入。</w:t>
      </w:r>
    </w:p>
    <w:p w:rsidR="00D761FF"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四、经营收入：</w:t>
      </w:r>
      <w:r>
        <w:rPr>
          <w:rFonts w:ascii="仿宋_GB2312" w:eastAsia="仿宋_GB2312" w:hint="eastAsia"/>
          <w:sz w:val="32"/>
          <w:szCs w:val="32"/>
        </w:rPr>
        <w:t>指事业单位在专业业务活动及其辅助活动之外开展非独立核算经营活动取得的收入。</w:t>
      </w:r>
    </w:p>
    <w:p w:rsidR="00D761FF"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五、附属单位上缴收入：</w:t>
      </w:r>
      <w:r>
        <w:rPr>
          <w:rFonts w:ascii="仿宋_GB2312" w:eastAsia="仿宋_GB2312" w:hint="eastAsia"/>
          <w:sz w:val="32"/>
          <w:szCs w:val="32"/>
        </w:rPr>
        <w:t>指事业单位附属的独立核算单位按有关规定上缴的收入。</w:t>
      </w:r>
    </w:p>
    <w:p w:rsidR="00D761FF"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六、其他收入：</w:t>
      </w:r>
      <w:r>
        <w:rPr>
          <w:rFonts w:ascii="仿宋_GB2312" w:eastAsia="仿宋_GB2312" w:hint="eastAsia"/>
          <w:sz w:val="32"/>
          <w:szCs w:val="32"/>
        </w:rPr>
        <w:t>指除上述“财政拨款收入”、“事业收入”、“经营收入”、“附属单位上缴收入”等之外取得的收入。</w:t>
      </w:r>
    </w:p>
    <w:p w:rsidR="00D761FF"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七、年初结转和结余：</w:t>
      </w:r>
      <w:r>
        <w:rPr>
          <w:rFonts w:ascii="仿宋_GB2312" w:eastAsia="仿宋_GB2312" w:hint="eastAsia"/>
          <w:sz w:val="32"/>
          <w:szCs w:val="32"/>
        </w:rPr>
        <w:t>指以前年度支出预算因客观条件变化未执行完毕、结转到本年度按有关规定继续使用的资金，既包括财政拨款结转和结余，也包括事业收入、经营收入、其他收入的结转和结余。</w:t>
      </w:r>
    </w:p>
    <w:p w:rsidR="00D761FF"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八、年末结转和结余：</w:t>
      </w:r>
      <w:r>
        <w:rPr>
          <w:rFonts w:ascii="仿宋_GB2312" w:eastAsia="仿宋_GB2312" w:hint="eastAsia"/>
          <w:sz w:val="32"/>
          <w:szCs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rsidR="00D761FF"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九、基本支出：</w:t>
      </w:r>
      <w:r>
        <w:rPr>
          <w:rFonts w:ascii="仿宋_GB2312" w:eastAsia="仿宋_GB2312" w:hint="eastAsia"/>
          <w:sz w:val="32"/>
          <w:szCs w:val="32"/>
        </w:rPr>
        <w:t>指为保障机构正常运转、完成日常工作</w:t>
      </w:r>
      <w:r>
        <w:rPr>
          <w:rFonts w:ascii="仿宋_GB2312" w:eastAsia="仿宋_GB2312" w:hint="eastAsia"/>
          <w:sz w:val="32"/>
          <w:szCs w:val="32"/>
        </w:rPr>
        <w:lastRenderedPageBreak/>
        <w:t>任务而发生的人员支出和公用支出。</w:t>
      </w:r>
    </w:p>
    <w:p w:rsidR="00D761FF"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十、项目支出：</w:t>
      </w:r>
      <w:r>
        <w:rPr>
          <w:rFonts w:ascii="仿宋_GB2312" w:eastAsia="仿宋_GB2312" w:hint="eastAsia"/>
          <w:sz w:val="32"/>
          <w:szCs w:val="32"/>
        </w:rPr>
        <w:t>指在基本支出之外为完成特定行政任务和事业发展目标所发生的支出。</w:t>
      </w:r>
    </w:p>
    <w:p w:rsidR="00D761FF"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十一、经营支出：</w:t>
      </w:r>
      <w:r>
        <w:rPr>
          <w:rFonts w:ascii="仿宋_GB2312" w:eastAsia="仿宋_GB2312" w:hint="eastAsia"/>
          <w:sz w:val="32"/>
          <w:szCs w:val="32"/>
        </w:rPr>
        <w:t>指事业单位在专业业务活动及其辅助活动之外开展非独立核算经营活动发生的支出。</w:t>
      </w:r>
    </w:p>
    <w:p w:rsidR="00D761FF"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十二、对附属单位补助支出：</w:t>
      </w:r>
      <w:r>
        <w:rPr>
          <w:rFonts w:ascii="仿宋_GB2312" w:eastAsia="仿宋_GB2312" w:hint="eastAsia"/>
          <w:sz w:val="32"/>
          <w:szCs w:val="32"/>
        </w:rPr>
        <w:t>指事业单位发生的用非财政预算资金对附属单位的补助支出。</w:t>
      </w:r>
    </w:p>
    <w:p w:rsidR="00D761FF"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十三、“三公”经费：</w:t>
      </w:r>
      <w:r>
        <w:rPr>
          <w:rFonts w:ascii="仿宋_GB2312" w:eastAsia="仿宋_GB2312" w:hint="eastAsia"/>
          <w:sz w:val="32"/>
          <w:szCs w:val="32"/>
        </w:rPr>
        <w:t>指用财政拨款安排的因公出国（境）费、公务用车购置及运行费和公务接待费。其中，因公出国（境）费反映单位公务出国（境）的国际旅费、国外城市间交通费、住宿费、伙食费、培训费、公杂费等支出；公务用车购置费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rsidR="00D761FF" w:rsidRDefault="00000000">
      <w:pPr>
        <w:ind w:firstLineChars="200" w:firstLine="643"/>
        <w:rPr>
          <w:rFonts w:ascii="仿宋_GB2312" w:eastAsia="仿宋_GB2312"/>
          <w:sz w:val="32"/>
          <w:szCs w:val="32"/>
        </w:rPr>
      </w:pPr>
      <w:r>
        <w:rPr>
          <w:rFonts w:ascii="仿宋_GB2312" w:eastAsia="仿宋_GB2312" w:hint="eastAsia"/>
          <w:b/>
          <w:bCs/>
          <w:sz w:val="32"/>
          <w:szCs w:val="32"/>
        </w:rPr>
        <w:t>十四、机关运行经费：</w:t>
      </w:r>
      <w:r>
        <w:rPr>
          <w:rFonts w:ascii="仿宋_GB2312" w:eastAsia="仿宋_GB2312" w:hint="eastAsia"/>
          <w:sz w:val="32"/>
          <w:szCs w:val="32"/>
        </w:rPr>
        <w:t>行政单位和参照公务员法管理的事业单位财政拨款基本支出中的公用经费支出。</w:t>
      </w:r>
    </w:p>
    <w:p w:rsidR="00D761FF" w:rsidRDefault="00000000">
      <w:pPr>
        <w:ind w:firstLineChars="200" w:firstLine="640"/>
        <w:jc w:val="center"/>
        <w:outlineLvl w:val="0"/>
        <w:rPr>
          <w:rFonts w:ascii="黑体" w:eastAsia="黑体" w:hAnsi="黑体" w:hint="eastAsia"/>
          <w:sz w:val="32"/>
          <w:szCs w:val="32"/>
        </w:rPr>
      </w:pPr>
      <w:r>
        <w:rPr>
          <w:rFonts w:ascii="仿宋_GB2312" w:eastAsia="仿宋_GB2312" w:hint="eastAsia"/>
          <w:sz w:val="32"/>
          <w:szCs w:val="32"/>
        </w:rPr>
        <w:br w:type="page"/>
      </w:r>
      <w:r>
        <w:rPr>
          <w:rFonts w:ascii="黑体" w:eastAsia="黑体" w:hAnsi="黑体" w:hint="eastAsia"/>
          <w:sz w:val="32"/>
          <w:szCs w:val="32"/>
        </w:rPr>
        <w:lastRenderedPageBreak/>
        <w:t>第四部分 部门决算报表（见附表）</w:t>
      </w:r>
    </w:p>
    <w:p w:rsidR="00D761FF" w:rsidRDefault="00000000">
      <w:pPr>
        <w:ind w:firstLineChars="200" w:firstLine="640"/>
        <w:outlineLvl w:val="1"/>
        <w:rPr>
          <w:rFonts w:ascii="黑体" w:eastAsia="仿宋_GB2312" w:hAnsi="黑体" w:cs="宋体" w:hint="eastAsia"/>
          <w:bCs/>
          <w:kern w:val="0"/>
          <w:sz w:val="32"/>
          <w:szCs w:val="32"/>
        </w:rPr>
      </w:pPr>
      <w:bookmarkStart w:id="32" w:name="_Toc6062"/>
      <w:bookmarkStart w:id="33" w:name="_Toc2183"/>
      <w:r>
        <w:rPr>
          <w:rFonts w:ascii="黑体" w:eastAsia="仿宋_GB2312" w:hAnsi="黑体" w:cs="宋体" w:hint="eastAsia"/>
          <w:bCs/>
          <w:kern w:val="0"/>
          <w:sz w:val="32"/>
          <w:szCs w:val="32"/>
        </w:rPr>
        <w:t>一、《收入支出决算总表》</w:t>
      </w:r>
      <w:bookmarkEnd w:id="32"/>
      <w:bookmarkEnd w:id="33"/>
    </w:p>
    <w:p w:rsidR="00D761FF" w:rsidRDefault="00000000">
      <w:pPr>
        <w:ind w:firstLineChars="200" w:firstLine="640"/>
        <w:outlineLvl w:val="1"/>
        <w:rPr>
          <w:rFonts w:ascii="黑体" w:eastAsia="仿宋_GB2312" w:hAnsi="黑体" w:cs="宋体" w:hint="eastAsia"/>
          <w:bCs/>
          <w:kern w:val="0"/>
          <w:sz w:val="32"/>
          <w:szCs w:val="32"/>
        </w:rPr>
      </w:pPr>
      <w:bookmarkStart w:id="34" w:name="_Toc30364"/>
      <w:bookmarkStart w:id="35" w:name="_Toc24532"/>
      <w:r>
        <w:rPr>
          <w:rFonts w:ascii="黑体" w:eastAsia="仿宋_GB2312" w:hAnsi="黑体" w:cs="宋体" w:hint="eastAsia"/>
          <w:bCs/>
          <w:kern w:val="0"/>
          <w:sz w:val="32"/>
          <w:szCs w:val="32"/>
        </w:rPr>
        <w:t>二、《收入决算表》</w:t>
      </w:r>
      <w:bookmarkEnd w:id="34"/>
      <w:bookmarkEnd w:id="35"/>
    </w:p>
    <w:p w:rsidR="00D761FF" w:rsidRDefault="00000000">
      <w:pPr>
        <w:ind w:firstLineChars="200" w:firstLine="640"/>
        <w:outlineLvl w:val="1"/>
        <w:rPr>
          <w:rFonts w:ascii="黑体" w:eastAsia="仿宋_GB2312" w:hAnsi="黑体" w:cs="宋体" w:hint="eastAsia"/>
          <w:bCs/>
          <w:kern w:val="0"/>
          <w:sz w:val="32"/>
          <w:szCs w:val="32"/>
        </w:rPr>
      </w:pPr>
      <w:bookmarkStart w:id="36" w:name="_Toc21304"/>
      <w:bookmarkStart w:id="37" w:name="_Toc32434"/>
      <w:r>
        <w:rPr>
          <w:rFonts w:ascii="黑体" w:eastAsia="仿宋_GB2312" w:hAnsi="黑体" w:cs="宋体" w:hint="eastAsia"/>
          <w:bCs/>
          <w:kern w:val="0"/>
          <w:sz w:val="32"/>
          <w:szCs w:val="32"/>
        </w:rPr>
        <w:t>三、《支出决算表》</w:t>
      </w:r>
      <w:bookmarkEnd w:id="36"/>
      <w:bookmarkEnd w:id="37"/>
    </w:p>
    <w:p w:rsidR="00D761FF" w:rsidRDefault="00000000">
      <w:pPr>
        <w:ind w:firstLineChars="200" w:firstLine="640"/>
        <w:outlineLvl w:val="1"/>
        <w:rPr>
          <w:rFonts w:ascii="黑体" w:eastAsia="仿宋_GB2312" w:hAnsi="黑体" w:cs="宋体" w:hint="eastAsia"/>
          <w:bCs/>
          <w:kern w:val="0"/>
          <w:sz w:val="32"/>
          <w:szCs w:val="32"/>
        </w:rPr>
      </w:pPr>
      <w:bookmarkStart w:id="38" w:name="_Toc14238"/>
      <w:bookmarkStart w:id="39" w:name="_Toc28786"/>
      <w:r>
        <w:rPr>
          <w:rFonts w:ascii="黑体" w:eastAsia="仿宋_GB2312" w:hAnsi="黑体" w:cs="宋体" w:hint="eastAsia"/>
          <w:bCs/>
          <w:kern w:val="0"/>
          <w:sz w:val="32"/>
          <w:szCs w:val="32"/>
        </w:rPr>
        <w:t>四、《财政拨款收入支出决算总表》</w:t>
      </w:r>
      <w:bookmarkEnd w:id="38"/>
      <w:bookmarkEnd w:id="39"/>
    </w:p>
    <w:p w:rsidR="00D761FF" w:rsidRDefault="00000000">
      <w:pPr>
        <w:ind w:firstLineChars="200" w:firstLine="640"/>
        <w:outlineLvl w:val="1"/>
        <w:rPr>
          <w:rFonts w:ascii="黑体" w:eastAsia="仿宋_GB2312" w:hAnsi="黑体" w:cs="宋体" w:hint="eastAsia"/>
          <w:bCs/>
          <w:kern w:val="0"/>
          <w:sz w:val="32"/>
          <w:szCs w:val="32"/>
        </w:rPr>
      </w:pPr>
      <w:bookmarkStart w:id="40" w:name="_Toc14869"/>
      <w:bookmarkStart w:id="41" w:name="_Toc10347"/>
      <w:r>
        <w:rPr>
          <w:rFonts w:ascii="黑体" w:eastAsia="仿宋_GB2312" w:hAnsi="黑体" w:cs="宋体" w:hint="eastAsia"/>
          <w:bCs/>
          <w:kern w:val="0"/>
          <w:sz w:val="32"/>
          <w:szCs w:val="32"/>
        </w:rPr>
        <w:t>五、《一般公共预算财政拨款支出决算表》</w:t>
      </w:r>
      <w:bookmarkEnd w:id="40"/>
      <w:bookmarkEnd w:id="41"/>
    </w:p>
    <w:p w:rsidR="00D761FF" w:rsidRDefault="00000000">
      <w:pPr>
        <w:ind w:firstLineChars="200" w:firstLine="640"/>
        <w:outlineLvl w:val="1"/>
        <w:rPr>
          <w:rFonts w:ascii="黑体" w:eastAsia="仿宋_GB2312" w:hAnsi="黑体" w:cs="宋体" w:hint="eastAsia"/>
          <w:bCs/>
          <w:kern w:val="0"/>
          <w:sz w:val="32"/>
          <w:szCs w:val="32"/>
        </w:rPr>
      </w:pPr>
      <w:bookmarkStart w:id="42" w:name="_Toc8884"/>
      <w:bookmarkStart w:id="43" w:name="_Toc5626"/>
      <w:r>
        <w:rPr>
          <w:rFonts w:ascii="黑体" w:eastAsia="仿宋_GB2312" w:hAnsi="黑体" w:cs="宋体" w:hint="eastAsia"/>
          <w:bCs/>
          <w:kern w:val="0"/>
          <w:sz w:val="32"/>
          <w:szCs w:val="32"/>
        </w:rPr>
        <w:t>六、《一般公共预算财政拨款基本支出决算表》</w:t>
      </w:r>
      <w:bookmarkEnd w:id="42"/>
      <w:bookmarkEnd w:id="43"/>
    </w:p>
    <w:p w:rsidR="00D761FF" w:rsidRDefault="00000000">
      <w:pPr>
        <w:ind w:firstLineChars="200" w:firstLine="640"/>
        <w:outlineLvl w:val="1"/>
        <w:rPr>
          <w:rFonts w:ascii="黑体" w:eastAsia="仿宋_GB2312" w:hAnsi="黑体" w:cs="宋体" w:hint="eastAsia"/>
          <w:bCs/>
          <w:kern w:val="0"/>
          <w:sz w:val="32"/>
          <w:szCs w:val="32"/>
        </w:rPr>
      </w:pPr>
      <w:r>
        <w:rPr>
          <w:rFonts w:ascii="黑体" w:eastAsia="仿宋_GB2312" w:hAnsi="黑体" w:cs="宋体" w:hint="eastAsia"/>
          <w:bCs/>
          <w:kern w:val="0"/>
          <w:sz w:val="32"/>
          <w:szCs w:val="32"/>
        </w:rPr>
        <w:t>七、</w:t>
      </w:r>
      <w:bookmarkStart w:id="44" w:name="_Toc32663"/>
      <w:bookmarkStart w:id="45" w:name="_Toc29106"/>
      <w:r>
        <w:rPr>
          <w:rFonts w:ascii="黑体" w:eastAsia="仿宋_GB2312" w:hAnsi="黑体" w:cs="宋体" w:hint="eastAsia"/>
          <w:bCs/>
          <w:kern w:val="0"/>
          <w:sz w:val="32"/>
          <w:szCs w:val="32"/>
        </w:rPr>
        <w:t>《财政拨款“三公”经费支出决算表》</w:t>
      </w:r>
      <w:bookmarkEnd w:id="44"/>
      <w:bookmarkEnd w:id="45"/>
    </w:p>
    <w:p w:rsidR="00D761FF" w:rsidRDefault="00000000">
      <w:pPr>
        <w:ind w:firstLineChars="200" w:firstLine="640"/>
        <w:outlineLvl w:val="1"/>
        <w:rPr>
          <w:rFonts w:ascii="黑体" w:eastAsia="仿宋_GB2312" w:hAnsi="黑体" w:cs="宋体" w:hint="eastAsia"/>
          <w:bCs/>
          <w:kern w:val="0"/>
          <w:sz w:val="32"/>
          <w:szCs w:val="32"/>
        </w:rPr>
      </w:pPr>
      <w:bookmarkStart w:id="46" w:name="_Toc7643"/>
      <w:bookmarkStart w:id="47" w:name="_Toc5453"/>
      <w:r>
        <w:rPr>
          <w:rFonts w:ascii="黑体" w:eastAsia="仿宋_GB2312" w:hAnsi="黑体" w:cs="宋体" w:hint="eastAsia"/>
          <w:bCs/>
          <w:kern w:val="0"/>
          <w:sz w:val="32"/>
          <w:szCs w:val="32"/>
        </w:rPr>
        <w:t>八、《政府性基金预算财政拨款收入支出决算表》</w:t>
      </w:r>
      <w:bookmarkEnd w:id="46"/>
      <w:bookmarkEnd w:id="47"/>
    </w:p>
    <w:p w:rsidR="00D761FF" w:rsidRDefault="00000000">
      <w:pPr>
        <w:ind w:firstLineChars="200" w:firstLine="640"/>
        <w:outlineLvl w:val="1"/>
        <w:rPr>
          <w:rFonts w:ascii="黑体" w:eastAsia="仿宋_GB2312" w:hAnsi="黑体" w:cs="宋体" w:hint="eastAsia"/>
          <w:bCs/>
          <w:kern w:val="0"/>
          <w:sz w:val="32"/>
          <w:szCs w:val="32"/>
        </w:rPr>
      </w:pPr>
      <w:r>
        <w:rPr>
          <w:rFonts w:ascii="黑体" w:eastAsia="仿宋_GB2312" w:hAnsi="黑体" w:cs="宋体" w:hint="eastAsia"/>
          <w:bCs/>
          <w:kern w:val="0"/>
          <w:sz w:val="32"/>
          <w:szCs w:val="32"/>
        </w:rPr>
        <w:t>九、《国有资本经营预算财政拨款收入支出决算表》</w:t>
      </w:r>
    </w:p>
    <w:p w:rsidR="00D761FF" w:rsidRDefault="00D761FF">
      <w:pPr>
        <w:ind w:firstLineChars="200" w:firstLine="640"/>
        <w:rPr>
          <w:rFonts w:ascii="仿宋_GB2312" w:eastAsia="仿宋_GB2312"/>
          <w:sz w:val="32"/>
          <w:szCs w:val="32"/>
        </w:rPr>
      </w:pPr>
    </w:p>
    <w:p w:rsidR="00D761FF" w:rsidRDefault="00D761FF">
      <w:pPr>
        <w:ind w:firstLineChars="200" w:firstLine="640"/>
        <w:outlineLvl w:val="1"/>
        <w:rPr>
          <w:rFonts w:ascii="黑体" w:eastAsia="黑体" w:hAnsi="黑体" w:cs="宋体" w:hint="eastAsia"/>
          <w:bCs/>
          <w:kern w:val="0"/>
          <w:sz w:val="32"/>
          <w:szCs w:val="32"/>
        </w:rPr>
      </w:pPr>
    </w:p>
    <w:sectPr w:rsidR="00D761FF">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0D124E" w:rsidRDefault="000D124E">
      <w:r>
        <w:separator/>
      </w:r>
    </w:p>
  </w:endnote>
  <w:endnote w:type="continuationSeparator" w:id="0">
    <w:p w:rsidR="000D124E" w:rsidRDefault="000D12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小标宋_GBK">
    <w:altName w:val="微软雅黑"/>
    <w:charset w:val="86"/>
    <w:family w:val="script"/>
    <w:pitch w:val="default"/>
    <w:sig w:usb0="A00002BF" w:usb1="38CF7CFA" w:usb2="00082016" w:usb3="00000000" w:csb0="00040001"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D761FF" w:rsidRDefault="00000000">
    <w:pPr>
      <w:pStyle w:val="a4"/>
    </w:pPr>
    <w:r>
      <w:rPr>
        <w:noProof/>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rsidR="00D761FF" w:rsidRDefault="00000000">
                          <w:pPr>
                            <w:pStyle w:val="a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wps:txbx>
                    <wps:bodyPr vert="horz" wrap="none" lIns="0" tIns="0" rIns="0" bIns="0" anchor="t" anchorCtr="0">
                      <a:spAutoFit/>
                    </wps:bodyPr>
                  </wps:wsp>
                </a:graphicData>
              </a:graphic>
            </wp:anchor>
          </w:drawing>
        </mc:Choice>
        <mc:Fallback>
          <w:pict>
            <v:shapetype id="_x0000_t202" coordsize="21600,21600" o:spt="202" path="m,l,21600r21600,l21600,xe">
              <v:stroke joinstyle="miter"/>
              <v:path gradientshapeok="t" o:connecttype="rect"/>
            </v:shapetype>
            <v:shape id="文本框 1" o:spid="_x0000_s1026" type="#_x0000_t202" style="position:absolute;margin-left:0;margin-top:0;width:2in;height:2in;z-index:251658240;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" filled="f" stroked="f">
              <v:textbox style="mso-fit-shape-to-text:t" inset="0,0,0,0">
                <w:txbxContent>
                  <w:p w:rsidR="00D761FF" w:rsidRDefault="00000000">
                    <w:pPr>
                      <w:pStyle w:val="a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0D124E" w:rsidRDefault="000D124E">
      <w:r>
        <w:separator/>
      </w:r>
    </w:p>
  </w:footnote>
  <w:footnote w:type="continuationSeparator" w:id="0">
    <w:p w:rsidR="000D124E" w:rsidRDefault="000D124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03F031D"/>
    <w:multiLevelType w:val="singleLevel"/>
    <w:tmpl w:val="103F031D"/>
    <w:lvl w:ilvl="0">
      <w:start w:val="2"/>
      <w:numFmt w:val="chineseCounting"/>
      <w:suff w:val="nothing"/>
      <w:lvlText w:val="（%1）"/>
      <w:lvlJc w:val="left"/>
      <w:rPr>
        <w:rFonts w:hint="eastAsia"/>
      </w:rPr>
    </w:lvl>
  </w:abstractNum>
  <w:num w:numId="1" w16cid:durableId="158572740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defaultTabStop w:val="420"/>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YzZhZGRhY2RiODFjZjAzZDFlMmZkYzIxMjU0YWNlNWYifQ=="/>
    <w:docVar w:name="KSO_WPS_MARK_KEY" w:val="41ee2a61-2d54-4f93-83be-afdb9a40d732"/>
  </w:docVars>
  <w:rsids>
    <w:rsidRoot w:val="0004295E"/>
    <w:rsid w:val="0004295E"/>
    <w:rsid w:val="000D124E"/>
    <w:rsid w:val="00156D88"/>
    <w:rsid w:val="001F510B"/>
    <w:rsid w:val="00213C59"/>
    <w:rsid w:val="003210CE"/>
    <w:rsid w:val="00331A84"/>
    <w:rsid w:val="00375E9A"/>
    <w:rsid w:val="00406A19"/>
    <w:rsid w:val="0045592B"/>
    <w:rsid w:val="004D4F1C"/>
    <w:rsid w:val="00562A8C"/>
    <w:rsid w:val="005853B8"/>
    <w:rsid w:val="00811FE4"/>
    <w:rsid w:val="00814FC3"/>
    <w:rsid w:val="00823196"/>
    <w:rsid w:val="008E4704"/>
    <w:rsid w:val="009366CC"/>
    <w:rsid w:val="009B189B"/>
    <w:rsid w:val="009B271B"/>
    <w:rsid w:val="00B70D59"/>
    <w:rsid w:val="00CF7003"/>
    <w:rsid w:val="00D761FF"/>
    <w:rsid w:val="00E213E4"/>
    <w:rsid w:val="00E97E79"/>
    <w:rsid w:val="00F52A8D"/>
    <w:rsid w:val="00FE2DDF"/>
    <w:rsid w:val="019404F8"/>
    <w:rsid w:val="01C30B6B"/>
    <w:rsid w:val="01ED22F2"/>
    <w:rsid w:val="02BD3108"/>
    <w:rsid w:val="02F73D26"/>
    <w:rsid w:val="034D4FEF"/>
    <w:rsid w:val="035D1785"/>
    <w:rsid w:val="039F47CE"/>
    <w:rsid w:val="03BD5310"/>
    <w:rsid w:val="03E05CE8"/>
    <w:rsid w:val="03F973EE"/>
    <w:rsid w:val="043E5B56"/>
    <w:rsid w:val="04C04386"/>
    <w:rsid w:val="04D1736D"/>
    <w:rsid w:val="04D96608"/>
    <w:rsid w:val="04F210E4"/>
    <w:rsid w:val="04FA68C4"/>
    <w:rsid w:val="053F5AE6"/>
    <w:rsid w:val="057C0B0F"/>
    <w:rsid w:val="05EF4B48"/>
    <w:rsid w:val="05F76ECA"/>
    <w:rsid w:val="06183A24"/>
    <w:rsid w:val="06792773"/>
    <w:rsid w:val="06FD75CA"/>
    <w:rsid w:val="07093795"/>
    <w:rsid w:val="07804730"/>
    <w:rsid w:val="079052BE"/>
    <w:rsid w:val="08145C21"/>
    <w:rsid w:val="08422688"/>
    <w:rsid w:val="085854ED"/>
    <w:rsid w:val="0879188F"/>
    <w:rsid w:val="08A0354D"/>
    <w:rsid w:val="08CD4C49"/>
    <w:rsid w:val="09114954"/>
    <w:rsid w:val="095A5B83"/>
    <w:rsid w:val="096466E3"/>
    <w:rsid w:val="0968304D"/>
    <w:rsid w:val="09AF3D17"/>
    <w:rsid w:val="0A7809B7"/>
    <w:rsid w:val="0A7B4867"/>
    <w:rsid w:val="0A840954"/>
    <w:rsid w:val="0A9928ED"/>
    <w:rsid w:val="0B61769D"/>
    <w:rsid w:val="0B8C3ECC"/>
    <w:rsid w:val="0B9C639D"/>
    <w:rsid w:val="0BB052B2"/>
    <w:rsid w:val="0BD33FFC"/>
    <w:rsid w:val="0BE97AC1"/>
    <w:rsid w:val="0C1C4780"/>
    <w:rsid w:val="0C3613A3"/>
    <w:rsid w:val="0C5E519C"/>
    <w:rsid w:val="0C7227A7"/>
    <w:rsid w:val="0CA52EE8"/>
    <w:rsid w:val="0CBD6988"/>
    <w:rsid w:val="0CD208AC"/>
    <w:rsid w:val="0D172DAA"/>
    <w:rsid w:val="0D4903E8"/>
    <w:rsid w:val="0D7A4A46"/>
    <w:rsid w:val="0E640559"/>
    <w:rsid w:val="0F1113DA"/>
    <w:rsid w:val="0F78534A"/>
    <w:rsid w:val="0F89358A"/>
    <w:rsid w:val="0F8C6D51"/>
    <w:rsid w:val="105B0B5E"/>
    <w:rsid w:val="112E58D0"/>
    <w:rsid w:val="11731CAC"/>
    <w:rsid w:val="119500A0"/>
    <w:rsid w:val="11C0733B"/>
    <w:rsid w:val="11D50D17"/>
    <w:rsid w:val="120E0809"/>
    <w:rsid w:val="127F665A"/>
    <w:rsid w:val="12F7068C"/>
    <w:rsid w:val="14207DC0"/>
    <w:rsid w:val="14B932DA"/>
    <w:rsid w:val="150A66AF"/>
    <w:rsid w:val="154C1139"/>
    <w:rsid w:val="158C5B77"/>
    <w:rsid w:val="160D1149"/>
    <w:rsid w:val="163563C0"/>
    <w:rsid w:val="164315EF"/>
    <w:rsid w:val="16557DFE"/>
    <w:rsid w:val="167268FB"/>
    <w:rsid w:val="16770D0A"/>
    <w:rsid w:val="169A0039"/>
    <w:rsid w:val="16D50C50"/>
    <w:rsid w:val="16E120E1"/>
    <w:rsid w:val="17385A05"/>
    <w:rsid w:val="173B3901"/>
    <w:rsid w:val="176747F9"/>
    <w:rsid w:val="17954A6E"/>
    <w:rsid w:val="17BE2C86"/>
    <w:rsid w:val="180059E9"/>
    <w:rsid w:val="184510FD"/>
    <w:rsid w:val="190648B0"/>
    <w:rsid w:val="19071D6C"/>
    <w:rsid w:val="19D26CD4"/>
    <w:rsid w:val="19E60D19"/>
    <w:rsid w:val="1A3E3450"/>
    <w:rsid w:val="1AD807E5"/>
    <w:rsid w:val="1B39345B"/>
    <w:rsid w:val="1BFB2A1F"/>
    <w:rsid w:val="1C015D4A"/>
    <w:rsid w:val="1C290ED5"/>
    <w:rsid w:val="1C317E4F"/>
    <w:rsid w:val="1C472464"/>
    <w:rsid w:val="1D22799A"/>
    <w:rsid w:val="1D5C1A72"/>
    <w:rsid w:val="1DAF458D"/>
    <w:rsid w:val="1E086ACE"/>
    <w:rsid w:val="1E62130A"/>
    <w:rsid w:val="1E97358B"/>
    <w:rsid w:val="1EAA4A5F"/>
    <w:rsid w:val="1EE869A7"/>
    <w:rsid w:val="1F3F37CF"/>
    <w:rsid w:val="1FA15E62"/>
    <w:rsid w:val="1FED69B6"/>
    <w:rsid w:val="2064678E"/>
    <w:rsid w:val="20DC1AB9"/>
    <w:rsid w:val="20DD6197"/>
    <w:rsid w:val="212631E0"/>
    <w:rsid w:val="2138666F"/>
    <w:rsid w:val="21742080"/>
    <w:rsid w:val="21A53757"/>
    <w:rsid w:val="21F879E1"/>
    <w:rsid w:val="221236C6"/>
    <w:rsid w:val="22D7662C"/>
    <w:rsid w:val="23326B7F"/>
    <w:rsid w:val="2380045B"/>
    <w:rsid w:val="23BC04D2"/>
    <w:rsid w:val="23EF1892"/>
    <w:rsid w:val="2483647E"/>
    <w:rsid w:val="24A32D55"/>
    <w:rsid w:val="24CE6D9A"/>
    <w:rsid w:val="25292727"/>
    <w:rsid w:val="252E5CA9"/>
    <w:rsid w:val="256F7692"/>
    <w:rsid w:val="25BA2154"/>
    <w:rsid w:val="25C8773F"/>
    <w:rsid w:val="26235823"/>
    <w:rsid w:val="264A7253"/>
    <w:rsid w:val="26F0170C"/>
    <w:rsid w:val="26FE3B9A"/>
    <w:rsid w:val="27201D62"/>
    <w:rsid w:val="27286E73"/>
    <w:rsid w:val="27CF2642"/>
    <w:rsid w:val="27E777F5"/>
    <w:rsid w:val="27EA1D4C"/>
    <w:rsid w:val="27EA2E41"/>
    <w:rsid w:val="282459E2"/>
    <w:rsid w:val="283A7FE5"/>
    <w:rsid w:val="285F51FF"/>
    <w:rsid w:val="28DA4193"/>
    <w:rsid w:val="28DF2665"/>
    <w:rsid w:val="29072599"/>
    <w:rsid w:val="291029F3"/>
    <w:rsid w:val="29CB58F0"/>
    <w:rsid w:val="2A053397"/>
    <w:rsid w:val="2A145E96"/>
    <w:rsid w:val="2A2131BB"/>
    <w:rsid w:val="2AF5378F"/>
    <w:rsid w:val="2BB94DBF"/>
    <w:rsid w:val="2BF37410"/>
    <w:rsid w:val="2C6F314E"/>
    <w:rsid w:val="2CC206BE"/>
    <w:rsid w:val="2D1136DF"/>
    <w:rsid w:val="2D20606D"/>
    <w:rsid w:val="2D6729FE"/>
    <w:rsid w:val="2DB87198"/>
    <w:rsid w:val="2DB93C54"/>
    <w:rsid w:val="2E3D144C"/>
    <w:rsid w:val="2E891204"/>
    <w:rsid w:val="2F3F0A28"/>
    <w:rsid w:val="2FBF7029"/>
    <w:rsid w:val="2FD0187F"/>
    <w:rsid w:val="2FD27414"/>
    <w:rsid w:val="2FFE4BB0"/>
    <w:rsid w:val="300E7B60"/>
    <w:rsid w:val="300F6E18"/>
    <w:rsid w:val="30862F5F"/>
    <w:rsid w:val="30A4775A"/>
    <w:rsid w:val="314029C9"/>
    <w:rsid w:val="31C63837"/>
    <w:rsid w:val="31C82E39"/>
    <w:rsid w:val="32601BAD"/>
    <w:rsid w:val="329F6389"/>
    <w:rsid w:val="3389023A"/>
    <w:rsid w:val="33CB74FA"/>
    <w:rsid w:val="343642F2"/>
    <w:rsid w:val="343F3010"/>
    <w:rsid w:val="345D0A00"/>
    <w:rsid w:val="34713BFD"/>
    <w:rsid w:val="34C13589"/>
    <w:rsid w:val="353369E3"/>
    <w:rsid w:val="35B21E0B"/>
    <w:rsid w:val="35E00D72"/>
    <w:rsid w:val="36965B9D"/>
    <w:rsid w:val="36C549FD"/>
    <w:rsid w:val="37A755DD"/>
    <w:rsid w:val="37F33BFE"/>
    <w:rsid w:val="37F94FA0"/>
    <w:rsid w:val="380D3381"/>
    <w:rsid w:val="38115B1F"/>
    <w:rsid w:val="385E3AC3"/>
    <w:rsid w:val="387D6B9E"/>
    <w:rsid w:val="38B75FF0"/>
    <w:rsid w:val="38D45016"/>
    <w:rsid w:val="38D90432"/>
    <w:rsid w:val="3914510A"/>
    <w:rsid w:val="3926770B"/>
    <w:rsid w:val="3982065B"/>
    <w:rsid w:val="398D3668"/>
    <w:rsid w:val="39DA0497"/>
    <w:rsid w:val="3A893816"/>
    <w:rsid w:val="3A893B6D"/>
    <w:rsid w:val="3AD1763A"/>
    <w:rsid w:val="3B196883"/>
    <w:rsid w:val="3B6716E3"/>
    <w:rsid w:val="3B6C6B2D"/>
    <w:rsid w:val="3C242659"/>
    <w:rsid w:val="3C96719C"/>
    <w:rsid w:val="3CA72BE8"/>
    <w:rsid w:val="3CDC1E1E"/>
    <w:rsid w:val="3CF37F8C"/>
    <w:rsid w:val="3D137554"/>
    <w:rsid w:val="3D5275AC"/>
    <w:rsid w:val="3DCC2473"/>
    <w:rsid w:val="3DEB0883"/>
    <w:rsid w:val="3E2527BF"/>
    <w:rsid w:val="3E70484C"/>
    <w:rsid w:val="3E731662"/>
    <w:rsid w:val="3E8168DD"/>
    <w:rsid w:val="3EA7725F"/>
    <w:rsid w:val="3EB03713"/>
    <w:rsid w:val="3EBF1A11"/>
    <w:rsid w:val="3EC52607"/>
    <w:rsid w:val="3EEC6CEF"/>
    <w:rsid w:val="3F183429"/>
    <w:rsid w:val="3FB77A1D"/>
    <w:rsid w:val="3FDC3674"/>
    <w:rsid w:val="3FED7F8A"/>
    <w:rsid w:val="40094AEF"/>
    <w:rsid w:val="405470BD"/>
    <w:rsid w:val="40794A29"/>
    <w:rsid w:val="40834692"/>
    <w:rsid w:val="41431AD5"/>
    <w:rsid w:val="414B3C0F"/>
    <w:rsid w:val="417C1CE7"/>
    <w:rsid w:val="41900018"/>
    <w:rsid w:val="41944406"/>
    <w:rsid w:val="41CE128F"/>
    <w:rsid w:val="41DA6F12"/>
    <w:rsid w:val="42171FB1"/>
    <w:rsid w:val="42C10D7B"/>
    <w:rsid w:val="434E6957"/>
    <w:rsid w:val="43BA0E31"/>
    <w:rsid w:val="43C15147"/>
    <w:rsid w:val="43E14DD2"/>
    <w:rsid w:val="43F800E9"/>
    <w:rsid w:val="443A7E4B"/>
    <w:rsid w:val="444A7D08"/>
    <w:rsid w:val="452F5B3A"/>
    <w:rsid w:val="454E7FD2"/>
    <w:rsid w:val="46061BDC"/>
    <w:rsid w:val="461404F8"/>
    <w:rsid w:val="46413018"/>
    <w:rsid w:val="464B7E04"/>
    <w:rsid w:val="468041AA"/>
    <w:rsid w:val="468123C6"/>
    <w:rsid w:val="46901EEE"/>
    <w:rsid w:val="469C74D2"/>
    <w:rsid w:val="47445515"/>
    <w:rsid w:val="474B4782"/>
    <w:rsid w:val="47D90D14"/>
    <w:rsid w:val="47DE1152"/>
    <w:rsid w:val="48387FB0"/>
    <w:rsid w:val="483A6114"/>
    <w:rsid w:val="488727DB"/>
    <w:rsid w:val="48B82268"/>
    <w:rsid w:val="48C354B3"/>
    <w:rsid w:val="493D58B5"/>
    <w:rsid w:val="494A7A04"/>
    <w:rsid w:val="49605EF7"/>
    <w:rsid w:val="4A0A26D2"/>
    <w:rsid w:val="4A2019A5"/>
    <w:rsid w:val="4A241A0B"/>
    <w:rsid w:val="4A5C2BD7"/>
    <w:rsid w:val="4A7B2875"/>
    <w:rsid w:val="4A934476"/>
    <w:rsid w:val="4AAA220A"/>
    <w:rsid w:val="4AE12E67"/>
    <w:rsid w:val="4B4C0111"/>
    <w:rsid w:val="4B8553A9"/>
    <w:rsid w:val="4BDB3730"/>
    <w:rsid w:val="4C200F7A"/>
    <w:rsid w:val="4CEE3180"/>
    <w:rsid w:val="4D0F4AF6"/>
    <w:rsid w:val="4DF94F37"/>
    <w:rsid w:val="4E0A1DD5"/>
    <w:rsid w:val="4E3160E5"/>
    <w:rsid w:val="4E4D37AF"/>
    <w:rsid w:val="4E8C6496"/>
    <w:rsid w:val="4EFD18DE"/>
    <w:rsid w:val="4F144236"/>
    <w:rsid w:val="4F663C87"/>
    <w:rsid w:val="4F7E29A8"/>
    <w:rsid w:val="4F9E1FFC"/>
    <w:rsid w:val="50447CC2"/>
    <w:rsid w:val="50874A7C"/>
    <w:rsid w:val="50895EE7"/>
    <w:rsid w:val="50921B9D"/>
    <w:rsid w:val="50D16158"/>
    <w:rsid w:val="50DB5F45"/>
    <w:rsid w:val="51025EB1"/>
    <w:rsid w:val="51141503"/>
    <w:rsid w:val="513C450E"/>
    <w:rsid w:val="518D0ED5"/>
    <w:rsid w:val="525C687F"/>
    <w:rsid w:val="52A3740A"/>
    <w:rsid w:val="52F647F7"/>
    <w:rsid w:val="52F92565"/>
    <w:rsid w:val="53AE735E"/>
    <w:rsid w:val="53D03877"/>
    <w:rsid w:val="542F73CA"/>
    <w:rsid w:val="5430786D"/>
    <w:rsid w:val="545A1D2A"/>
    <w:rsid w:val="54C811C0"/>
    <w:rsid w:val="556A442D"/>
    <w:rsid w:val="55DA564E"/>
    <w:rsid w:val="55E816A3"/>
    <w:rsid w:val="5604127D"/>
    <w:rsid w:val="56044E6C"/>
    <w:rsid w:val="56166703"/>
    <w:rsid w:val="56510474"/>
    <w:rsid w:val="56861525"/>
    <w:rsid w:val="56A93273"/>
    <w:rsid w:val="56BD550C"/>
    <w:rsid w:val="56E07045"/>
    <w:rsid w:val="56FF28AF"/>
    <w:rsid w:val="57540E7D"/>
    <w:rsid w:val="577B4878"/>
    <w:rsid w:val="57926973"/>
    <w:rsid w:val="57D1482F"/>
    <w:rsid w:val="58175352"/>
    <w:rsid w:val="581F2200"/>
    <w:rsid w:val="583059FA"/>
    <w:rsid w:val="584A0929"/>
    <w:rsid w:val="58CD2491"/>
    <w:rsid w:val="591B41B2"/>
    <w:rsid w:val="59254A26"/>
    <w:rsid w:val="59326325"/>
    <w:rsid w:val="595C505B"/>
    <w:rsid w:val="595E55C3"/>
    <w:rsid w:val="596E7E20"/>
    <w:rsid w:val="5A5D23AA"/>
    <w:rsid w:val="5A60780B"/>
    <w:rsid w:val="5AB34579"/>
    <w:rsid w:val="5AB40E78"/>
    <w:rsid w:val="5AF80B40"/>
    <w:rsid w:val="5AFC6609"/>
    <w:rsid w:val="5B113480"/>
    <w:rsid w:val="5BD456CE"/>
    <w:rsid w:val="5C0D1F49"/>
    <w:rsid w:val="5CBB0CE2"/>
    <w:rsid w:val="5CC17177"/>
    <w:rsid w:val="5CF306BC"/>
    <w:rsid w:val="5D3F3D64"/>
    <w:rsid w:val="5D833043"/>
    <w:rsid w:val="5DD92690"/>
    <w:rsid w:val="5DDB1CFD"/>
    <w:rsid w:val="5E7E6D93"/>
    <w:rsid w:val="5E82459B"/>
    <w:rsid w:val="5ED44800"/>
    <w:rsid w:val="5F350BDE"/>
    <w:rsid w:val="5F61632C"/>
    <w:rsid w:val="5FA17648"/>
    <w:rsid w:val="5FE705CB"/>
    <w:rsid w:val="6007714E"/>
    <w:rsid w:val="603D5080"/>
    <w:rsid w:val="606842D0"/>
    <w:rsid w:val="60D0261B"/>
    <w:rsid w:val="618E3791"/>
    <w:rsid w:val="61947DCA"/>
    <w:rsid w:val="61A46A97"/>
    <w:rsid w:val="61D1382F"/>
    <w:rsid w:val="61F114A2"/>
    <w:rsid w:val="622B0ABA"/>
    <w:rsid w:val="62512BB4"/>
    <w:rsid w:val="625D7D1A"/>
    <w:rsid w:val="62660469"/>
    <w:rsid w:val="62DD7D21"/>
    <w:rsid w:val="637D586B"/>
    <w:rsid w:val="63A5560B"/>
    <w:rsid w:val="63E9091F"/>
    <w:rsid w:val="64322AF9"/>
    <w:rsid w:val="64D6010D"/>
    <w:rsid w:val="64D82665"/>
    <w:rsid w:val="64E47C96"/>
    <w:rsid w:val="651E5741"/>
    <w:rsid w:val="655D7702"/>
    <w:rsid w:val="658A4877"/>
    <w:rsid w:val="65A00902"/>
    <w:rsid w:val="65AC6EDD"/>
    <w:rsid w:val="65D97752"/>
    <w:rsid w:val="66085536"/>
    <w:rsid w:val="66105BF7"/>
    <w:rsid w:val="66150023"/>
    <w:rsid w:val="6628010D"/>
    <w:rsid w:val="669B4528"/>
    <w:rsid w:val="66CC12D7"/>
    <w:rsid w:val="67134CEF"/>
    <w:rsid w:val="671F1ABD"/>
    <w:rsid w:val="67521A59"/>
    <w:rsid w:val="67C304AB"/>
    <w:rsid w:val="683F0658"/>
    <w:rsid w:val="689C6793"/>
    <w:rsid w:val="68DB0208"/>
    <w:rsid w:val="68FB170C"/>
    <w:rsid w:val="691B3D98"/>
    <w:rsid w:val="693748F0"/>
    <w:rsid w:val="69846A0E"/>
    <w:rsid w:val="69AA1366"/>
    <w:rsid w:val="69AD798C"/>
    <w:rsid w:val="69D005C0"/>
    <w:rsid w:val="69D80B96"/>
    <w:rsid w:val="69F47AD7"/>
    <w:rsid w:val="6A2C39D4"/>
    <w:rsid w:val="6B68175F"/>
    <w:rsid w:val="6BFD799F"/>
    <w:rsid w:val="6C4A2E5A"/>
    <w:rsid w:val="6C8138D0"/>
    <w:rsid w:val="6CEF0725"/>
    <w:rsid w:val="6D4B2604"/>
    <w:rsid w:val="6D77358F"/>
    <w:rsid w:val="6D8030E4"/>
    <w:rsid w:val="6E0E35C4"/>
    <w:rsid w:val="6E0F7A08"/>
    <w:rsid w:val="6E3947F5"/>
    <w:rsid w:val="6E6733A0"/>
    <w:rsid w:val="6E6E3938"/>
    <w:rsid w:val="6E9C74ED"/>
    <w:rsid w:val="6EF72976"/>
    <w:rsid w:val="6F795A80"/>
    <w:rsid w:val="6F7C1D2E"/>
    <w:rsid w:val="6F8E0407"/>
    <w:rsid w:val="6FAD76CB"/>
    <w:rsid w:val="6FDD069F"/>
    <w:rsid w:val="702B4D16"/>
    <w:rsid w:val="70AA6621"/>
    <w:rsid w:val="7111480F"/>
    <w:rsid w:val="71261F49"/>
    <w:rsid w:val="712E6956"/>
    <w:rsid w:val="71473612"/>
    <w:rsid w:val="71504F32"/>
    <w:rsid w:val="7152309F"/>
    <w:rsid w:val="718F7F65"/>
    <w:rsid w:val="71DA6992"/>
    <w:rsid w:val="727B234E"/>
    <w:rsid w:val="728A58B0"/>
    <w:rsid w:val="72D068C7"/>
    <w:rsid w:val="72E42ED8"/>
    <w:rsid w:val="72FC34C3"/>
    <w:rsid w:val="735F4CB9"/>
    <w:rsid w:val="73674C62"/>
    <w:rsid w:val="73845865"/>
    <w:rsid w:val="739B6D9E"/>
    <w:rsid w:val="73BC1D76"/>
    <w:rsid w:val="73FB6630"/>
    <w:rsid w:val="74126C7E"/>
    <w:rsid w:val="748D790E"/>
    <w:rsid w:val="749820CC"/>
    <w:rsid w:val="74CE04EC"/>
    <w:rsid w:val="74E76DCD"/>
    <w:rsid w:val="751D7C0A"/>
    <w:rsid w:val="75722D56"/>
    <w:rsid w:val="75DB5477"/>
    <w:rsid w:val="75FC6AC3"/>
    <w:rsid w:val="7616619B"/>
    <w:rsid w:val="76660D7C"/>
    <w:rsid w:val="766C5968"/>
    <w:rsid w:val="76BE0C8F"/>
    <w:rsid w:val="76CD53B2"/>
    <w:rsid w:val="76E6594C"/>
    <w:rsid w:val="770719AC"/>
    <w:rsid w:val="776526CC"/>
    <w:rsid w:val="77A262E1"/>
    <w:rsid w:val="77B13C33"/>
    <w:rsid w:val="77DC095A"/>
    <w:rsid w:val="77ED6F44"/>
    <w:rsid w:val="77F45548"/>
    <w:rsid w:val="77FC440B"/>
    <w:rsid w:val="784E7CA6"/>
    <w:rsid w:val="78574801"/>
    <w:rsid w:val="7873527F"/>
    <w:rsid w:val="790A6425"/>
    <w:rsid w:val="790E2D96"/>
    <w:rsid w:val="791B54B2"/>
    <w:rsid w:val="793C0F89"/>
    <w:rsid w:val="795A0A34"/>
    <w:rsid w:val="797339C3"/>
    <w:rsid w:val="79D57D57"/>
    <w:rsid w:val="79F00650"/>
    <w:rsid w:val="7A6242BF"/>
    <w:rsid w:val="7A794513"/>
    <w:rsid w:val="7A9B3811"/>
    <w:rsid w:val="7AB467DA"/>
    <w:rsid w:val="7AB9318D"/>
    <w:rsid w:val="7AE952D2"/>
    <w:rsid w:val="7B9F26AF"/>
    <w:rsid w:val="7BB607FE"/>
    <w:rsid w:val="7C7248A0"/>
    <w:rsid w:val="7C976D69"/>
    <w:rsid w:val="7CD752DA"/>
    <w:rsid w:val="7CDE40AB"/>
    <w:rsid w:val="7CF057E2"/>
    <w:rsid w:val="7D1548B5"/>
    <w:rsid w:val="7DF84014"/>
    <w:rsid w:val="7E207949"/>
    <w:rsid w:val="7E5C0A47"/>
    <w:rsid w:val="7E670C75"/>
    <w:rsid w:val="7EE24272"/>
    <w:rsid w:val="7EEA6053"/>
    <w:rsid w:val="7F487C04"/>
    <w:rsid w:val="7F611CBA"/>
    <w:rsid w:val="7FB45F21"/>
    <w:rsid w:val="7FE57088"/>
    <w:rsid w:val="7FF37FA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91D4FFC"/>
  <w15:docId w15:val="{8B3C102B-A255-454B-BEDB-822C6A7596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qFormat="1"/>
    <w:lsdException w:name="toc 2" w:qFormat="1"/>
    <w:lsdException w:name="toc 3" w:qFormat="1"/>
    <w:lsdException w:name="annotation text" w:qFormat="1"/>
    <w:lsdException w:name="header" w:qFormat="1"/>
    <w:lsdException w:name="footer" w:qFormat="1"/>
    <w:lsdException w:name="caption" w:semiHidden="1" w:unhideWhenUsed="1" w:qFormat="1"/>
    <w:lsdException w:name="Title" w:qFormat="1"/>
    <w:lsdException w:name="Default Paragraph Font" w:semiHidden="1" w:uiPriority="1" w:unhideWhenUsed="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qFormat/>
    <w:pPr>
      <w:jc w:val="left"/>
    </w:pPr>
  </w:style>
  <w:style w:type="paragraph" w:styleId="TOC3">
    <w:name w:val="toc 3"/>
    <w:basedOn w:val="a"/>
    <w:next w:val="a"/>
    <w:qFormat/>
    <w:pPr>
      <w:ind w:leftChars="400" w:left="840"/>
    </w:pPr>
  </w:style>
  <w:style w:type="paragraph" w:styleId="a4">
    <w:name w:val="footer"/>
    <w:basedOn w:val="a"/>
    <w:qFormat/>
    <w:pPr>
      <w:tabs>
        <w:tab w:val="center" w:pos="4153"/>
        <w:tab w:val="right" w:pos="8306"/>
      </w:tabs>
      <w:snapToGrid w:val="0"/>
      <w:jc w:val="left"/>
    </w:pPr>
    <w:rPr>
      <w:sz w:val="18"/>
    </w:rPr>
  </w:style>
  <w:style w:type="paragraph" w:styleId="a5">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TOC1">
    <w:name w:val="toc 1"/>
    <w:basedOn w:val="a"/>
    <w:next w:val="a"/>
    <w:qFormat/>
  </w:style>
  <w:style w:type="paragraph" w:styleId="TOC2">
    <w:name w:val="toc 2"/>
    <w:basedOn w:val="a"/>
    <w:next w:val="a"/>
    <w:qFormat/>
    <w:pPr>
      <w:ind w:leftChars="200" w:left="420"/>
    </w:pPr>
  </w:style>
  <w:style w:type="paragraph" w:styleId="a6">
    <w:name w:val="Normal (Web)"/>
    <w:basedOn w:val="a"/>
    <w:qFormat/>
    <w:pPr>
      <w:spacing w:before="100" w:beforeAutospacing="1" w:after="100" w:afterAutospacing="1"/>
      <w:jc w:val="left"/>
    </w:pPr>
    <w:rPr>
      <w:kern w:val="0"/>
      <w:sz w:val="24"/>
    </w:rPr>
  </w:style>
  <w:style w:type="character" w:styleId="a7">
    <w:name w:val="Strong"/>
    <w:basedOn w:val="a0"/>
    <w:qFormat/>
    <w:rPr>
      <w:b/>
    </w:rPr>
  </w:style>
  <w:style w:type="paragraph" w:customStyle="1" w:styleId="WPSOffice3">
    <w:name w:val="WPSOffice手动目录 3"/>
    <w:qFormat/>
    <w:pPr>
      <w:ind w:leftChars="400" w:left="400"/>
    </w:pPr>
  </w:style>
  <w:style w:type="paragraph" w:customStyle="1" w:styleId="WPSOffice2">
    <w:name w:val="WPSOffice手动目录 2"/>
    <w:qFormat/>
    <w:pPr>
      <w:ind w:leftChars="200" w:left="200"/>
    </w:pPr>
  </w:style>
  <w:style w:type="paragraph" w:customStyle="1" w:styleId="WPSOffice1">
    <w:name w:val="WPSOffice手动目录 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80</TotalTime>
  <Pages>17</Pages>
  <Words>1259</Words>
  <Characters>7182</Characters>
  <Application>Microsoft Office Word</Application>
  <DocSecurity>0</DocSecurity>
  <Lines>59</Lines>
  <Paragraphs>16</Paragraphs>
  <ScaleCrop>false</ScaleCrop>
  <Company/>
  <LinksUpToDate>false</LinksUpToDate>
  <CharactersWithSpaces>8425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GXR</dc:creator>
  <cp:lastModifiedBy>俊俊 李</cp:lastModifiedBy>
  <cp:revision>6</cp:revision>
  <dcterms:created xsi:type="dcterms:W3CDTF">2014-10-29T12:08:00Z</dcterms:created>
  <dcterms:modified xsi:type="dcterms:W3CDTF">2024-11-11T05:16:00Z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2052-11.8.2.8621</vt:lpwstr>
  </property>
  <property fmtid="{D5CDD505-2E9C-101B-9397-08002B2CF9AE}" pid="3" name="ICV">
    <vt:lpwstr>D624B15633CD43C8BF9435464A96BF70</vt:lpwstr>
  </property>
</Properties>
</file>