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E86806">
      <w:pPr>
        <w:spacing w:line="540" w:lineRule="exact"/>
        <w:jc w:val="center"/>
        <w:rPr>
          <w:rFonts w:eastAsia="华文中宋"/>
          <w:b/>
          <w:color w:val="000000" w:themeColor="text1"/>
          <w:kern w:val="0"/>
          <w:sz w:val="52"/>
          <w:szCs w:val="52"/>
          <w:highlight w:val="none"/>
          <w14:textFill>
            <w14:solidFill>
              <w14:schemeClr w14:val="tx1"/>
            </w14:solidFill>
          </w14:textFill>
        </w:rPr>
      </w:pPr>
      <w:bookmarkStart w:id="10" w:name="_GoBack"/>
    </w:p>
    <w:p w14:paraId="3AAFA6B3">
      <w:pPr>
        <w:spacing w:line="540" w:lineRule="exact"/>
        <w:rPr>
          <w:rFonts w:eastAsia="华文中宋"/>
          <w:b/>
          <w:color w:val="000000" w:themeColor="text1"/>
          <w:kern w:val="0"/>
          <w:sz w:val="52"/>
          <w:szCs w:val="52"/>
          <w:highlight w:val="none"/>
          <w14:textFill>
            <w14:solidFill>
              <w14:schemeClr w14:val="tx1"/>
            </w14:solidFill>
          </w14:textFill>
        </w:rPr>
      </w:pPr>
    </w:p>
    <w:p w14:paraId="61889DD3">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688B10D1">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6C58AB0B">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hint="eastAsia" w:eastAsia="方正小标宋_GBK"/>
          <w:color w:val="000000" w:themeColor="text1"/>
          <w:kern w:val="0"/>
          <w:sz w:val="48"/>
          <w:szCs w:val="48"/>
          <w:highlight w:val="none"/>
          <w14:textFill>
            <w14:solidFill>
              <w14:schemeClr w14:val="tx1"/>
            </w14:solidFill>
          </w14:textFill>
        </w:rPr>
        <w:t>奇台县古城乡古城村道路配套设施建设项目</w:t>
      </w:r>
      <w:r>
        <w:rPr>
          <w:rFonts w:eastAsia="方正小标宋_GBK"/>
          <w:color w:val="000000" w:themeColor="text1"/>
          <w:kern w:val="0"/>
          <w:sz w:val="48"/>
          <w:szCs w:val="48"/>
          <w:highlight w:val="none"/>
          <w14:textFill>
            <w14:solidFill>
              <w14:schemeClr w14:val="tx1"/>
            </w14:solidFill>
          </w14:textFill>
        </w:rPr>
        <w:t>支出绩效评价报告</w:t>
      </w:r>
    </w:p>
    <w:p w14:paraId="153D4B82">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111AB122">
      <w:pPr>
        <w:spacing w:line="540" w:lineRule="exact"/>
        <w:jc w:val="center"/>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 202</w:t>
      </w:r>
      <w:r>
        <w:rPr>
          <w:rFonts w:hint="eastAsia" w:eastAsia="仿宋_GB2312"/>
          <w:color w:val="000000" w:themeColor="text1"/>
          <w:kern w:val="0"/>
          <w:sz w:val="36"/>
          <w:szCs w:val="36"/>
          <w:highlight w:val="none"/>
          <w:lang w:val="en-US" w:eastAsia="zh-CN"/>
          <w14:textFill>
            <w14:solidFill>
              <w14:schemeClr w14:val="tx1"/>
            </w14:solidFill>
          </w14:textFill>
        </w:rPr>
        <w:t>3</w:t>
      </w:r>
      <w:r>
        <w:rPr>
          <w:rFonts w:eastAsia="仿宋_GB2312"/>
          <w:color w:val="000000" w:themeColor="text1"/>
          <w:kern w:val="0"/>
          <w:sz w:val="36"/>
          <w:szCs w:val="36"/>
          <w:highlight w:val="none"/>
          <w14:textFill>
            <w14:solidFill>
              <w14:schemeClr w14:val="tx1"/>
            </w14:solidFill>
          </w14:textFill>
        </w:rPr>
        <w:t>年度）</w:t>
      </w:r>
    </w:p>
    <w:p w14:paraId="7195B056">
      <w:pPr>
        <w:spacing w:line="540" w:lineRule="exact"/>
        <w:jc w:val="center"/>
        <w:rPr>
          <w:rFonts w:eastAsia="仿宋_GB2312"/>
          <w:color w:val="000000" w:themeColor="text1"/>
          <w:kern w:val="0"/>
          <w:sz w:val="30"/>
          <w:szCs w:val="30"/>
          <w:highlight w:val="none"/>
          <w14:textFill>
            <w14:solidFill>
              <w14:schemeClr w14:val="tx1"/>
            </w14:solidFill>
          </w14:textFill>
        </w:rPr>
      </w:pPr>
    </w:p>
    <w:p w14:paraId="62A9CEAC">
      <w:pPr>
        <w:spacing w:line="540" w:lineRule="exact"/>
        <w:jc w:val="center"/>
        <w:rPr>
          <w:rFonts w:eastAsia="仿宋_GB2312"/>
          <w:color w:val="000000" w:themeColor="text1"/>
          <w:kern w:val="0"/>
          <w:sz w:val="30"/>
          <w:szCs w:val="30"/>
          <w:highlight w:val="none"/>
          <w14:textFill>
            <w14:solidFill>
              <w14:schemeClr w14:val="tx1"/>
            </w14:solidFill>
          </w14:textFill>
        </w:rPr>
      </w:pPr>
    </w:p>
    <w:p w14:paraId="7E732451">
      <w:pPr>
        <w:spacing w:line="540" w:lineRule="exact"/>
        <w:jc w:val="center"/>
        <w:rPr>
          <w:rFonts w:eastAsia="仿宋_GB2312"/>
          <w:color w:val="000000" w:themeColor="text1"/>
          <w:kern w:val="0"/>
          <w:sz w:val="30"/>
          <w:szCs w:val="30"/>
          <w:highlight w:val="none"/>
          <w14:textFill>
            <w14:solidFill>
              <w14:schemeClr w14:val="tx1"/>
            </w14:solidFill>
          </w14:textFill>
        </w:rPr>
      </w:pPr>
    </w:p>
    <w:p w14:paraId="2006C747">
      <w:pPr>
        <w:pStyle w:val="9"/>
        <w:rPr>
          <w:color w:val="000000" w:themeColor="text1"/>
          <w:highlight w:val="none"/>
          <w14:textFill>
            <w14:solidFill>
              <w14:schemeClr w14:val="tx1"/>
            </w14:solidFill>
          </w14:textFill>
        </w:rPr>
      </w:pPr>
    </w:p>
    <w:p w14:paraId="1B9D270C">
      <w:pPr>
        <w:spacing w:line="540" w:lineRule="exact"/>
        <w:jc w:val="center"/>
        <w:rPr>
          <w:rFonts w:eastAsia="仿宋_GB2312"/>
          <w:color w:val="000000" w:themeColor="text1"/>
          <w:kern w:val="0"/>
          <w:sz w:val="30"/>
          <w:szCs w:val="30"/>
          <w:highlight w:val="none"/>
          <w14:textFill>
            <w14:solidFill>
              <w14:schemeClr w14:val="tx1"/>
            </w14:solidFill>
          </w14:textFill>
        </w:rPr>
      </w:pPr>
    </w:p>
    <w:p w14:paraId="093C02AE">
      <w:pPr>
        <w:spacing w:line="540" w:lineRule="exact"/>
        <w:rPr>
          <w:rFonts w:eastAsia="仿宋_GB2312"/>
          <w:color w:val="000000" w:themeColor="text1"/>
          <w:kern w:val="0"/>
          <w:sz w:val="30"/>
          <w:szCs w:val="30"/>
          <w:highlight w:val="none"/>
          <w14:textFill>
            <w14:solidFill>
              <w14:schemeClr w14:val="tx1"/>
            </w14:solidFill>
          </w14:textFill>
        </w:rPr>
      </w:pPr>
    </w:p>
    <w:p w14:paraId="513BF983">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项目名称：</w:t>
      </w:r>
      <w:r>
        <w:rPr>
          <w:rFonts w:hint="eastAsia" w:eastAsia="仿宋_GB2312"/>
          <w:color w:val="000000" w:themeColor="text1"/>
          <w:kern w:val="0"/>
          <w:sz w:val="36"/>
          <w:szCs w:val="36"/>
          <w:highlight w:val="none"/>
          <w14:textFill>
            <w14:solidFill>
              <w14:schemeClr w14:val="tx1"/>
            </w14:solidFill>
          </w14:textFill>
        </w:rPr>
        <w:t>奇台县古城乡古城村道路配套设施建设项目</w:t>
      </w:r>
    </w:p>
    <w:p w14:paraId="50E8C7F8">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实施单位（公章）：</w:t>
      </w:r>
      <w:r>
        <w:rPr>
          <w:rFonts w:hint="eastAsia" w:eastAsia="仿宋_GB2312"/>
          <w:color w:val="000000" w:themeColor="text1"/>
          <w:kern w:val="0"/>
          <w:sz w:val="36"/>
          <w:szCs w:val="36"/>
          <w:highlight w:val="none"/>
          <w14:textFill>
            <w14:solidFill>
              <w14:schemeClr w14:val="tx1"/>
            </w14:solidFill>
          </w14:textFill>
        </w:rPr>
        <w:t>奇台县古城乡人民政府</w:t>
      </w:r>
    </w:p>
    <w:p w14:paraId="026BF2DE">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主管部门（公章）：</w:t>
      </w:r>
      <w:r>
        <w:rPr>
          <w:rFonts w:hint="eastAsia" w:eastAsia="仿宋_GB2312"/>
          <w:color w:val="000000" w:themeColor="text1"/>
          <w:kern w:val="0"/>
          <w:sz w:val="36"/>
          <w:szCs w:val="36"/>
          <w:highlight w:val="none"/>
          <w14:textFill>
            <w14:solidFill>
              <w14:schemeClr w14:val="tx1"/>
            </w14:solidFill>
          </w14:textFill>
        </w:rPr>
        <w:t>奇台县古城乡人民政府</w:t>
      </w:r>
    </w:p>
    <w:p w14:paraId="2543435A">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项目负责人（签章）</w:t>
      </w:r>
      <w:r>
        <w:rPr>
          <w:rFonts w:hint="eastAsia" w:eastAsia="仿宋_GB2312"/>
          <w:color w:val="000000" w:themeColor="text1"/>
          <w:kern w:val="0"/>
          <w:sz w:val="36"/>
          <w:szCs w:val="36"/>
          <w:highlight w:val="none"/>
          <w:lang w:val="en-US" w:eastAsia="zh-CN"/>
          <w14:textFill>
            <w14:solidFill>
              <w14:schemeClr w14:val="tx1"/>
            </w14:solidFill>
          </w14:textFill>
        </w:rPr>
        <w:t>：马帅</w:t>
      </w:r>
    </w:p>
    <w:p w14:paraId="1AA0AD78">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填报时间：</w:t>
      </w:r>
      <w:r>
        <w:rPr>
          <w:rFonts w:hint="eastAsia" w:eastAsia="仿宋_GB2312"/>
          <w:color w:val="000000" w:themeColor="text1"/>
          <w:kern w:val="0"/>
          <w:sz w:val="36"/>
          <w:szCs w:val="36"/>
          <w:highlight w:val="none"/>
          <w:lang w:val="en-US" w:eastAsia="zh-CN"/>
          <w14:textFill>
            <w14:solidFill>
              <w14:schemeClr w14:val="tx1"/>
            </w14:solidFill>
          </w14:textFill>
        </w:rPr>
        <w:t>2024</w:t>
      </w:r>
      <w:r>
        <w:rPr>
          <w:rFonts w:eastAsia="仿宋_GB2312"/>
          <w:color w:val="000000" w:themeColor="text1"/>
          <w:kern w:val="0"/>
          <w:sz w:val="36"/>
          <w:szCs w:val="36"/>
          <w:highlight w:val="none"/>
          <w14:textFill>
            <w14:solidFill>
              <w14:schemeClr w14:val="tx1"/>
            </w14:solidFill>
          </w14:textFill>
        </w:rPr>
        <w:t>年</w:t>
      </w:r>
      <w:r>
        <w:rPr>
          <w:rFonts w:hint="eastAsia" w:eastAsia="仿宋_GB2312"/>
          <w:color w:val="000000" w:themeColor="text1"/>
          <w:kern w:val="0"/>
          <w:sz w:val="36"/>
          <w:szCs w:val="36"/>
          <w:highlight w:val="none"/>
          <w:lang w:val="en-US" w:eastAsia="zh-CN"/>
          <w14:textFill>
            <w14:solidFill>
              <w14:schemeClr w14:val="tx1"/>
            </w14:solidFill>
          </w14:textFill>
        </w:rPr>
        <w:t>4</w:t>
      </w:r>
      <w:r>
        <w:rPr>
          <w:rFonts w:eastAsia="仿宋_GB2312"/>
          <w:color w:val="000000" w:themeColor="text1"/>
          <w:kern w:val="0"/>
          <w:sz w:val="36"/>
          <w:szCs w:val="36"/>
          <w:highlight w:val="none"/>
          <w14:textFill>
            <w14:solidFill>
              <w14:schemeClr w14:val="tx1"/>
            </w14:solidFill>
          </w14:textFill>
        </w:rPr>
        <w:t>月</w:t>
      </w:r>
      <w:r>
        <w:rPr>
          <w:rFonts w:hint="default" w:eastAsia="仿宋_GB2312"/>
          <w:color w:val="000000" w:themeColor="text1"/>
          <w:kern w:val="0"/>
          <w:sz w:val="36"/>
          <w:szCs w:val="36"/>
          <w:highlight w:val="none"/>
          <w:lang w:val="en-US"/>
          <w14:textFill>
            <w14:solidFill>
              <w14:schemeClr w14:val="tx1"/>
            </w14:solidFill>
          </w14:textFill>
        </w:rPr>
        <w:t>1</w:t>
      </w:r>
      <w:r>
        <w:rPr>
          <w:rFonts w:hint="eastAsia" w:eastAsia="仿宋_GB2312"/>
          <w:color w:val="000000" w:themeColor="text1"/>
          <w:kern w:val="0"/>
          <w:sz w:val="36"/>
          <w:szCs w:val="36"/>
          <w:highlight w:val="none"/>
          <w:lang w:val="en-US" w:eastAsia="zh-CN"/>
          <w14:textFill>
            <w14:solidFill>
              <w14:schemeClr w14:val="tx1"/>
            </w14:solidFill>
          </w14:textFill>
        </w:rPr>
        <w:t>6</w:t>
      </w:r>
      <w:r>
        <w:rPr>
          <w:rFonts w:eastAsia="仿宋_GB2312"/>
          <w:color w:val="000000" w:themeColor="text1"/>
          <w:kern w:val="0"/>
          <w:sz w:val="36"/>
          <w:szCs w:val="36"/>
          <w:highlight w:val="none"/>
          <w14:textFill>
            <w14:solidFill>
              <w14:schemeClr w14:val="tx1"/>
            </w14:solidFill>
          </w14:textFill>
        </w:rPr>
        <w:t>日</w:t>
      </w:r>
    </w:p>
    <w:p w14:paraId="28143D3C">
      <w:pPr>
        <w:spacing w:line="540" w:lineRule="exact"/>
        <w:jc w:val="center"/>
        <w:rPr>
          <w:rFonts w:eastAsia="仿宋_GB2312"/>
          <w:color w:val="000000" w:themeColor="text1"/>
          <w:kern w:val="0"/>
          <w:sz w:val="30"/>
          <w:szCs w:val="30"/>
          <w:highlight w:val="none"/>
          <w14:textFill>
            <w14:solidFill>
              <w14:schemeClr w14:val="tx1"/>
            </w14:solidFill>
          </w14:textFill>
        </w:rPr>
      </w:pPr>
    </w:p>
    <w:p w14:paraId="249E8003">
      <w:pPr>
        <w:spacing w:line="540" w:lineRule="exact"/>
        <w:rPr>
          <w:rStyle w:val="15"/>
          <w:rFonts w:eastAsia="黑体"/>
          <w:b w:val="0"/>
          <w:color w:val="000000" w:themeColor="text1"/>
          <w:spacing w:val="-4"/>
          <w:sz w:val="32"/>
          <w:szCs w:val="32"/>
          <w:highlight w:val="none"/>
          <w14:textFill>
            <w14:solidFill>
              <w14:schemeClr w14:val="tx1"/>
            </w14:solidFill>
          </w14:textFill>
        </w:rPr>
      </w:pPr>
    </w:p>
    <w:p w14:paraId="653263B6">
      <w:pPr>
        <w:spacing w:line="540" w:lineRule="exact"/>
        <w:ind w:firstLine="640"/>
        <w:rPr>
          <w:rStyle w:val="15"/>
          <w:rFonts w:eastAsia="黑体"/>
          <w:b w:val="0"/>
          <w:color w:val="000000" w:themeColor="text1"/>
          <w:spacing w:val="-4"/>
          <w:sz w:val="32"/>
          <w:szCs w:val="32"/>
          <w:highlight w:val="none"/>
          <w14:textFill>
            <w14:solidFill>
              <w14:schemeClr w14:val="tx1"/>
            </w14:solidFill>
          </w14:textFill>
        </w:rPr>
      </w:pPr>
    </w:p>
    <w:p w14:paraId="252347F1">
      <w:pPr>
        <w:spacing w:line="560" w:lineRule="exact"/>
        <w:ind w:firstLine="640" w:firstLineChars="200"/>
        <w:rPr>
          <w:rFonts w:eastAsia="黑体"/>
          <w:bCs/>
          <w:color w:val="000000" w:themeColor="text1"/>
          <w:sz w:val="32"/>
          <w:szCs w:val="32"/>
          <w:highlight w:val="none"/>
          <w14:textFill>
            <w14:solidFill>
              <w14:schemeClr w14:val="tx1"/>
            </w14:solidFill>
          </w14:textFill>
        </w:rPr>
      </w:pPr>
      <w:r>
        <w:rPr>
          <w:rFonts w:eastAsia="黑体"/>
          <w:bCs/>
          <w:color w:val="000000" w:themeColor="text1"/>
          <w:sz w:val="32"/>
          <w:szCs w:val="32"/>
          <w:highlight w:val="none"/>
          <w14:textFill>
            <w14:solidFill>
              <w14:schemeClr w14:val="tx1"/>
            </w14:solidFill>
          </w14:textFill>
        </w:rPr>
        <w:t>一、基本情况</w:t>
      </w:r>
    </w:p>
    <w:p w14:paraId="7D3A2E36">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（一）项目概况</w:t>
      </w:r>
    </w:p>
    <w:p w14:paraId="77DFAE0A">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1、项目背景</w:t>
      </w:r>
    </w:p>
    <w:p w14:paraId="52150744">
      <w:pPr>
        <w:spacing w:line="560" w:lineRule="exact"/>
        <w:ind w:firstLine="600" w:firstLineChars="20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古城乡古城村二组道路两旁的树木枯死、杂乱等问题，造成村人居环境整治工作短板缺陷，为加快乡村振兴步伐，古城村需重新新建奇台县古城乡古城村道路配套设施建设项目（奇台县古城村村级公益事业建设项目）宜居宜业设施。改善农村人居环境，建设美丽宜居乡村，是实施乡村振兴战略的一项重要任务，事关全面建成小康社会，事关广大农民根本福祉，事关农村社会文明和谐。近年来，乡、村党组织认真贯彻党中央、国务院决策部署，把改善农村人居环境作为社会主义新农村建设的重要内容，大力推进农村基础设施建设和城乡基本公共服务均等化，农村人居环境建设取得显著成效。同时，目前农村人居环境状况很不平衡，脏乱差问题在一些地区还比较突出，与全面建成小康社会要求和农民群众期盼还有较大差距，仍然是经济社会发展的突出短板。</w:t>
      </w:r>
    </w:p>
    <w:p w14:paraId="225C9579">
      <w:pPr>
        <w:spacing w:line="560" w:lineRule="exact"/>
        <w:ind w:firstLine="600" w:firstLineChars="20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由此实施奇台县古城乡古城村道路配套设施建设项目是十分必要的。</w:t>
      </w:r>
    </w:p>
    <w:p w14:paraId="3A2486A2">
      <w:pPr>
        <w:pStyle w:val="9"/>
        <w:numPr>
          <w:ilvl w:val="0"/>
          <w:numId w:val="1"/>
        </w:numPr>
        <w:spacing w:before="0" w:after="0" w:line="560" w:lineRule="exact"/>
        <w:ind w:firstLine="643" w:firstLineChars="200"/>
        <w:jc w:val="both"/>
        <w:rPr>
          <w:rFonts w:ascii="Times New Roman" w:hAnsi="Times New Roman" w:eastAsia="仿宋_GB2312"/>
          <w:color w:val="000000" w:themeColor="text1"/>
          <w:kern w:val="2"/>
          <w:highlight w:val="none"/>
          <w14:textFill>
            <w14:solidFill>
              <w14:schemeClr w14:val="tx1"/>
            </w14:solidFill>
          </w14:textFill>
        </w:rPr>
      </w:pPr>
      <w:r>
        <w:rPr>
          <w:rFonts w:ascii="Times New Roman" w:hAnsi="Times New Roman" w:eastAsia="仿宋_GB2312"/>
          <w:color w:val="000000" w:themeColor="text1"/>
          <w:kern w:val="2"/>
          <w:highlight w:val="none"/>
          <w14:textFill>
            <w14:solidFill>
              <w14:schemeClr w14:val="tx1"/>
            </w14:solidFill>
          </w14:textFill>
        </w:rPr>
        <w:t>项目主要内容：</w:t>
      </w:r>
    </w:p>
    <w:p w14:paraId="0E73FB63">
      <w:pPr>
        <w:spacing w:line="560" w:lineRule="exact"/>
        <w:ind w:firstLine="600" w:firstLineChars="20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项目主要内容：奇台县古城乡古城村道路配套设施建设项目。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新建铺设路沿石450米，铺设花砖1560.8平方米，用于改善村民的生活环境。</w:t>
      </w:r>
    </w:p>
    <w:p w14:paraId="1300E4C8">
      <w:pPr>
        <w:spacing w:line="560" w:lineRule="exact"/>
        <w:ind w:firstLine="640" w:firstLineChars="200"/>
        <w:rPr>
          <w:color w:val="000000" w:themeColor="text1"/>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38532B82">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3、资金投入和使用情况</w:t>
      </w:r>
    </w:p>
    <w:p w14:paraId="72E9200E">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（1）资金投入情况</w:t>
      </w:r>
    </w:p>
    <w:p w14:paraId="0B989F9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该项目年初预算数50万元，全年预算数50万元，实际总投入50万元，该项目资金已全部落实到位，资金来源为中央转移支付。</w:t>
      </w:r>
    </w:p>
    <w:p w14:paraId="78312E7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（2）资金使用情况</w:t>
      </w:r>
    </w:p>
    <w:p w14:paraId="4561818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该项目年初预算数50万元，全年预算数50万元，全年执行数48.62万元，预算执行率为97.24%，主要用于：奇台县古城乡古城村道路配套设施建设，新建铺设路沿石450米，铺设花砖1560.8平方米。</w:t>
      </w:r>
    </w:p>
    <w:p w14:paraId="79F0004D">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（二）项目绩效目标</w:t>
      </w:r>
    </w:p>
    <w:p w14:paraId="473098D7">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1、总体目标</w:t>
      </w:r>
    </w:p>
    <w:p w14:paraId="53955FB8">
      <w:pPr>
        <w:spacing w:line="560" w:lineRule="exact"/>
        <w:ind w:firstLine="600" w:firstLineChars="200"/>
        <w:rPr>
          <w:rFonts w:hint="eastAsia" w:eastAsia="黑体"/>
          <w:b w:val="0"/>
          <w:bCs/>
          <w:color w:val="000000" w:themeColor="text1"/>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奇台县古城乡古城村道路配套设施建设项目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依据昌州财农【2023】32号文件，支付古城村道路配套设施建设项目资金，该项目新建铺设路沿石450米，铺设花砖1560.8平方米，工程验收合格率≥95%,古城村道路配套设施建设项目资金486169.54元，资金拨付及时率100%,古城村道路配套设施建设项目完工后很好的改善了村民的生活环境，受益户数≥140户，受益人数≥399人，群众对该项目满意度≥98%。</w:t>
      </w:r>
    </w:p>
    <w:p w14:paraId="7EE61586">
      <w:pPr>
        <w:spacing w:line="560" w:lineRule="exact"/>
        <w:ind w:firstLine="640" w:firstLineChars="20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2、阶段性目标</w:t>
      </w:r>
    </w:p>
    <w:p w14:paraId="1A59DF4F">
      <w:pPr>
        <w:spacing w:line="560" w:lineRule="exact"/>
        <w:ind w:firstLine="600" w:firstLineChars="200"/>
        <w:rPr>
          <w:rFonts w:hint="eastAsia" w:eastAsia="黑体"/>
          <w:b w:val="0"/>
          <w:bCs/>
          <w:color w:val="000000" w:themeColor="text1"/>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奇台县古城乡古城村道路配套设施建设项目，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新建铺设路沿石450米，铺设花砖1560.8平方米，项目已基本完工</w:t>
      </w:r>
      <w:r>
        <w:rPr>
          <w:rStyle w:val="15"/>
          <w:rFonts w:hint="eastAsia" w:eastAsia="黑体"/>
          <w:b w:val="0"/>
          <w:bCs/>
          <w:color w:val="000000" w:themeColor="text1"/>
          <w:spacing w:val="-4"/>
          <w:sz w:val="32"/>
          <w:szCs w:val="32"/>
          <w:highlight w:val="none"/>
          <w:lang w:eastAsia="zh-CN"/>
          <w14:textFill>
            <w14:solidFill>
              <w14:schemeClr w14:val="tx1"/>
            </w14:solidFill>
          </w14:textFill>
        </w:rPr>
        <w:t>。</w:t>
      </w:r>
    </w:p>
    <w:p w14:paraId="73367D0C">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二、绩效评价工作开展情况</w:t>
      </w:r>
    </w:p>
    <w:p w14:paraId="47DACEC7">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（一）绩效评价目的、对象和范围</w:t>
      </w:r>
    </w:p>
    <w:p w14:paraId="1D04788B">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1、绩效评价的目的</w:t>
      </w:r>
    </w:p>
    <w:p w14:paraId="22C1DEC2">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6D7839E">
      <w:pPr>
        <w:numPr>
          <w:ilvl w:val="0"/>
          <w:numId w:val="2"/>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14:paraId="2FC36DC6">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14:paraId="7E4AB86C">
      <w:pPr>
        <w:pStyle w:val="18"/>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B0590C9">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2、绩效评价的对象</w:t>
      </w:r>
    </w:p>
    <w:p w14:paraId="13E2CB62">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奇台县古城乡古城村道路配套设施建设项目项目所包含的全部项目内容。</w:t>
      </w:r>
    </w:p>
    <w:p w14:paraId="0572111F">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3、绩效评价的范围</w:t>
      </w:r>
    </w:p>
    <w:p w14:paraId="030EDD75">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奇台县古城乡古城村道路配套设施建设</w:t>
      </w:r>
      <w:r>
        <w:rPr>
          <w:rFonts w:hint="eastAsia" w:ascii="仿宋_GB2312" w:hAnsi="仿宋_GB2312" w:eastAsia="仿宋_GB2312" w:cs="仿宋_GB2312"/>
          <w:color w:val="000000" w:themeColor="text1"/>
          <w:sz w:val="32"/>
          <w:szCs w:val="32"/>
          <w:highlight w:val="none"/>
          <w14:textFill>
            <w14:solidFill>
              <w14:schemeClr w14:val="tx1"/>
            </w14:solidFill>
          </w14:textFill>
        </w:rPr>
        <w:t>项目进行评价，评价核心为专项资金的支出完成情况和效果。</w:t>
      </w:r>
    </w:p>
    <w:p w14:paraId="38AE3BD1">
      <w:pPr>
        <w:spacing w:line="560" w:lineRule="exact"/>
        <w:ind w:firstLine="643" w:firstLineChars="200"/>
        <w:rPr>
          <w:color w:val="000000" w:themeColor="text1"/>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（二）绩效评价原则、评价指标体系（详情见表1）、评价方法、评价标准。</w:t>
      </w:r>
    </w:p>
    <w:p w14:paraId="4873C0C6">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1、绩效评价原则</w:t>
      </w:r>
    </w:p>
    <w:p w14:paraId="771EBC39">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14:paraId="42067686">
      <w:pPr>
        <w:pStyle w:val="9"/>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（1）科学公正。绩效评价应当运用科学合理的方法，按照规范的程序，对项目绩效进行客观、公正的反映。</w:t>
      </w:r>
    </w:p>
    <w:p w14:paraId="1104A28C">
      <w:pPr>
        <w:pStyle w:val="9"/>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6791BCD9">
      <w:pPr>
        <w:pStyle w:val="9"/>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14:paraId="07FCECA0">
      <w:pPr>
        <w:pStyle w:val="9"/>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（4）公开透明。绩效评价结果应依法依规公开，并自觉接受社会监督。</w:t>
      </w:r>
    </w:p>
    <w:p w14:paraId="614B2F19">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2、评价指标体系</w:t>
      </w:r>
    </w:p>
    <w:p w14:paraId="22222BD0">
      <w:pPr>
        <w:spacing w:line="560" w:lineRule="exact"/>
        <w:ind w:firstLine="708" w:firstLineChars="200"/>
        <w:rPr>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绩效评价框架是开展绩效评价的核心。绩效评价框架包括评价准则、关键评价问题、评价指标、数据来源、数据收集方法等。指标体系建立过程如下：</w:t>
      </w:r>
    </w:p>
    <w:p w14:paraId="1ADD581D">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（1）确定评价指标</w:t>
      </w:r>
    </w:p>
    <w:p w14:paraId="16C80946">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531351A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（2）确定权重</w:t>
      </w:r>
    </w:p>
    <w:p w14:paraId="344B1E3A">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5A7FC7BF">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（3）确定指标标准值</w:t>
      </w:r>
    </w:p>
    <w:p w14:paraId="6FC75D4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70B6967B">
      <w:pPr>
        <w:pStyle w:val="9"/>
        <w:spacing w:before="0" w:after="0" w:line="560" w:lineRule="exact"/>
        <w:ind w:firstLine="708" w:firstLineChars="200"/>
        <w:jc w:val="both"/>
        <w:rPr>
          <w:rFonts w:ascii="Times New Roman" w:hAnsi="Times New Roman" w:eastAsia="仿宋_GB2312"/>
          <w:b w:val="0"/>
          <w:bCs w:val="0"/>
          <w:color w:val="000000" w:themeColor="text1"/>
          <w:spacing w:val="17"/>
          <w:kern w:val="2"/>
          <w:highlight w:val="none"/>
          <w14:textFill>
            <w14:solidFill>
              <w14:schemeClr w14:val="tx1"/>
            </w14:solidFill>
          </w14:textFill>
        </w:rPr>
      </w:pPr>
      <w:r>
        <w:rPr>
          <w:rFonts w:ascii="Times New Roman" w:hAnsi="Times New Roman" w:eastAsia="仿宋_GB2312"/>
          <w:b w:val="0"/>
          <w:bCs w:val="0"/>
          <w:color w:val="000000" w:themeColor="text1"/>
          <w:spacing w:val="17"/>
          <w:kern w:val="2"/>
          <w:highlight w:val="none"/>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57C17AD">
      <w:pPr>
        <w:pStyle w:val="9"/>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highlight w:val="none"/>
          <w14:textFill>
            <w14:solidFill>
              <w14:schemeClr w14:val="tx1"/>
            </w14:solidFill>
          </w14:textFill>
        </w:rPr>
      </w:pPr>
      <w:r>
        <w:rPr>
          <w:rFonts w:ascii="Times New Roman" w:hAnsi="Times New Roman" w:eastAsia="仿宋_GB2312"/>
          <w:b w:val="0"/>
          <w:bCs w:val="0"/>
          <w:color w:val="000000" w:themeColor="text1"/>
          <w:spacing w:val="17"/>
          <w:highlight w:val="none"/>
          <w14:textFill>
            <w14:solidFill>
              <w14:schemeClr w14:val="tx1"/>
            </w14:solidFill>
          </w14:textFill>
        </w:rPr>
        <w:t>具体评价指标体系详情见附件1</w:t>
      </w:r>
    </w:p>
    <w:p w14:paraId="57D60133">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3、绩效评价方法</w:t>
      </w:r>
    </w:p>
    <w:p w14:paraId="21F3A0E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289BB2E1">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3E4534AA">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14:paraId="7083A592">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最终验收情况与年度绩效目标对比、预算资金执行情况等相关因素进行比较。</w:t>
      </w:r>
    </w:p>
    <w:p w14:paraId="463CC6B9">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（2）因素分析法</w:t>
      </w:r>
    </w:p>
    <w:p w14:paraId="4102DD51">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的开展情况、项目产出数量、成本控制、资金拨付文件及自评报告等相关资料的收集和审核，综合分析各因素对绩效目标实现的影响。</w:t>
      </w:r>
    </w:p>
    <w:p w14:paraId="7522E8E8">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4、评价标准</w:t>
      </w:r>
    </w:p>
    <w:p w14:paraId="3DCA964E">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绩效评价标准通常包括计划标准、行业标准、历史标准等，用于对绩效指标完成情况进行比较、分析、评价。本次评价主要采用了</w:t>
      </w:r>
      <w:r>
        <w:rPr>
          <w:rFonts w:hint="eastAsia" w:eastAsia="仿宋_GB2312"/>
          <w:color w:val="000000" w:themeColor="text1"/>
          <w:spacing w:val="17"/>
          <w:sz w:val="32"/>
          <w:szCs w:val="32"/>
          <w:highlight w:val="none"/>
          <w:lang w:val="en-US" w:eastAsia="zh-CN"/>
          <w14:textFill>
            <w14:solidFill>
              <w14:schemeClr w14:val="tx1"/>
            </w14:solidFill>
          </w14:textFill>
        </w:rPr>
        <w:t>计划</w:t>
      </w:r>
      <w:r>
        <w:rPr>
          <w:rFonts w:hint="eastAsia" w:eastAsia="仿宋_GB2312"/>
          <w:color w:val="000000" w:themeColor="text1"/>
          <w:spacing w:val="17"/>
          <w:sz w:val="32"/>
          <w:szCs w:val="32"/>
          <w:highlight w:val="none"/>
          <w14:textFill>
            <w14:solidFill>
              <w14:schemeClr w14:val="tx1"/>
            </w14:solidFill>
          </w14:textFill>
        </w:rPr>
        <w:t>标准。</w:t>
      </w:r>
    </w:p>
    <w:p w14:paraId="395DFA7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0" w:name="_Toc31464"/>
      <w:bookmarkStart w:id="1" w:name="_Toc17882"/>
      <w:r>
        <w:rPr>
          <w:rFonts w:hint="eastAsia" w:eastAsia="仿宋_GB2312"/>
          <w:color w:val="000000" w:themeColor="text1"/>
          <w:spacing w:val="17"/>
          <w:sz w:val="32"/>
          <w:szCs w:val="32"/>
          <w:highlight w:val="none"/>
          <w14:textFill>
            <w14:solidFill>
              <w14:schemeClr w14:val="tx1"/>
            </w14:solidFill>
          </w14:textFill>
        </w:rPr>
        <w:t>计划标准：指以预先制定的目标、计划、预算、定额等作为评价标准。</w:t>
      </w:r>
      <w:bookmarkEnd w:id="0"/>
      <w:bookmarkEnd w:id="1"/>
    </w:p>
    <w:p w14:paraId="4964879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2" w:name="_Toc5633"/>
      <w:bookmarkStart w:id="3" w:name="_Toc2318"/>
      <w:r>
        <w:rPr>
          <w:rFonts w:hint="eastAsia" w:eastAsia="仿宋_GB2312"/>
          <w:color w:val="000000" w:themeColor="text1"/>
          <w:spacing w:val="17"/>
          <w:sz w:val="32"/>
          <w:szCs w:val="32"/>
          <w:highlight w:val="none"/>
          <w14:textFill>
            <w14:solidFill>
              <w14:schemeClr w14:val="tx1"/>
            </w14:solidFill>
          </w14:textFill>
        </w:rPr>
        <w:t>行业标准：指参照国家公布的行业指标数据制定的评价标准。</w:t>
      </w:r>
      <w:bookmarkEnd w:id="2"/>
      <w:bookmarkEnd w:id="3"/>
    </w:p>
    <w:p w14:paraId="0EC93A98">
      <w:pPr>
        <w:spacing w:line="560" w:lineRule="exact"/>
        <w:ind w:firstLine="708" w:firstLineChars="200"/>
        <w:rPr>
          <w:rFonts w:eastAsia="方正仿宋_GBK" w:cs="方正仿宋_GBK"/>
          <w:color w:val="000000" w:themeColor="text1"/>
          <w:sz w:val="32"/>
          <w:szCs w:val="32"/>
          <w:highlight w:val="none"/>
          <w14:textFill>
            <w14:solidFill>
              <w14:schemeClr w14:val="tx1"/>
            </w14:solidFill>
          </w14:textFill>
        </w:rPr>
      </w:pPr>
      <w:bookmarkStart w:id="4" w:name="_Toc16028"/>
      <w:bookmarkStart w:id="5" w:name="_Toc430"/>
      <w:r>
        <w:rPr>
          <w:rFonts w:hint="eastAsia" w:eastAsia="仿宋_GB2312"/>
          <w:color w:val="000000" w:themeColor="text1"/>
          <w:spacing w:val="17"/>
          <w:sz w:val="32"/>
          <w:szCs w:val="32"/>
          <w:highlight w:val="none"/>
          <w14:textFill>
            <w14:solidFill>
              <w14:schemeClr w14:val="tx1"/>
            </w14:solidFill>
          </w14:textFill>
        </w:rPr>
        <w:t>历史标准：指参照历史数据制定的评价标准，为体现绩效改进的原则，在可实现的条件下应当确定相对较高的评价标准。</w:t>
      </w:r>
      <w:bookmarkEnd w:id="4"/>
      <w:bookmarkEnd w:id="5"/>
    </w:p>
    <w:p w14:paraId="655DDE8F">
      <w:pPr>
        <w:pStyle w:val="9"/>
        <w:numPr>
          <w:ilvl w:val="0"/>
          <w:numId w:val="3"/>
        </w:numPr>
        <w:spacing w:before="0" w:after="0" w:line="560" w:lineRule="exact"/>
        <w:ind w:firstLine="711" w:firstLineChars="200"/>
        <w:jc w:val="both"/>
        <w:rPr>
          <w:rFonts w:ascii="楷体" w:hAnsi="楷体" w:eastAsia="楷体" w:cs="楷体"/>
          <w:color w:val="000000" w:themeColor="text1"/>
          <w:spacing w:val="17"/>
          <w:highlight w:val="none"/>
          <w14:textFill>
            <w14:solidFill>
              <w14:schemeClr w14:val="tx1"/>
            </w14:solidFill>
          </w14:textFill>
        </w:rPr>
      </w:pPr>
      <w:r>
        <w:rPr>
          <w:rFonts w:hint="eastAsia" w:ascii="楷体" w:hAnsi="楷体" w:eastAsia="楷体" w:cs="楷体"/>
          <w:color w:val="000000" w:themeColor="text1"/>
          <w:spacing w:val="17"/>
          <w:highlight w:val="none"/>
          <w14:textFill>
            <w14:solidFill>
              <w14:schemeClr w14:val="tx1"/>
            </w14:solidFill>
          </w14:textFill>
        </w:rPr>
        <w:t>绩效评价工作过程</w:t>
      </w:r>
    </w:p>
    <w:p w14:paraId="095EC8B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1.</w:t>
      </w:r>
      <w:r>
        <w:rPr>
          <w:rFonts w:hint="eastAsia" w:eastAsia="仿宋_GB2312"/>
          <w:bCs/>
          <w:color w:val="000000" w:themeColor="text1"/>
          <w:sz w:val="32"/>
          <w:szCs w:val="32"/>
          <w:highlight w:val="none"/>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14:paraId="10A9B50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2.</w:t>
      </w:r>
      <w:r>
        <w:rPr>
          <w:rFonts w:hint="eastAsia" w:eastAsia="仿宋_GB2312"/>
          <w:bCs/>
          <w:color w:val="000000" w:themeColor="text1"/>
          <w:sz w:val="32"/>
          <w:szCs w:val="32"/>
          <w:highlight w:val="none"/>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14:paraId="4343A6D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3.</w:t>
      </w:r>
      <w:r>
        <w:rPr>
          <w:rFonts w:hint="eastAsia" w:eastAsia="仿宋_GB2312"/>
          <w:bCs/>
          <w:color w:val="000000" w:themeColor="text1"/>
          <w:sz w:val="32"/>
          <w:szCs w:val="32"/>
          <w:highlight w:val="none"/>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14:paraId="0B3DB217">
      <w:pPr>
        <w:numPr>
          <w:ilvl w:val="0"/>
          <w:numId w:val="4"/>
        </w:num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综合评价情况及评价结论（附相关评分表）</w:t>
      </w:r>
    </w:p>
    <w:p w14:paraId="0D5F056D">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000000" w:themeColor="text1"/>
          <w:highlight w:val="none"/>
          <w:lang w:val="en-US" w:eastAsia="zh-CN"/>
          <w14:textFill>
            <w14:solidFill>
              <w14:schemeClr w14:val="tx1"/>
            </w14:solidFill>
          </w14:textFill>
        </w:rPr>
      </w:pP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一</w:t>
      </w: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评价情况</w:t>
      </w:r>
    </w:p>
    <w:p w14:paraId="6C9BF519">
      <w:pPr>
        <w:shd w:val="clear"/>
        <w:spacing w:line="600" w:lineRule="exact"/>
        <w:ind w:firstLine="640" w:firstLineChars="200"/>
        <w:outlineLvl w:val="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1CCF7D7">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000000" w:themeColor="text1"/>
          <w:highlight w:val="none"/>
          <w:lang w:val="en-US" w:eastAsia="zh-CN"/>
          <w14:textFill>
            <w14:solidFill>
              <w14:schemeClr w14:val="tx1"/>
            </w14:solidFill>
          </w14:textFill>
        </w:rPr>
      </w:pP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二</w:t>
      </w: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评价结论</w:t>
      </w:r>
    </w:p>
    <w:p w14:paraId="0C61DA32">
      <w:pPr>
        <w:pStyle w:val="9"/>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eastAsia="zh-CN"/>
          <w14:textFill>
            <w14:solidFill>
              <w14:schemeClr w14:val="tx1"/>
            </w14:solidFill>
          </w14:textFill>
        </w:rPr>
      </w:pPr>
      <w:r>
        <w:rPr>
          <w:rFonts w:hint="eastAsia" w:ascii="Times New Roman" w:hAnsi="Times New Roman" w:eastAsia="仿宋_GB2312"/>
          <w:b w:val="0"/>
          <w:bCs w:val="0"/>
          <w:color w:val="000000" w:themeColor="text1"/>
          <w:highlight w:val="none"/>
          <w14:textFill>
            <w14:solidFill>
              <w14:schemeClr w14:val="tx1"/>
            </w14:solidFill>
          </w14:textFill>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default" w:ascii="Times New Roman" w:hAnsi="Times New Roman" w:eastAsia="仿宋_GB2312"/>
          <w:b w:val="0"/>
          <w:bCs w:val="0"/>
          <w:color w:val="000000" w:themeColor="text1"/>
          <w:highlight w:val="none"/>
          <w:lang w:val="en-US" w:eastAsia="zh-CN"/>
          <w14:textFill>
            <w14:solidFill>
              <w14:schemeClr w14:val="tx1"/>
            </w14:solidFill>
          </w14:textFill>
        </w:rPr>
        <w:t>94.</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53</w:t>
      </w:r>
      <w:r>
        <w:rPr>
          <w:rFonts w:hint="eastAsia" w:ascii="Times New Roman" w:hAnsi="Times New Roman" w:eastAsia="仿宋_GB2312"/>
          <w:b w:val="0"/>
          <w:bCs w:val="0"/>
          <w:color w:val="000000" w:themeColor="text1"/>
          <w:highlight w:val="none"/>
          <w14:textFill>
            <w14:solidFill>
              <w14:schemeClr w14:val="tx1"/>
            </w14:solidFill>
          </w14:textFill>
        </w:rPr>
        <w:t>分，属于“</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优</w:t>
      </w:r>
      <w:r>
        <w:rPr>
          <w:rFonts w:hint="eastAsia" w:ascii="Times New Roman" w:hAnsi="Times New Roman" w:eastAsia="仿宋_GB2312"/>
          <w:b w:val="0"/>
          <w:bCs w:val="0"/>
          <w:color w:val="000000" w:themeColor="text1"/>
          <w:highlight w:val="none"/>
          <w14:textFill>
            <w14:solidFill>
              <w14:schemeClr w14:val="tx1"/>
            </w14:solidFill>
          </w14:textFill>
        </w:rPr>
        <w:t xml:space="preserve">”。其中，项目决策类指标权重为20分，得分为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19.9</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99.5</w:t>
      </w:r>
      <w:r>
        <w:rPr>
          <w:rFonts w:hint="eastAsia" w:ascii="Times New Roman" w:hAnsi="Times New Roman" w:eastAsia="仿宋_GB2312"/>
          <w:b w:val="0"/>
          <w:bCs w:val="0"/>
          <w:color w:val="000000" w:themeColor="text1"/>
          <w:highlight w:val="none"/>
          <w14:textFill>
            <w14:solidFill>
              <w14:schemeClr w14:val="tx1"/>
            </w14:solidFill>
          </w14:textFill>
        </w:rPr>
        <w:t>%。项目产出类指标权重为40分，得分为</w:t>
      </w:r>
      <w:r>
        <w:rPr>
          <w:rFonts w:hint="default" w:ascii="Times New Roman" w:hAnsi="Times New Roman" w:eastAsia="仿宋_GB2312"/>
          <w:b w:val="0"/>
          <w:bCs w:val="0"/>
          <w:color w:val="000000" w:themeColor="text1"/>
          <w:highlight w:val="none"/>
          <w:lang w:val="en-US" w:eastAsia="zh-CN"/>
          <w14:textFill>
            <w14:solidFill>
              <w14:schemeClr w14:val="tx1"/>
            </w14:solidFill>
          </w14:textFill>
        </w:rPr>
        <w:t>3</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4.63</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default" w:ascii="Times New Roman" w:hAnsi="Times New Roman" w:eastAsia="仿宋_GB2312"/>
          <w:b w:val="0"/>
          <w:bCs w:val="0"/>
          <w:color w:val="000000" w:themeColor="text1"/>
          <w:highlight w:val="none"/>
          <w:lang w:val="en-US" w:eastAsia="zh-CN"/>
          <w14:textFill>
            <w14:solidFill>
              <w14:schemeClr w14:val="tx1"/>
            </w14:solidFill>
          </w14:textFill>
        </w:rPr>
        <w:t>8</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6.58</w:t>
      </w:r>
      <w:r>
        <w:rPr>
          <w:rFonts w:hint="eastAsia" w:ascii="Times New Roman" w:hAnsi="Times New Roman" w:eastAsia="仿宋_GB2312"/>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%。具体打分情况详见：附件1综合评分表</w:t>
      </w:r>
      <w:r>
        <w:rPr>
          <w:rFonts w:hint="eastAsia" w:ascii="Times New Roman" w:hAnsi="Times New Roman" w:eastAsia="仿宋_GB2312"/>
          <w:b w:val="0"/>
          <w:bCs w:val="0"/>
          <w:color w:val="000000" w:themeColor="text1"/>
          <w:highlight w:val="none"/>
          <w:lang w:eastAsia="zh-CN"/>
          <w14:textFill>
            <w14:solidFill>
              <w14:schemeClr w14:val="tx1"/>
            </w14:solidFill>
          </w14:textFill>
        </w:rPr>
        <w:t>。</w:t>
      </w:r>
    </w:p>
    <w:p w14:paraId="384F26F1">
      <w:pPr>
        <w:pStyle w:val="9"/>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r>
        <w:rPr>
          <w:rFonts w:ascii="Times New Roman" w:hAnsi="Times New Roman" w:eastAsia="仿宋_GB2312"/>
          <w:color w:val="000000" w:themeColor="text1"/>
          <w:sz w:val="30"/>
          <w:szCs w:val="30"/>
          <w:highlight w:val="none"/>
          <w14:textFill>
            <w14:solidFill>
              <w14:schemeClr w14:val="tx1"/>
            </w14:solidFill>
          </w14:textFill>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41730B5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99FE0B2">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96EA57E">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068C0D0">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得分</w:t>
            </w:r>
          </w:p>
        </w:tc>
      </w:tr>
      <w:tr w14:paraId="53E9BBB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7DC87C">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28F77897">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751DF034">
            <w:pPr>
              <w:jc w:val="center"/>
              <w:rPr>
                <w:rFonts w:hint="eastAsia"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3D39B2C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19AD83A">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6CF1DAF8">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107DCFF3">
            <w:pPr>
              <w:jc w:val="center"/>
              <w:rPr>
                <w:rFonts w:hint="eastAsia"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19.9</w:t>
            </w:r>
          </w:p>
        </w:tc>
      </w:tr>
      <w:tr w14:paraId="2AE977C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88996DF">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64F23D64">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4DBBD35F">
            <w:pPr>
              <w:jc w:val="center"/>
              <w:rPr>
                <w:rFonts w:hint="default" w:eastAsia="宋体"/>
                <w:color w:val="000000" w:themeColor="text1"/>
                <w:sz w:val="22"/>
                <w:highlight w:val="none"/>
                <w:lang w:val="en-US" w:eastAsia="zh-CN"/>
                <w14:textFill>
                  <w14:solidFill>
                    <w14:schemeClr w14:val="tx1"/>
                  </w14:solidFill>
                </w14:textFill>
              </w:rPr>
            </w:pPr>
            <w:r>
              <w:rPr>
                <w:rFonts w:hint="default"/>
                <w:color w:val="000000" w:themeColor="text1"/>
                <w:sz w:val="22"/>
                <w:highlight w:val="none"/>
                <w:lang w:val="en-US" w:eastAsia="zh-CN"/>
                <w14:textFill>
                  <w14:solidFill>
                    <w14:schemeClr w14:val="tx1"/>
                  </w14:solidFill>
                </w14:textFill>
              </w:rPr>
              <w:t>3</w:t>
            </w:r>
            <w:r>
              <w:rPr>
                <w:rFonts w:hint="eastAsia"/>
                <w:color w:val="000000" w:themeColor="text1"/>
                <w:sz w:val="22"/>
                <w:highlight w:val="none"/>
                <w:lang w:val="en-US" w:eastAsia="zh-CN"/>
                <w14:textFill>
                  <w14:solidFill>
                    <w14:schemeClr w14:val="tx1"/>
                  </w14:solidFill>
                </w14:textFill>
              </w:rPr>
              <w:t>4.63</w:t>
            </w:r>
          </w:p>
        </w:tc>
      </w:tr>
      <w:tr w14:paraId="3B33F26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DE9A1E">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7F06A3A8">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6406CB25">
            <w:pPr>
              <w:jc w:val="center"/>
              <w:rPr>
                <w:rFonts w:hint="eastAsia"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37FF4DC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7123CEC">
            <w:pPr>
              <w:jc w:val="center"/>
              <w:rPr>
                <w:rFonts w:cs="宋体"/>
                <w:b/>
                <w:bCs/>
                <w:color w:val="000000" w:themeColor="text1"/>
                <w:sz w:val="22"/>
                <w:highlight w:val="none"/>
                <w14:textFill>
                  <w14:solidFill>
                    <w14:schemeClr w14:val="tx1"/>
                  </w14:solidFill>
                </w14:textFill>
              </w:rPr>
            </w:pPr>
            <w:r>
              <w:rPr>
                <w:rFonts w:hint="eastAsia" w:cs="宋体"/>
                <w:b/>
                <w:bCs/>
                <w:color w:val="000000" w:themeColor="text1"/>
                <w:sz w:val="22"/>
                <w:highlight w:val="none"/>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0D331114">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4C7A4B6D">
            <w:pPr>
              <w:jc w:val="center"/>
              <w:rPr>
                <w:rFonts w:hint="default" w:eastAsia="宋体"/>
                <w:b/>
                <w:bCs/>
                <w:color w:val="000000" w:themeColor="text1"/>
                <w:sz w:val="22"/>
                <w:highlight w:val="none"/>
                <w:lang w:val="en-US" w:eastAsia="zh-CN"/>
                <w14:textFill>
                  <w14:solidFill>
                    <w14:schemeClr w14:val="tx1"/>
                  </w14:solidFill>
                </w14:textFill>
              </w:rPr>
            </w:pPr>
            <w:r>
              <w:rPr>
                <w:rFonts w:hint="default"/>
                <w:b/>
                <w:bCs/>
                <w:color w:val="000000" w:themeColor="text1"/>
                <w:sz w:val="22"/>
                <w:highlight w:val="none"/>
                <w:lang w:val="en-US" w:eastAsia="zh-CN"/>
                <w14:textFill>
                  <w14:solidFill>
                    <w14:schemeClr w14:val="tx1"/>
                  </w14:solidFill>
                </w14:textFill>
              </w:rPr>
              <w:t>94.</w:t>
            </w:r>
            <w:r>
              <w:rPr>
                <w:rFonts w:hint="eastAsia"/>
                <w:b/>
                <w:bCs/>
                <w:color w:val="000000" w:themeColor="text1"/>
                <w:sz w:val="22"/>
                <w:highlight w:val="none"/>
                <w:lang w:val="en-US" w:eastAsia="zh-CN"/>
                <w14:textFill>
                  <w14:solidFill>
                    <w14:schemeClr w14:val="tx1"/>
                  </w14:solidFill>
                </w14:textFill>
              </w:rPr>
              <w:t>53</w:t>
            </w:r>
          </w:p>
        </w:tc>
      </w:tr>
    </w:tbl>
    <w:p w14:paraId="1647CAE6">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四、绩效评价指标分析</w:t>
      </w:r>
    </w:p>
    <w:p w14:paraId="05CC16EE">
      <w:pPr>
        <w:pStyle w:val="9"/>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ascii="Times New Roman" w:hAnsi="Times New Roman" w:eastAsia="楷体_GB2312"/>
          <w:color w:val="000000" w:themeColor="text1"/>
          <w:highlight w:val="none"/>
          <w14:textFill>
            <w14:solidFill>
              <w14:schemeClr w14:val="tx1"/>
            </w14:solidFill>
          </w14:textFill>
        </w:rPr>
        <w:t>（一）项目决策情况</w:t>
      </w:r>
    </w:p>
    <w:p w14:paraId="44C4727D">
      <w:pPr>
        <w:shd w:val="clear"/>
        <w:spacing w:line="600" w:lineRule="exact"/>
        <w:ind w:firstLine="600" w:firstLineChars="200"/>
        <w:outlineLvl w:val="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项目决策类指标包括项目立项、绩效目标和资金投入三方面的内容，由6个三级指标构成，权重分值为20分，实际得分20分，得分率为100%。</w:t>
      </w:r>
    </w:p>
    <w:p w14:paraId="4733BD01">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1.项目立项</w:t>
      </w:r>
    </w:p>
    <w:p w14:paraId="113C9AA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（1）立项依据充分性</w:t>
      </w:r>
    </w:p>
    <w:p w14:paraId="5E53065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A1D12E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（2）立项程序规范性</w:t>
      </w:r>
    </w:p>
    <w:p w14:paraId="1B01A84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7ACF549">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2.绩效目标</w:t>
      </w:r>
    </w:p>
    <w:p w14:paraId="094BE26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（1）绩效目标合理性</w:t>
      </w:r>
    </w:p>
    <w:p w14:paraId="7D224DA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设定绩效目标</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211EC1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（2）绩效指标明确性</w:t>
      </w:r>
    </w:p>
    <w:p w14:paraId="5FB6672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5CF04163">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w:t>
      </w:r>
    </w:p>
    <w:p w14:paraId="6817532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（1）预算编制科学性</w:t>
      </w:r>
    </w:p>
    <w:p w14:paraId="24688F6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预算编制经过科学论证，提供充分的测算依据佐证资料，预算内容与项目内容相匹配。项目投资额与工作任务相匹配。</w:t>
      </w:r>
    </w:p>
    <w:p w14:paraId="3FDCA68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（2）资金分配合理性</w:t>
      </w:r>
    </w:p>
    <w:p w14:paraId="23C0FCB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资金分配额度与项目单位实际工作内容相适应，资金分配额度合理，资金分配依据充分。</w:t>
      </w:r>
    </w:p>
    <w:p w14:paraId="3C88166E">
      <w:pPr>
        <w:pStyle w:val="9"/>
        <w:numPr>
          <w:ilvl w:val="0"/>
          <w:numId w:val="5"/>
        </w:numPr>
        <w:spacing w:before="0" w:after="0" w:line="560" w:lineRule="exact"/>
        <w:ind w:firstLine="643" w:firstLineChars="200"/>
        <w:jc w:val="both"/>
        <w:rPr>
          <w:rFonts w:ascii="楷体" w:hAnsi="楷体" w:eastAsia="楷体" w:cs="楷体"/>
          <w:color w:val="000000" w:themeColor="text1"/>
          <w:highlight w:val="none"/>
          <w14:textFill>
            <w14:solidFill>
              <w14:schemeClr w14:val="tx1"/>
            </w14:solidFill>
          </w14:textFill>
        </w:rPr>
      </w:pPr>
      <w:r>
        <w:rPr>
          <w:rFonts w:hint="eastAsia" w:ascii="楷体" w:hAnsi="楷体" w:eastAsia="楷体" w:cs="楷体"/>
          <w:color w:val="000000" w:themeColor="text1"/>
          <w:highlight w:val="none"/>
          <w14:textFill>
            <w14:solidFill>
              <w14:schemeClr w14:val="tx1"/>
            </w14:solidFill>
          </w14:textFill>
        </w:rPr>
        <w:t>项目过程情况</w:t>
      </w:r>
    </w:p>
    <w:p w14:paraId="23F260D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项目过程类指标包括资金管理和组织实施两方面的内容，由5个三级指标构成，权重分值为20分，实际得分19.9分，得分率为99.5%。</w:t>
      </w:r>
    </w:p>
    <w:p w14:paraId="2CE7E2E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73D716D1">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1.资金管理</w:t>
      </w:r>
    </w:p>
    <w:p w14:paraId="1C20523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（1）资金到位率</w:t>
      </w:r>
    </w:p>
    <w:p w14:paraId="7D6A000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本项目总投资50万元，财政资金及时足额到位，到位率100%，预算资金按计划进度执行。</w:t>
      </w:r>
    </w:p>
    <w:p w14:paraId="2D00A3A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（2）预算执行率</w:t>
      </w:r>
    </w:p>
    <w:p w14:paraId="3CEADA1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预算编制较为详细，项目资金支出总体能够按照预算执行，预算资金支出48.62万元，预算执行率为97.24%。</w:t>
      </w:r>
    </w:p>
    <w:p w14:paraId="4CD00A5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（3）资金使用合规性</w:t>
      </w:r>
    </w:p>
    <w:p w14:paraId="62FB4BD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1B7DEA1">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14:paraId="396FBD3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（1）管理制度健全性</w:t>
      </w:r>
    </w:p>
    <w:p w14:paraId="1FA1957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F72FD7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（2）制度执行有效性</w:t>
      </w:r>
    </w:p>
    <w:p w14:paraId="4339D6E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3CB95CB4">
      <w:pPr>
        <w:pStyle w:val="11"/>
        <w:numPr>
          <w:ilvl w:val="0"/>
          <w:numId w:val="5"/>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项目产出</w:t>
      </w:r>
      <w:r>
        <w:rPr>
          <w:rFonts w:hint="eastAsia" w:eastAsia="楷体_GB2312"/>
          <w:b/>
          <w:bCs/>
          <w:color w:val="000000" w:themeColor="text1"/>
          <w:sz w:val="32"/>
          <w:szCs w:val="32"/>
          <w:highlight w:val="none"/>
          <w:lang w:val="en-US" w:eastAsia="zh-CN"/>
          <w14:textFill>
            <w14:solidFill>
              <w14:schemeClr w14:val="tx1"/>
            </w14:solidFill>
          </w14:textFill>
        </w:rPr>
        <w:t>情况</w:t>
      </w:r>
    </w:p>
    <w:p w14:paraId="0AA1DE0E">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项目产出类指标包括产出数量、产出质量、产出时效、产出成本四方面的内容，由7个三级指标构成，权重分为40分，实际得分</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4.63分，得分率为</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6.58%。具体产出指标完成情况如下：</w:t>
      </w:r>
    </w:p>
    <w:p w14:paraId="0B8BB53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数量指标：</w:t>
      </w:r>
    </w:p>
    <w:p w14:paraId="57BBC67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指标1：新建铺设路沿石面积，指标值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bookmarkStart w:id="6" w:name="OLE_LINK1"/>
      <w:r>
        <w:rPr>
          <w:rFonts w:hint="eastAsia" w:ascii="仿宋_GB2312" w:hAnsi="仿宋_GB2312" w:eastAsia="仿宋_GB2312" w:cs="仿宋_GB2312"/>
          <w:color w:val="000000" w:themeColor="text1"/>
          <w:sz w:val="32"/>
          <w:szCs w:val="32"/>
          <w:highlight w:val="none"/>
          <w14:textFill>
            <w14:solidFill>
              <w14:schemeClr w14:val="tx1"/>
            </w14:solidFill>
          </w14:textFill>
        </w:rPr>
        <w:t>≥</w:t>
      </w:r>
      <w:bookmarkEnd w:id="6"/>
      <w:r>
        <w:rPr>
          <w:rFonts w:hint="eastAsia" w:ascii="仿宋_GB2312" w:hAnsi="仿宋_GB2312" w:eastAsia="仿宋_GB2312" w:cs="仿宋_GB2312"/>
          <w:color w:val="000000" w:themeColor="text1"/>
          <w:sz w:val="32"/>
          <w:szCs w:val="32"/>
          <w:highlight w:val="none"/>
          <w14:textFill>
            <w14:solidFill>
              <w14:schemeClr w14:val="tx1"/>
            </w14:solidFill>
          </w14:textFill>
        </w:rPr>
        <w:t>450米，实际完成值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450米</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34DED4A8">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铺设花砖面积</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≥1560.80平方米</w:t>
      </w:r>
      <w:r>
        <w:rPr>
          <w:rFonts w:hint="eastAsia" w:ascii="仿宋_GB2312" w:hAnsi="仿宋_GB2312" w:eastAsia="仿宋_GB2312" w:cs="仿宋_GB2312"/>
          <w:color w:val="000000" w:themeColor="text1"/>
          <w:sz w:val="32"/>
          <w:szCs w:val="32"/>
          <w:highlight w:val="none"/>
          <w14:textFill>
            <w14:solidFill>
              <w14:schemeClr w14:val="tx1"/>
            </w14:solidFill>
          </w14:textFill>
        </w:rPr>
        <w:tab/>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1560.80平方米，指标完成率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02999E8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质量指标：</w:t>
      </w:r>
    </w:p>
    <w:p w14:paraId="482698F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指标1：工程验收合格率，指标值：≥95%，实际完成值：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105.26</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。偏差原因：因为年初目标值设置不准确，故存在偏差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改进措施：下年精准测算，减少误差。</w:t>
      </w:r>
    </w:p>
    <w:p w14:paraId="557D329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③</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时效指标：</w:t>
      </w:r>
    </w:p>
    <w:p w14:paraId="59E0100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指标1：项目按计划开工时间 ，指标值：=2023年8月，实际完成值：2023年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highlight w:val="none"/>
          <w14:textFill>
            <w14:solidFill>
              <w14:schemeClr w14:val="tx1"/>
            </w14:solidFill>
          </w14:textFill>
        </w:rPr>
        <w:t>月，指标完成率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。偏差原因：因为年初目标值设置不准确，故存在偏差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改进措施：下年精准测算，减少误差。</w:t>
      </w:r>
    </w:p>
    <w:p w14:paraId="2CD8BD6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指标2：项目按计划完工时间，指标值：=2023年10月，实际完成值：=2023年10月，指标完成率100%。。</w:t>
      </w:r>
    </w:p>
    <w:p w14:paraId="6C75C4A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④</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成本指标：</w:t>
      </w:r>
    </w:p>
    <w:p w14:paraId="21AF336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指标1：铺设路沿石成本，指标值：≤18.78万元，实际完成值：17.4万元，指标完成率92.65%。偏差原因：审计核定与年初填报的值存在误差，故有偏差，改进措施：下年度合理申报预算。</w:t>
      </w:r>
    </w:p>
    <w:p w14:paraId="2742A40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指标2：铺设花砖成本，指标值：≤31.22万元，实际完成值：31.22万元，指标完成率100%。</w:t>
      </w:r>
    </w:p>
    <w:p w14:paraId="50FEA4C0">
      <w:pPr>
        <w:pStyle w:val="11"/>
        <w:numPr>
          <w:ilvl w:val="0"/>
          <w:numId w:val="5"/>
        </w:numPr>
        <w:spacing w:line="560" w:lineRule="exact"/>
        <w:ind w:firstLine="643"/>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t>项目效益情况</w:t>
      </w:r>
    </w:p>
    <w:p w14:paraId="2E96651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项目效益类指标包括项目实施效益和满意度两方面的内容，由3个三级指标构成，权重分为20分，实际得分20分，得分率为100%。具体效益指标及满意度指标完成情况如下：</w:t>
      </w:r>
    </w:p>
    <w:p w14:paraId="3808448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1.实施效益</w:t>
      </w:r>
    </w:p>
    <w:p w14:paraId="01BDFDD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社会效益指标：</w:t>
      </w:r>
    </w:p>
    <w:p w14:paraId="4295BF6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指标1：受益户数，指标值：≥140户，实际完成值：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140户</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7B844C2D">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指标2：</w:t>
      </w:r>
      <w:r>
        <w:rPr>
          <w:rFonts w:hint="eastAsia" w:ascii="仿宋_GB2312" w:hAnsi="仿宋_GB2312" w:eastAsia="仿宋_GB2312" w:cs="仿宋_GB2312"/>
          <w:color w:val="000000" w:themeColor="text1"/>
          <w:sz w:val="32"/>
          <w:szCs w:val="32"/>
          <w:highlight w:val="none"/>
          <w14:textFill>
            <w14:solidFill>
              <w14:schemeClr w14:val="tx1"/>
            </w14:solidFill>
          </w14:textFill>
        </w:rPr>
        <w:t>受益人数，指标值：≥399人，实际完成值：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399人</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20FD1F6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2.满意度</w:t>
      </w:r>
    </w:p>
    <w:p w14:paraId="45055CF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满意度指标：</w:t>
      </w:r>
    </w:p>
    <w:p w14:paraId="3EC3B651">
      <w:pPr>
        <w:shd w:val="clear"/>
        <w:spacing w:line="600" w:lineRule="exact"/>
        <w:ind w:firstLine="640" w:firstLineChars="200"/>
        <w:outlineLvl w:val="0"/>
        <w:rPr>
          <w:rFonts w:hint="eastAsia"/>
          <w:color w:val="000000" w:themeColor="text1"/>
          <w:highlight w:val="none"/>
          <w:lang w:eastAsia="zh-Hans"/>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指标1：受益人口满意度，指标值：≥98%，实际完成值：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98%</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7D4C1E62">
      <w:pPr>
        <w:spacing w:line="560" w:lineRule="exact"/>
        <w:ind w:firstLine="640" w:firstLineChars="20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t>五、预算执行进度与绩效指标总体完成率偏差</w:t>
      </w:r>
    </w:p>
    <w:p w14:paraId="029A085C">
      <w:pPr>
        <w:pStyle w:val="18"/>
        <w:spacing w:line="560" w:lineRule="exact"/>
        <w:ind w:firstLine="640"/>
        <w:rPr>
          <w:rFonts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奇台县古城乡古城村道路配套设施建设</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项目年初预算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50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万元，全年预算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50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万元，实际支出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48.62</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万元，预算执行率为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97.24</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%，项目绩效指标总体完成率为89.79%，</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总体</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偏差率为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7.45</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偏差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原因</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因为年初目标值设置不准确，审计核定与年初填报的值存在误差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改进</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措施下年度合理申报预算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，精准测算，减少误差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p>
    <w:p w14:paraId="158CB70B">
      <w:pPr>
        <w:spacing w:line="560" w:lineRule="exact"/>
        <w:ind w:firstLine="640" w:firstLineChars="200"/>
        <w:rPr>
          <w:rStyle w:val="17"/>
          <w:rFonts w:ascii="Times New Roman" w:hAnsi="Times New Roman" w:cs="Times New Roman"/>
          <w:color w:val="000000" w:themeColor="text1"/>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六</w:t>
      </w:r>
      <w:r>
        <w:rPr>
          <w:rFonts w:eastAsia="黑体"/>
          <w:color w:val="000000" w:themeColor="text1"/>
          <w:sz w:val="32"/>
          <w:szCs w:val="32"/>
          <w:highlight w:val="none"/>
          <w14:textFill>
            <w14:solidFill>
              <w14:schemeClr w14:val="tx1"/>
            </w14:solidFill>
          </w14:textFill>
        </w:rPr>
        <w:t>、主要经验及做法、存在的问题及原因分析</w:t>
      </w:r>
    </w:p>
    <w:p w14:paraId="47F06E49">
      <w:pPr>
        <w:spacing w:line="560" w:lineRule="exact"/>
        <w:ind w:firstLine="627" w:firstLineChars="200"/>
        <w:rPr>
          <w:rFonts w:eastAsia="楷体"/>
          <w:b/>
          <w:color w:val="000000" w:themeColor="text1"/>
          <w:spacing w:val="-4"/>
          <w:sz w:val="32"/>
          <w:szCs w:val="32"/>
          <w:highlight w:val="none"/>
          <w14:textFill>
            <w14:solidFill>
              <w14:schemeClr w14:val="tx1"/>
            </w14:solidFill>
          </w14:textFill>
        </w:rPr>
      </w:pPr>
      <w:r>
        <w:rPr>
          <w:rFonts w:eastAsia="楷体"/>
          <w:b/>
          <w:color w:val="000000" w:themeColor="text1"/>
          <w:spacing w:val="-4"/>
          <w:sz w:val="32"/>
          <w:szCs w:val="32"/>
          <w:highlight w:val="none"/>
          <w14:textFill>
            <w14:solidFill>
              <w14:schemeClr w14:val="tx1"/>
            </w14:solidFill>
          </w14:textFill>
        </w:rPr>
        <w:t>（一）主要经验及做法</w:t>
      </w:r>
    </w:p>
    <w:p w14:paraId="0F049632">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47344E3">
      <w:pPr>
        <w:pStyle w:val="9"/>
        <w:spacing w:before="0" w:after="0" w:line="560" w:lineRule="exact"/>
        <w:ind w:firstLine="640" w:firstLineChars="200"/>
        <w:jc w:val="left"/>
        <w:rPr>
          <w:rFonts w:ascii="Times New Roman" w:hAnsi="Times New Roman" w:eastAsia="仿宋_GB2312"/>
          <w:b w:val="0"/>
          <w:bCs w:val="0"/>
          <w:color w:val="000000" w:themeColor="text1"/>
          <w:kern w:val="2"/>
          <w:highlight w:val="none"/>
          <w14:textFill>
            <w14:solidFill>
              <w14:schemeClr w14:val="tx1"/>
            </w14:solidFill>
          </w14:textFill>
        </w:rPr>
      </w:pPr>
      <w:r>
        <w:rPr>
          <w:rFonts w:ascii="Times New Roman" w:hAnsi="Times New Roman" w:eastAsia="仿宋_GB2312"/>
          <w:b w:val="0"/>
          <w:bCs w:val="0"/>
          <w:color w:val="000000" w:themeColor="text1"/>
          <w:kern w:val="2"/>
          <w:highlight w:val="none"/>
          <w14:textFill>
            <w14:solidFill>
              <w14:schemeClr w14:val="tx1"/>
            </w14:solidFill>
          </w14:textFill>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5D5821B">
      <w:pPr>
        <w:keepNext/>
        <w:keepLines/>
        <w:numPr>
          <w:ilvl w:val="0"/>
          <w:numId w:val="6"/>
        </w:num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存在的问题及原因分析</w:t>
      </w:r>
    </w:p>
    <w:p w14:paraId="38B437C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CE56DC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2.因轮岗、调动、等因素使我单位绩效工作人员流动频繁，造成了工作衔接不到位的情况。</w:t>
      </w:r>
    </w:p>
    <w:p w14:paraId="0493CF5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3.财务人员对项目不熟悉，造成绩效目标设置不合理，不能很好地做好绩效目标设置、绩效监控及自评工作，自评报告叙述不全面，评价质量不高。</w:t>
      </w:r>
    </w:p>
    <w:p w14:paraId="0D6FF97C">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七、</w:t>
      </w:r>
      <w:r>
        <w:rPr>
          <w:rFonts w:eastAsia="黑体"/>
          <w:color w:val="000000" w:themeColor="text1"/>
          <w:sz w:val="32"/>
          <w:szCs w:val="32"/>
          <w:highlight w:val="none"/>
          <w14:textFill>
            <w14:solidFill>
              <w14:schemeClr w14:val="tx1"/>
            </w14:solidFill>
          </w14:textFill>
        </w:rPr>
        <w:t>有关建议</w:t>
      </w:r>
    </w:p>
    <w:p w14:paraId="45DF1F7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14:paraId="176EC1C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2.专门设定对绩效工作人员定职、定岗、定责等相关制度措施，进一步提升我单位绩效管理工作业务水平，扎实做好绩效管理工作。</w:t>
      </w:r>
    </w:p>
    <w:p w14:paraId="715E833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85B19E9">
      <w:pPr>
        <w:shd w:val="clear"/>
        <w:spacing w:line="600" w:lineRule="exact"/>
        <w:ind w:firstLine="640" w:firstLineChars="200"/>
        <w:outlineLvl w:val="0"/>
        <w:rPr>
          <w:color w:val="000000" w:themeColor="text1"/>
          <w:sz w:val="22"/>
          <w:szCs w:val="28"/>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highlight w:val="none"/>
          <w14:textFill>
            <w14:solidFill>
              <w14:schemeClr w14:val="tx1"/>
            </w14:solidFill>
          </w14:textFill>
        </w:rPr>
        <w:t>。</w:t>
      </w:r>
    </w:p>
    <w:p w14:paraId="265DA99B">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进一步加强对绩效管理工作的组织领导，提高对预算绩效管理工作重要性的认识，总结经验查找问题，抓紧研究制定更全面更完善的绩效评价管理办法。结合我单位实际工作考核建立绩效工作考核制度，加大全局对全面实施预算绩效管理和绩效管理工作的学习力度，让“花钱必问效，无效必问责”的理念深入工作每个环节。</w:t>
      </w:r>
    </w:p>
    <w:p w14:paraId="274D333E">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八、</w:t>
      </w:r>
      <w:r>
        <w:rPr>
          <w:rFonts w:eastAsia="黑体"/>
          <w:color w:val="000000" w:themeColor="text1"/>
          <w:sz w:val="32"/>
          <w:szCs w:val="32"/>
          <w:highlight w:val="none"/>
          <w14:textFill>
            <w14:solidFill>
              <w14:schemeClr w14:val="tx1"/>
            </w14:solidFill>
          </w14:textFill>
        </w:rPr>
        <w:t>其他需要说</w:t>
      </w:r>
      <w:bookmarkStart w:id="7" w:name="page8"/>
      <w:bookmarkEnd w:id="7"/>
      <w:r>
        <w:rPr>
          <w:rFonts w:eastAsia="黑体"/>
          <w:color w:val="000000" w:themeColor="text1"/>
          <w:sz w:val="32"/>
          <w:szCs w:val="32"/>
          <w:highlight w:val="none"/>
          <w14:textFill>
            <w14:solidFill>
              <w14:schemeClr w14:val="tx1"/>
            </w14:solidFill>
          </w14:textFill>
        </w:rPr>
        <w:t>明的问题</w:t>
      </w:r>
    </w:p>
    <w:p w14:paraId="20D64135">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本项目无其他需说明的问题。</w:t>
      </w:r>
    </w:p>
    <w:p w14:paraId="586173DE">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6C9764C9">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4E3938B4">
      <w:pPr>
        <w:pStyle w:val="12"/>
        <w:spacing w:after="0" w:line="560" w:lineRule="exact"/>
        <w:ind w:left="0" w:leftChars="0" w:firstLine="0" w:firstLineChars="0"/>
        <w:rPr>
          <w:rFonts w:ascii="仿宋_GB2312" w:hAnsi="仿宋_GB2312" w:eastAsia="仿宋_GB2312" w:cs="仿宋_GB2312"/>
          <w:color w:val="000000" w:themeColor="text1"/>
          <w:sz w:val="32"/>
          <w:szCs w:val="32"/>
          <w:highlight w:val="none"/>
          <w14:textFill>
            <w14:solidFill>
              <w14:schemeClr w14:val="tx1"/>
            </w14:solidFill>
          </w14:textFill>
        </w:rPr>
      </w:pPr>
    </w:p>
    <w:p w14:paraId="2623BDE8">
      <w:pPr>
        <w:widowControl/>
        <w:jc w:val="center"/>
        <w:textAlignment w:val="center"/>
        <w:rPr>
          <w:rFonts w:eastAsia="方正小标宋简体"/>
          <w:b/>
          <w:color w:val="000000" w:themeColor="text1"/>
          <w:kern w:val="0"/>
          <w:sz w:val="32"/>
          <w:szCs w:val="32"/>
          <w:highlight w:val="none"/>
          <w:lang w:bidi="ar"/>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tbl>
      <w:tblPr>
        <w:tblStyle w:val="13"/>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20"/>
        <w:gridCol w:w="622"/>
        <w:gridCol w:w="620"/>
        <w:gridCol w:w="803"/>
        <w:gridCol w:w="540"/>
        <w:gridCol w:w="205"/>
        <w:gridCol w:w="1281"/>
        <w:gridCol w:w="1221"/>
        <w:gridCol w:w="487"/>
        <w:gridCol w:w="429"/>
        <w:gridCol w:w="498"/>
        <w:gridCol w:w="379"/>
        <w:gridCol w:w="439"/>
        <w:gridCol w:w="620"/>
      </w:tblGrid>
      <w:tr w14:paraId="04E450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5000" w:type="pct"/>
            <w:gridSpan w:val="14"/>
            <w:tcBorders>
              <w:top w:val="nil"/>
              <w:left w:val="nil"/>
              <w:bottom w:val="nil"/>
              <w:right w:val="nil"/>
            </w:tcBorders>
            <w:shd w:val="clear" w:color="auto" w:fill="auto"/>
            <w:vAlign w:val="center"/>
          </w:tcPr>
          <w:p w14:paraId="45116604">
            <w:pPr>
              <w:keepNext w:val="0"/>
              <w:keepLines w:val="0"/>
              <w:widowControl/>
              <w:suppressLineNumbers w:val="0"/>
              <w:jc w:val="center"/>
              <w:textAlignment w:val="center"/>
              <w:rPr>
                <w:rFonts w:hint="eastAsia" w:ascii="宋体" w:hAnsi="宋体" w:eastAsia="宋体" w:cs="宋体"/>
                <w:b/>
                <w:bCs/>
                <w:i w:val="0"/>
                <w:iCs w:val="0"/>
                <w:color w:val="000000" w:themeColor="text1"/>
                <w:sz w:val="32"/>
                <w:szCs w:val="3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32"/>
                <w:szCs w:val="32"/>
                <w:highlight w:val="none"/>
                <w:u w:val="none"/>
                <w:lang w:val="en-US" w:eastAsia="zh-CN" w:bidi="ar"/>
                <w14:textFill>
                  <w14:solidFill>
                    <w14:schemeClr w14:val="tx1"/>
                  </w14:solidFill>
                </w14:textFill>
              </w:rPr>
              <w:t>项目支出绩效自评表</w:t>
            </w:r>
          </w:p>
        </w:tc>
      </w:tr>
      <w:tr w14:paraId="257B07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5000" w:type="pct"/>
            <w:gridSpan w:val="14"/>
            <w:tcBorders>
              <w:top w:val="nil"/>
              <w:left w:val="nil"/>
              <w:bottom w:val="nil"/>
              <w:right w:val="nil"/>
            </w:tcBorders>
            <w:shd w:val="clear" w:color="auto" w:fill="auto"/>
            <w:vAlign w:val="center"/>
          </w:tcPr>
          <w:p w14:paraId="140CD69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(2023年度)</w:t>
            </w:r>
          </w:p>
        </w:tc>
      </w:tr>
      <w:tr w14:paraId="5637F1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4B1C8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项目名称</w:t>
            </w:r>
          </w:p>
        </w:tc>
        <w:tc>
          <w:tcPr>
            <w:tcW w:w="4291"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DA302B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奇台县古城乡古城村道路配套设施建设项目</w:t>
            </w:r>
          </w:p>
        </w:tc>
      </w:tr>
      <w:tr w14:paraId="0DC5E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0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A0E9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主管部门</w:t>
            </w:r>
          </w:p>
        </w:tc>
        <w:tc>
          <w:tcPr>
            <w:tcW w:w="1967"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26407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奇台县古城乡人民政府</w:t>
            </w:r>
          </w:p>
        </w:tc>
        <w:tc>
          <w:tcPr>
            <w:tcW w:w="9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3E060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实施单位</w:t>
            </w:r>
          </w:p>
        </w:tc>
        <w:tc>
          <w:tcPr>
            <w:tcW w:w="1349"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63BA1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奇台县古城乡人民政府</w:t>
            </w:r>
          </w:p>
        </w:tc>
      </w:tr>
      <w:tr w14:paraId="2E14A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70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CC698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项目资金</w:t>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（万元）</w:t>
            </w:r>
          </w:p>
        </w:tc>
        <w:tc>
          <w:tcPr>
            <w:tcW w:w="8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0468F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0B51C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年初预算数</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24B31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全年预算数</w:t>
            </w:r>
          </w:p>
        </w:tc>
        <w:tc>
          <w:tcPr>
            <w:tcW w:w="9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A981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全年执行数</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1453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4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A88A2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执行率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89E24F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r>
      <w:tr w14:paraId="00BB7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EE060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8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AE042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年度资金总额</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97179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50.00</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6D961D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50.00</w:t>
            </w:r>
          </w:p>
        </w:tc>
        <w:tc>
          <w:tcPr>
            <w:tcW w:w="9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C529E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48.62</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B4A21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4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AA7E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97.24%</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491EE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9.72分</w:t>
            </w:r>
          </w:p>
        </w:tc>
      </w:tr>
      <w:tr w14:paraId="6F469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96EB1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8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DA6FC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其中：当年财政拨款</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E91EA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w:t>
            </w: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4CAFBA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w:t>
            </w:r>
          </w:p>
        </w:tc>
        <w:tc>
          <w:tcPr>
            <w:tcW w:w="9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85059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48.62</w:t>
            </w: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8153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4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E2CA5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8E3AA7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4DDA8B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E827C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8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8B9B1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上年结转资金</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0E754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66DD4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9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4AFAE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D96BB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4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AA863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8BB4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13BC0F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70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B97F0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81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C54A6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其他资金</w:t>
            </w:r>
          </w:p>
        </w:tc>
        <w:tc>
          <w:tcPr>
            <w:tcW w:w="425"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F9F5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730"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C0211A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97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695C6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2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E1B1D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4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7868C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687740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750A5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CAD1A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年度总体目标</w:t>
            </w:r>
          </w:p>
        </w:tc>
        <w:tc>
          <w:tcPr>
            <w:tcW w:w="2322"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42D7FC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预期目标</w:t>
            </w:r>
          </w:p>
        </w:tc>
        <w:tc>
          <w:tcPr>
            <w:tcW w:w="2323"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76533A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实际完成情况</w:t>
            </w:r>
          </w:p>
        </w:tc>
      </w:tr>
      <w:tr w14:paraId="3345E5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6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0711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322" w:type="pct"/>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5E84F406">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依据昌州财农【2023】32号文件，支付古城村道路配套设施建设项目资金，该项目新建铺设路沿石450米，铺设花砖1560.8平方米，工程验收合格率≥95%,古城村道路配套设施建设项目资金486169.54元，资金拨付及时率100%,古城村道路配套设施建设项目完工后很好的改善了村民的生活环境，受益户数≥140户，受益人数≥399人，群众对该项目满意度≥98%。</w:t>
            </w:r>
          </w:p>
        </w:tc>
        <w:tc>
          <w:tcPr>
            <w:tcW w:w="2323" w:type="pct"/>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64AE7AA4">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新建铺设路沿石面积：450；铺设花砖面积：1560.80；项目按计划开工时间：2023；项目按计划完工时间：2023；铺设路沿石成本：18.78；铺设花砖成本：31.22；受益户数：140；受益人数：399；受益人口满意度：98</w:t>
            </w:r>
          </w:p>
        </w:tc>
      </w:tr>
      <w:tr w14:paraId="6E636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D33F5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3B3E4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一级指标</w:t>
            </w:r>
          </w:p>
        </w:tc>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B9143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二级指标</w:t>
            </w:r>
          </w:p>
        </w:tc>
        <w:tc>
          <w:tcPr>
            <w:tcW w:w="766"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4DDEE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三级指标</w:t>
            </w:r>
          </w:p>
        </w:tc>
        <w:tc>
          <w:tcPr>
            <w:tcW w:w="84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3A8DC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年度指标值</w:t>
            </w:r>
          </w:p>
        </w:tc>
        <w:tc>
          <w:tcPr>
            <w:tcW w:w="69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A475B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实际完成值</w:t>
            </w:r>
          </w:p>
        </w:tc>
        <w:tc>
          <w:tcPr>
            <w:tcW w:w="522"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14B83B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500"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D9B79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c>
          <w:tcPr>
            <w:tcW w:w="604"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BBC7D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偏差原因分析及改进措施</w:t>
            </w:r>
          </w:p>
        </w:tc>
      </w:tr>
      <w:tr w14:paraId="598F51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3D3D8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5538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A2ECE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766"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1113D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847"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5AE3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9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40BA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22"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64B8D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00"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16D8F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04"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9B985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F8BD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DDE9A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年度绩效指标完成情况</w:t>
            </w: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71E6A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产出指标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6AF3B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54974">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新建铺设路沿石面积</w:t>
            </w: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B2CDB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&gt;=450米</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AF556D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=450米</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FF4E3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748E0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F1E26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F8AC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8888C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43832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0F2D2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F870C5">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铺设花砖面积</w:t>
            </w: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C6FED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&gt;=1560.80平方米</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0F1DA1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=1560.8平方米</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CC3F9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34D1F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00158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BC69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FA417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B3D3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7FBC7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质量指标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5CBBF">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工程验收合格率</w:t>
            </w: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155F7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24445A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8E67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AAA91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9.47</w:t>
            </w: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C1D5C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因为年初目标值设置不准确，故存在，改进措施：下年精准测算，减少误差</w:t>
            </w:r>
          </w:p>
        </w:tc>
      </w:tr>
      <w:tr w14:paraId="502ED4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26C1F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263F5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E38A80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78FD72">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项目按计划开工时间</w:t>
            </w: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DDD7A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=2023年8月</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BB369F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=2023年9月</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39774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2637E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B60B6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因为年初目标值设置不准确，故存在，改进措施：下年精准测算，减少误差</w:t>
            </w:r>
          </w:p>
        </w:tc>
      </w:tr>
      <w:tr w14:paraId="7F871E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743B8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2269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1AF545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9CDBD">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项目按计划完工时间</w:t>
            </w: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FA05E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=2023年10月</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5869F5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=2023年10月</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59D75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1BAB9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6A207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EA27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E0A1A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282B1B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成本指标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DC0CC7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D504B">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铺设路沿石成本</w:t>
            </w: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8A55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&lt;=18.78万元</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1D3DD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=17.4万元</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DB3C9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D0A3E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8.16</w:t>
            </w: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F502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审计核定与年初填报的值存在误差，故有偏差，改进措施：下年度合理申报预算。</w:t>
            </w:r>
          </w:p>
        </w:tc>
      </w:tr>
      <w:tr w14:paraId="71884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BAC58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543A0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1CB6DA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5FC70">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铺设花砖成本</w:t>
            </w: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8AB95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&lt;=31.22万元</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AED312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=31.22万元</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6C4A6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2CAD9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E1C0B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EB24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42429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1946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6821F4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社会成本指标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1756D5">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F1421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893B84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B4F4B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F5640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CAB89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4B78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58135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F46C2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346C5A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生态环境成本指标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BDF18">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6C929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A91D2F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B3006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BBE22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C570E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AC930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5FA9F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6D22F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效益指标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99CAD0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经济效益指标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617AC">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A1706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7BA4EB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B1ABE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43D27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57D0F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357B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1710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5172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8C4036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社会效益指标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472DE8">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受益户数</w:t>
            </w: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9E5B7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&gt;=140户</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D8CFC4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=140户</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10F90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2FD99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3BECC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E0EAF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223F5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5BCFC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164F11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社会效益指标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5D76D4">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受益人数</w:t>
            </w: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FDF28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&gt;=399人</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2D654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=399人</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726C6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B849F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864DF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F914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0C9CD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C50E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3E46F4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生态效益指标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732C9">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5DC9D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6665B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D529F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39974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2B976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8091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3FA29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CE72A2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14:paraId="5D873D2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766"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837EC">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受益人口满意度</w:t>
            </w:r>
          </w:p>
        </w:tc>
        <w:tc>
          <w:tcPr>
            <w:tcW w:w="84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29CDC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&gt;=98%</w:t>
            </w:r>
          </w:p>
        </w:tc>
        <w:tc>
          <w:tcPr>
            <w:tcW w:w="69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081AD5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=98%</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41A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CE58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522B8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FB6B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3372"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AEC4DE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总分</w:t>
            </w:r>
          </w:p>
        </w:tc>
        <w:tc>
          <w:tcPr>
            <w:tcW w:w="52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F1898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50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A3767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92.35分</w:t>
            </w:r>
          </w:p>
        </w:tc>
        <w:tc>
          <w:tcPr>
            <w:tcW w:w="604"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FFB88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14:paraId="3CB3E104">
      <w:pPr>
        <w:pStyle w:val="9"/>
        <w:jc w:val="both"/>
        <w:rPr>
          <w:rFonts w:ascii="Times New Roman" w:hAnsi="Times New Roman" w:eastAsia="黑体"/>
          <w:b w:val="0"/>
          <w:bCs w:val="0"/>
          <w:color w:val="000000" w:themeColor="text1"/>
          <w:highlight w:val="none"/>
          <w14:textFill>
            <w14:solidFill>
              <w14:schemeClr w14:val="tx1"/>
            </w14:solidFill>
          </w14:textFill>
        </w:rPr>
      </w:pPr>
    </w:p>
    <w:p w14:paraId="2493C7F9">
      <w:pPr>
        <w:pStyle w:val="9"/>
        <w:rPr>
          <w:rFonts w:ascii="Times New Roman" w:hAnsi="Times New Roman" w:eastAsia="黑体"/>
          <w:b w:val="0"/>
          <w:bCs w:val="0"/>
          <w:color w:val="000000" w:themeColor="text1"/>
          <w:highlight w:val="none"/>
          <w14:textFill>
            <w14:solidFill>
              <w14:schemeClr w14:val="tx1"/>
            </w14:solidFill>
          </w14:textFill>
        </w:rPr>
      </w:pPr>
    </w:p>
    <w:p w14:paraId="66AE8591">
      <w:pPr>
        <w:pStyle w:val="9"/>
        <w:jc w:val="both"/>
        <w:rPr>
          <w:rFonts w:ascii="Times New Roman" w:hAnsi="Times New Roman"/>
          <w:color w:val="000000" w:themeColor="text1"/>
          <w:highlight w:val="none"/>
          <w14:textFill>
            <w14:solidFill>
              <w14:schemeClr w14:val="tx1"/>
            </w14:solidFill>
          </w14:textFill>
        </w:rPr>
        <w:sectPr>
          <w:pgSz w:w="11906" w:h="16838"/>
          <w:pgMar w:top="1440" w:right="1558" w:bottom="1440" w:left="1800" w:header="851" w:footer="992" w:gutter="0"/>
          <w:cols w:space="425" w:num="1"/>
          <w:docGrid w:type="lines" w:linePitch="312" w:charSpace="0"/>
        </w:sectPr>
      </w:pPr>
    </w:p>
    <w:p w14:paraId="223B5F70">
      <w:pPr>
        <w:spacing w:line="600" w:lineRule="exact"/>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附件1</w:t>
      </w:r>
    </w:p>
    <w:p w14:paraId="0EABE6F3">
      <w:pPr>
        <w:pStyle w:val="18"/>
        <w:ind w:firstLine="562"/>
        <w:jc w:val="center"/>
        <w:rPr>
          <w:color w:val="000000" w:themeColor="text1"/>
          <w:sz w:val="28"/>
          <w:szCs w:val="40"/>
          <w:highlight w:val="none"/>
          <w14:textFill>
            <w14:solidFill>
              <w14:schemeClr w14:val="tx1"/>
            </w14:solidFill>
          </w14:textFill>
        </w:rPr>
      </w:pPr>
      <w:bookmarkStart w:id="8" w:name="_Toc30064_WPSOffice_Level1"/>
      <w:bookmarkStart w:id="9" w:name="_Toc26499_WPSOffice_Level2"/>
      <w:r>
        <w:rPr>
          <w:rFonts w:hint="eastAsia" w:ascii="宋体" w:hAnsi="宋体" w:eastAsia="宋体" w:cs="宋体"/>
          <w:b/>
          <w:bCs/>
          <w:color w:val="000000" w:themeColor="text1"/>
          <w:sz w:val="28"/>
          <w:szCs w:val="40"/>
          <w:highlight w:val="none"/>
          <w:lang w:val="en-US" w:eastAsia="zh-CN"/>
          <w14:textFill>
            <w14:solidFill>
              <w14:schemeClr w14:val="tx1"/>
            </w14:solidFill>
          </w14:textFill>
        </w:rPr>
        <w:t>奇台县古城乡古城村道路配套设施建设项目</w:t>
      </w:r>
      <w:r>
        <w:rPr>
          <w:rFonts w:hint="eastAsia" w:ascii="宋体" w:hAnsi="宋体" w:eastAsia="宋体" w:cs="宋体"/>
          <w:b/>
          <w:bCs/>
          <w:color w:val="000000" w:themeColor="text1"/>
          <w:sz w:val="28"/>
          <w:szCs w:val="40"/>
          <w:highlight w:val="none"/>
          <w14:textFill>
            <w14:solidFill>
              <w14:schemeClr w14:val="tx1"/>
            </w14:solidFill>
          </w14:textFill>
        </w:rPr>
        <w:t>绩效评价指标体系及综合评分表</w:t>
      </w:r>
      <w:bookmarkEnd w:id="8"/>
      <w:bookmarkEnd w:id="9"/>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656457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5876556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一级指标</w:t>
            </w:r>
          </w:p>
        </w:tc>
        <w:tc>
          <w:tcPr>
            <w:tcW w:w="764" w:type="dxa"/>
            <w:shd w:val="clear" w:color="auto" w:fill="FFFFFF"/>
            <w:vAlign w:val="center"/>
          </w:tcPr>
          <w:p w14:paraId="739C7E0E">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二级指标</w:t>
            </w:r>
          </w:p>
        </w:tc>
        <w:tc>
          <w:tcPr>
            <w:tcW w:w="873" w:type="dxa"/>
            <w:shd w:val="clear" w:color="auto" w:fill="FFFFFF"/>
            <w:vAlign w:val="center"/>
          </w:tcPr>
          <w:p w14:paraId="27569CE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三级指标</w:t>
            </w:r>
          </w:p>
        </w:tc>
        <w:tc>
          <w:tcPr>
            <w:tcW w:w="2353" w:type="dxa"/>
            <w:shd w:val="clear" w:color="auto" w:fill="FFFFFF"/>
            <w:vAlign w:val="center"/>
          </w:tcPr>
          <w:p w14:paraId="40412EC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指标解释</w:t>
            </w:r>
          </w:p>
        </w:tc>
        <w:tc>
          <w:tcPr>
            <w:tcW w:w="5198" w:type="dxa"/>
            <w:shd w:val="clear" w:color="auto" w:fill="FFFFFF"/>
            <w:vAlign w:val="center"/>
          </w:tcPr>
          <w:p w14:paraId="1E7F33E0">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指标说明</w:t>
            </w:r>
          </w:p>
        </w:tc>
        <w:tc>
          <w:tcPr>
            <w:tcW w:w="1300" w:type="dxa"/>
            <w:shd w:val="clear" w:color="auto" w:fill="FFFFFF"/>
            <w:vAlign w:val="center"/>
          </w:tcPr>
          <w:p w14:paraId="79E23CB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权重</w:t>
            </w:r>
          </w:p>
        </w:tc>
        <w:tc>
          <w:tcPr>
            <w:tcW w:w="1363" w:type="dxa"/>
            <w:shd w:val="clear" w:color="auto" w:fill="FFFFFF"/>
            <w:vAlign w:val="center"/>
          </w:tcPr>
          <w:p w14:paraId="67D41A0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得分</w:t>
            </w:r>
          </w:p>
        </w:tc>
      </w:tr>
      <w:tr w14:paraId="0FC03C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6A99FDE0">
            <w:pPr>
              <w:widowControl/>
              <w:spacing w:line="0" w:lineRule="atLeast"/>
              <w:jc w:val="center"/>
              <w:rPr>
                <w:color w:val="000000" w:themeColor="text1"/>
                <w:kern w:val="0"/>
                <w:sz w:val="22"/>
                <w:szCs w:val="22"/>
                <w:highlight w:val="none"/>
                <w14:textFill>
                  <w14:solidFill>
                    <w14:schemeClr w14:val="tx1"/>
                  </w14:solidFill>
                </w14:textFill>
              </w:rPr>
            </w:pPr>
          </w:p>
          <w:p w14:paraId="2FDA5F6E">
            <w:pPr>
              <w:widowControl/>
              <w:spacing w:line="0" w:lineRule="atLeast"/>
              <w:jc w:val="center"/>
              <w:rPr>
                <w:color w:val="000000" w:themeColor="text1"/>
                <w:kern w:val="0"/>
                <w:sz w:val="22"/>
                <w:szCs w:val="22"/>
                <w:highlight w:val="none"/>
                <w14:textFill>
                  <w14:solidFill>
                    <w14:schemeClr w14:val="tx1"/>
                  </w14:solidFill>
                </w14:textFill>
              </w:rPr>
            </w:pPr>
          </w:p>
          <w:p w14:paraId="4A3CF8C4">
            <w:pPr>
              <w:widowControl/>
              <w:spacing w:line="0" w:lineRule="atLeast"/>
              <w:jc w:val="center"/>
              <w:rPr>
                <w:color w:val="000000" w:themeColor="text1"/>
                <w:kern w:val="0"/>
                <w:sz w:val="22"/>
                <w:szCs w:val="22"/>
                <w:highlight w:val="none"/>
                <w14:textFill>
                  <w14:solidFill>
                    <w14:schemeClr w14:val="tx1"/>
                  </w14:solidFill>
                </w14:textFill>
              </w:rPr>
            </w:pPr>
          </w:p>
          <w:p w14:paraId="0205465C">
            <w:pPr>
              <w:widowControl/>
              <w:spacing w:line="0" w:lineRule="atLeast"/>
              <w:jc w:val="center"/>
              <w:rPr>
                <w:color w:val="000000" w:themeColor="text1"/>
                <w:kern w:val="0"/>
                <w:sz w:val="22"/>
                <w:szCs w:val="22"/>
                <w:highlight w:val="none"/>
                <w14:textFill>
                  <w14:solidFill>
                    <w14:schemeClr w14:val="tx1"/>
                  </w14:solidFill>
                </w14:textFill>
              </w:rPr>
            </w:pPr>
          </w:p>
          <w:p w14:paraId="66B49951">
            <w:pPr>
              <w:widowControl/>
              <w:spacing w:line="0" w:lineRule="atLeast"/>
              <w:jc w:val="center"/>
              <w:rPr>
                <w:color w:val="000000" w:themeColor="text1"/>
                <w:kern w:val="0"/>
                <w:sz w:val="22"/>
                <w:szCs w:val="22"/>
                <w:highlight w:val="none"/>
                <w14:textFill>
                  <w14:solidFill>
                    <w14:schemeClr w14:val="tx1"/>
                  </w14:solidFill>
                </w14:textFill>
              </w:rPr>
            </w:pPr>
          </w:p>
          <w:p w14:paraId="484A595A">
            <w:pPr>
              <w:widowControl/>
              <w:spacing w:line="0" w:lineRule="atLeast"/>
              <w:jc w:val="center"/>
              <w:rPr>
                <w:color w:val="000000" w:themeColor="text1"/>
                <w:kern w:val="0"/>
                <w:sz w:val="22"/>
                <w:szCs w:val="22"/>
                <w:highlight w:val="none"/>
                <w14:textFill>
                  <w14:solidFill>
                    <w14:schemeClr w14:val="tx1"/>
                  </w14:solidFill>
                </w14:textFill>
              </w:rPr>
            </w:pPr>
          </w:p>
          <w:p w14:paraId="57B2366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决策　</w:t>
            </w:r>
          </w:p>
        </w:tc>
        <w:tc>
          <w:tcPr>
            <w:tcW w:w="764" w:type="dxa"/>
            <w:vMerge w:val="restart"/>
            <w:shd w:val="clear" w:color="auto" w:fill="FFFFFF"/>
            <w:vAlign w:val="center"/>
          </w:tcPr>
          <w:p w14:paraId="2AE1479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　</w:t>
            </w:r>
          </w:p>
        </w:tc>
        <w:tc>
          <w:tcPr>
            <w:tcW w:w="873" w:type="dxa"/>
            <w:shd w:val="clear" w:color="auto" w:fill="FFFFFF"/>
            <w:vAlign w:val="center"/>
          </w:tcPr>
          <w:p w14:paraId="7F6EA23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立项依据</w:t>
            </w:r>
          </w:p>
          <w:p w14:paraId="1AF2DAA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充分性</w:t>
            </w:r>
          </w:p>
        </w:tc>
        <w:tc>
          <w:tcPr>
            <w:tcW w:w="2353" w:type="dxa"/>
            <w:shd w:val="clear" w:color="auto" w:fill="FFFFFF"/>
            <w:vAlign w:val="center"/>
          </w:tcPr>
          <w:p w14:paraId="7D6D1A1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项目立项是否符合法律法规、相关政策、发展规划以及部门职责，用以反映和考核项目立项依据情况。</w:t>
            </w:r>
          </w:p>
        </w:tc>
        <w:tc>
          <w:tcPr>
            <w:tcW w:w="5198" w:type="dxa"/>
            <w:shd w:val="clear" w:color="auto" w:fill="FFFFFF"/>
            <w:vAlign w:val="center"/>
          </w:tcPr>
          <w:p w14:paraId="0AE1FB15">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①项目立项是否符合国家法律法规、国民经济发展规划和相关政策；</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②项目立项是否符合行业发展规划和政策要求；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③项目立项是否与部门职责范围相符，属于部门履职所需；</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④项目是否属于公共财政支持范围，是否符合中央、地方事权支出责任划分原则；</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⑤项目是否与相关部门同类项目或部门内部相关项目重复。</w:t>
            </w:r>
          </w:p>
        </w:tc>
        <w:tc>
          <w:tcPr>
            <w:tcW w:w="1300" w:type="dxa"/>
            <w:shd w:val="clear" w:color="auto" w:fill="FFFFFF"/>
            <w:vAlign w:val="center"/>
          </w:tcPr>
          <w:p w14:paraId="7BCFAFC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FFFFFF"/>
            <w:vAlign w:val="center"/>
          </w:tcPr>
          <w:p w14:paraId="48F9AB3D">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64245C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48D46942">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1C8F5081">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5D29FD2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立项程序</w:t>
            </w:r>
          </w:p>
          <w:p w14:paraId="47F13C1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规范性</w:t>
            </w:r>
          </w:p>
        </w:tc>
        <w:tc>
          <w:tcPr>
            <w:tcW w:w="2353" w:type="dxa"/>
            <w:shd w:val="clear" w:color="auto" w:fill="FFFFFF"/>
            <w:vAlign w:val="center"/>
          </w:tcPr>
          <w:p w14:paraId="25E4FDE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项目申请、设立过程是否符合相关要求，用以反映和考核项目立项的规范情况。</w:t>
            </w:r>
          </w:p>
        </w:tc>
        <w:tc>
          <w:tcPr>
            <w:tcW w:w="5198" w:type="dxa"/>
            <w:shd w:val="clear" w:color="auto" w:fill="FFFFFF"/>
            <w:vAlign w:val="center"/>
          </w:tcPr>
          <w:p w14:paraId="2BD62F48">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①项目是否按照规定的程序申请设立；</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②审批文件、材料是否符合相关要求；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③事前是否已经过必要的可行性研究、专家论证、风险评估、绩效评估、集体决策。</w:t>
            </w:r>
          </w:p>
        </w:tc>
        <w:tc>
          <w:tcPr>
            <w:tcW w:w="1300" w:type="dxa"/>
            <w:shd w:val="clear" w:color="auto" w:fill="FFFFFF"/>
            <w:vAlign w:val="center"/>
          </w:tcPr>
          <w:p w14:paraId="408FBA9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FFFFFF"/>
            <w:vAlign w:val="center"/>
          </w:tcPr>
          <w:p w14:paraId="5DA8E87A">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3F1AF2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4FA6E717">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59CF721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　</w:t>
            </w:r>
          </w:p>
        </w:tc>
        <w:tc>
          <w:tcPr>
            <w:tcW w:w="873" w:type="dxa"/>
            <w:shd w:val="clear" w:color="auto" w:fill="FFFFFF"/>
            <w:vAlign w:val="center"/>
          </w:tcPr>
          <w:p w14:paraId="56F72F2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w:t>
            </w:r>
          </w:p>
          <w:p w14:paraId="7C6334E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000000" w:fill="FFFFFF"/>
            <w:vAlign w:val="center"/>
          </w:tcPr>
          <w:p w14:paraId="4395D92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项目所设定的绩效目标是否依据充分，是否符合客观实际，用以反映和考核项目绩效目标与项目实施的相符情况。</w:t>
            </w:r>
          </w:p>
        </w:tc>
        <w:tc>
          <w:tcPr>
            <w:tcW w:w="5198" w:type="dxa"/>
            <w:shd w:val="clear" w:color="000000" w:fill="FFFFFF"/>
            <w:vAlign w:val="center"/>
          </w:tcPr>
          <w:p w14:paraId="56FB4C1F">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（如未设定预算绩效目标，也可考核其他工作任务目标）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①项目是否有绩效目标；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②项目绩效目标与实际工作内容是否具有相关性；</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③项目预期产出效益和效果是否符合正常的业绩水平；</w:t>
            </w:r>
          </w:p>
          <w:p w14:paraId="274A769E">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④是否与预算确定的项目投资额或资金量相匹配。</w:t>
            </w:r>
          </w:p>
        </w:tc>
        <w:tc>
          <w:tcPr>
            <w:tcW w:w="1300" w:type="dxa"/>
            <w:shd w:val="clear" w:color="000000" w:fill="FFFFFF"/>
            <w:vAlign w:val="center"/>
          </w:tcPr>
          <w:p w14:paraId="1A59103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000000" w:fill="FFFFFF"/>
            <w:vAlign w:val="center"/>
          </w:tcPr>
          <w:p w14:paraId="491A10E5">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60F7E8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4D3CF925">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4EDF24D8">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3E030EA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绩效指标</w:t>
            </w:r>
          </w:p>
          <w:p w14:paraId="24BDB85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明确性</w:t>
            </w:r>
          </w:p>
        </w:tc>
        <w:tc>
          <w:tcPr>
            <w:tcW w:w="2353" w:type="dxa"/>
            <w:shd w:val="clear" w:color="000000" w:fill="FFFFFF"/>
            <w:vAlign w:val="center"/>
          </w:tcPr>
          <w:p w14:paraId="028C28C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依据绩效目标设定的绩效指标是否清晰、细化、可衡量等，用以反映和考核项目绩效目标的明细化情况。</w:t>
            </w:r>
          </w:p>
        </w:tc>
        <w:tc>
          <w:tcPr>
            <w:tcW w:w="5198" w:type="dxa"/>
            <w:shd w:val="clear" w:color="000000" w:fill="FFFFFF"/>
            <w:vAlign w:val="center"/>
          </w:tcPr>
          <w:p w14:paraId="00BC843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①是否将项目绩效目标细化分解为具体的绩效指标；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②是否通过清晰、可衡量的指标值予以体现；</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③是否与项目目标任务数或计划数相对应。</w:t>
            </w:r>
            <w:r>
              <w:rPr>
                <w:color w:val="000000" w:themeColor="text1"/>
                <w:kern w:val="0"/>
                <w:sz w:val="22"/>
                <w:szCs w:val="22"/>
                <w:highlight w:val="none"/>
                <w14:textFill>
                  <w14:solidFill>
                    <w14:schemeClr w14:val="tx1"/>
                  </w14:solidFill>
                </w14:textFill>
              </w:rPr>
              <w:br w:type="textWrapping"/>
            </w:r>
          </w:p>
        </w:tc>
        <w:tc>
          <w:tcPr>
            <w:tcW w:w="1300" w:type="dxa"/>
            <w:shd w:val="clear" w:color="000000" w:fill="FFFFFF"/>
            <w:vAlign w:val="center"/>
          </w:tcPr>
          <w:p w14:paraId="39D6E0C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000000" w:fill="FFFFFF"/>
            <w:vAlign w:val="center"/>
          </w:tcPr>
          <w:p w14:paraId="4C3DD85E">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7C361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280A11D9">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5B74418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资金投入</w:t>
            </w:r>
          </w:p>
          <w:p w14:paraId="36BC6943">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FFFFFF"/>
            <w:vAlign w:val="center"/>
          </w:tcPr>
          <w:p w14:paraId="4B14E9F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预算编制</w:t>
            </w:r>
          </w:p>
          <w:p w14:paraId="111C873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科学性</w:t>
            </w:r>
          </w:p>
        </w:tc>
        <w:tc>
          <w:tcPr>
            <w:tcW w:w="2353" w:type="dxa"/>
            <w:shd w:val="clear" w:color="auto" w:fill="FFFFFF"/>
            <w:vAlign w:val="center"/>
          </w:tcPr>
          <w:p w14:paraId="53E589A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57FEDF3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①预算编制是否经过科学论证；</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②预算内容与项目内容是否匹配；</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③预算额度测算依据是否充分，是否按照标准编制；</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④预算确定的项目投资额或资金量是否与工作任务相匹配。</w:t>
            </w:r>
          </w:p>
        </w:tc>
        <w:tc>
          <w:tcPr>
            <w:tcW w:w="1300" w:type="dxa"/>
            <w:shd w:val="clear" w:color="auto" w:fill="FFFFFF"/>
            <w:vAlign w:val="center"/>
          </w:tcPr>
          <w:p w14:paraId="5C8F89D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71C96A2C">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458F63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46A8D869">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0CF568F9">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0B1B2C9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资金分配</w:t>
            </w:r>
          </w:p>
          <w:p w14:paraId="22A7B69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auto" w:fill="FFFFFF"/>
            <w:vAlign w:val="center"/>
          </w:tcPr>
          <w:p w14:paraId="2497A72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4E97400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①预算资金分配依据是否充分；</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②资金分配额度是否合理，与项目单位或地方实际是否相适应。</w:t>
            </w:r>
          </w:p>
        </w:tc>
        <w:tc>
          <w:tcPr>
            <w:tcW w:w="1300" w:type="dxa"/>
            <w:shd w:val="clear" w:color="auto" w:fill="FFFFFF"/>
            <w:vAlign w:val="center"/>
          </w:tcPr>
          <w:p w14:paraId="5082CE7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2861F474">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2801CD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21BE02DC">
            <w:pPr>
              <w:spacing w:line="0" w:lineRule="atLeast"/>
              <w:jc w:val="center"/>
              <w:rPr>
                <w:color w:val="000000" w:themeColor="text1"/>
                <w:kern w:val="0"/>
                <w:sz w:val="22"/>
                <w:szCs w:val="22"/>
                <w:highlight w:val="none"/>
                <w14:textFill>
                  <w14:solidFill>
                    <w14:schemeClr w14:val="tx1"/>
                  </w14:solidFill>
                </w14:textFill>
              </w:rPr>
            </w:pPr>
          </w:p>
          <w:p w14:paraId="25DA8A19">
            <w:pPr>
              <w:spacing w:line="0" w:lineRule="atLeast"/>
              <w:jc w:val="center"/>
              <w:rPr>
                <w:color w:val="000000" w:themeColor="text1"/>
                <w:kern w:val="0"/>
                <w:sz w:val="22"/>
                <w:szCs w:val="22"/>
                <w:highlight w:val="none"/>
                <w14:textFill>
                  <w14:solidFill>
                    <w14:schemeClr w14:val="tx1"/>
                  </w14:solidFill>
                </w14:textFill>
              </w:rPr>
            </w:pPr>
          </w:p>
          <w:p w14:paraId="0C9F43E5">
            <w:pPr>
              <w:spacing w:line="0" w:lineRule="atLeast"/>
              <w:jc w:val="center"/>
              <w:rPr>
                <w:color w:val="000000" w:themeColor="text1"/>
                <w:kern w:val="0"/>
                <w:sz w:val="22"/>
                <w:szCs w:val="22"/>
                <w:highlight w:val="none"/>
                <w14:textFill>
                  <w14:solidFill>
                    <w14:schemeClr w14:val="tx1"/>
                  </w14:solidFill>
                </w14:textFill>
              </w:rPr>
            </w:pPr>
          </w:p>
          <w:p w14:paraId="1ADDDD6E">
            <w:pPr>
              <w:spacing w:line="0" w:lineRule="atLeast"/>
              <w:jc w:val="center"/>
              <w:rPr>
                <w:color w:val="000000" w:themeColor="text1"/>
                <w:kern w:val="0"/>
                <w:sz w:val="22"/>
                <w:szCs w:val="22"/>
                <w:highlight w:val="none"/>
                <w14:textFill>
                  <w14:solidFill>
                    <w14:schemeClr w14:val="tx1"/>
                  </w14:solidFill>
                </w14:textFill>
              </w:rPr>
            </w:pPr>
          </w:p>
          <w:p w14:paraId="5F069D91">
            <w:pPr>
              <w:spacing w:line="0" w:lineRule="atLeast"/>
              <w:jc w:val="center"/>
              <w:rPr>
                <w:color w:val="000000" w:themeColor="text1"/>
                <w:kern w:val="0"/>
                <w:sz w:val="22"/>
                <w:szCs w:val="22"/>
                <w:highlight w:val="none"/>
                <w14:textFill>
                  <w14:solidFill>
                    <w14:schemeClr w14:val="tx1"/>
                  </w14:solidFill>
                </w14:textFill>
              </w:rPr>
            </w:pPr>
          </w:p>
          <w:p w14:paraId="4BCB7DDA">
            <w:pPr>
              <w:spacing w:line="0" w:lineRule="atLeast"/>
              <w:jc w:val="center"/>
              <w:rPr>
                <w:color w:val="000000" w:themeColor="text1"/>
                <w:kern w:val="0"/>
                <w:sz w:val="22"/>
                <w:szCs w:val="22"/>
                <w:highlight w:val="none"/>
                <w14:textFill>
                  <w14:solidFill>
                    <w14:schemeClr w14:val="tx1"/>
                  </w14:solidFill>
                </w14:textFill>
              </w:rPr>
            </w:pPr>
          </w:p>
          <w:p w14:paraId="59E96629">
            <w:pPr>
              <w:spacing w:line="0" w:lineRule="atLeast"/>
              <w:jc w:val="center"/>
              <w:rPr>
                <w:color w:val="000000" w:themeColor="text1"/>
                <w:kern w:val="0"/>
                <w:sz w:val="22"/>
                <w:szCs w:val="22"/>
                <w:highlight w:val="none"/>
                <w14:textFill>
                  <w14:solidFill>
                    <w14:schemeClr w14:val="tx1"/>
                  </w14:solidFill>
                </w14:textFill>
              </w:rPr>
            </w:pPr>
          </w:p>
          <w:p w14:paraId="5EE52740">
            <w:pPr>
              <w:spacing w:line="0" w:lineRule="atLeast"/>
              <w:jc w:val="center"/>
              <w:rPr>
                <w:color w:val="000000" w:themeColor="text1"/>
                <w:kern w:val="0"/>
                <w:sz w:val="22"/>
                <w:szCs w:val="22"/>
                <w:highlight w:val="none"/>
                <w14:textFill>
                  <w14:solidFill>
                    <w14:schemeClr w14:val="tx1"/>
                  </w14:solidFill>
                </w14:textFill>
              </w:rPr>
            </w:pPr>
          </w:p>
          <w:p w14:paraId="52028E0C">
            <w:pPr>
              <w:spacing w:line="0" w:lineRule="atLeast"/>
              <w:jc w:val="center"/>
              <w:rPr>
                <w:color w:val="000000" w:themeColor="text1"/>
                <w:kern w:val="0"/>
                <w:sz w:val="22"/>
                <w:szCs w:val="22"/>
                <w:highlight w:val="none"/>
                <w14:textFill>
                  <w14:solidFill>
                    <w14:schemeClr w14:val="tx1"/>
                  </w14:solidFill>
                </w14:textFill>
              </w:rPr>
            </w:pPr>
          </w:p>
          <w:p w14:paraId="3A37E50F">
            <w:pPr>
              <w:spacing w:line="0" w:lineRule="atLeast"/>
              <w:jc w:val="center"/>
              <w:rPr>
                <w:color w:val="000000" w:themeColor="text1"/>
                <w:kern w:val="0"/>
                <w:sz w:val="22"/>
                <w:szCs w:val="22"/>
                <w:highlight w:val="none"/>
                <w14:textFill>
                  <w14:solidFill>
                    <w14:schemeClr w14:val="tx1"/>
                  </w14:solidFill>
                </w14:textFill>
              </w:rPr>
            </w:pPr>
          </w:p>
          <w:p w14:paraId="52E2CAAD">
            <w:pPr>
              <w:spacing w:line="0" w:lineRule="atLeast"/>
              <w:jc w:val="center"/>
              <w:rPr>
                <w:color w:val="000000" w:themeColor="text1"/>
                <w:kern w:val="0"/>
                <w:sz w:val="22"/>
                <w:szCs w:val="22"/>
                <w:highlight w:val="none"/>
                <w14:textFill>
                  <w14:solidFill>
                    <w14:schemeClr w14:val="tx1"/>
                  </w14:solidFill>
                </w14:textFill>
              </w:rPr>
            </w:pPr>
          </w:p>
          <w:p w14:paraId="06EB59BC">
            <w:pPr>
              <w:spacing w:line="0" w:lineRule="atLeast"/>
              <w:jc w:val="center"/>
              <w:rPr>
                <w:color w:val="000000" w:themeColor="text1"/>
                <w:kern w:val="0"/>
                <w:sz w:val="22"/>
                <w:szCs w:val="22"/>
                <w:highlight w:val="none"/>
                <w14:textFill>
                  <w14:solidFill>
                    <w14:schemeClr w14:val="tx1"/>
                  </w14:solidFill>
                </w14:textFill>
              </w:rPr>
            </w:pPr>
          </w:p>
          <w:p w14:paraId="667637C8">
            <w:pPr>
              <w:spacing w:line="0" w:lineRule="atLeast"/>
              <w:jc w:val="center"/>
              <w:rPr>
                <w:color w:val="000000" w:themeColor="text1"/>
                <w:kern w:val="0"/>
                <w:sz w:val="22"/>
                <w:szCs w:val="22"/>
                <w:highlight w:val="none"/>
                <w14:textFill>
                  <w14:solidFill>
                    <w14:schemeClr w14:val="tx1"/>
                  </w14:solidFill>
                </w14:textFill>
              </w:rPr>
            </w:pPr>
          </w:p>
          <w:p w14:paraId="3AEF4555">
            <w:pPr>
              <w:spacing w:line="0" w:lineRule="atLeast"/>
              <w:jc w:val="center"/>
              <w:rPr>
                <w:color w:val="000000" w:themeColor="text1"/>
                <w:kern w:val="0"/>
                <w:sz w:val="22"/>
                <w:szCs w:val="22"/>
                <w:highlight w:val="none"/>
                <w14:textFill>
                  <w14:solidFill>
                    <w14:schemeClr w14:val="tx1"/>
                  </w14:solidFill>
                </w14:textFill>
              </w:rPr>
            </w:pPr>
          </w:p>
          <w:p w14:paraId="5120464F">
            <w:pPr>
              <w:spacing w:line="0" w:lineRule="atLeast"/>
              <w:jc w:val="center"/>
              <w:rPr>
                <w:color w:val="000000" w:themeColor="text1"/>
                <w:kern w:val="0"/>
                <w:sz w:val="22"/>
                <w:szCs w:val="22"/>
                <w:highlight w:val="none"/>
                <w14:textFill>
                  <w14:solidFill>
                    <w14:schemeClr w14:val="tx1"/>
                  </w14:solidFill>
                </w14:textFill>
              </w:rPr>
            </w:pPr>
          </w:p>
          <w:p w14:paraId="68608B82">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过程</w:t>
            </w:r>
          </w:p>
          <w:p w14:paraId="2545ED7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764" w:type="dxa"/>
            <w:vMerge w:val="restart"/>
            <w:shd w:val="clear" w:color="auto" w:fill="FFFFFF"/>
            <w:vAlign w:val="center"/>
          </w:tcPr>
          <w:p w14:paraId="6480733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FFFFFF"/>
            <w:vAlign w:val="center"/>
          </w:tcPr>
          <w:p w14:paraId="0402387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w:t>
            </w:r>
          </w:p>
        </w:tc>
        <w:tc>
          <w:tcPr>
            <w:tcW w:w="2353" w:type="dxa"/>
            <w:shd w:val="clear" w:color="000000" w:fill="FFFFFF"/>
            <w:vAlign w:val="center"/>
          </w:tcPr>
          <w:p w14:paraId="73BB599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实际到位资金与预算资金的比率，用以反映和考核资金落实情况对项目实施的总体保障程度。</w:t>
            </w:r>
          </w:p>
        </w:tc>
        <w:tc>
          <w:tcPr>
            <w:tcW w:w="5198" w:type="dxa"/>
            <w:shd w:val="clear" w:color="000000" w:fill="FFFFFF"/>
            <w:vAlign w:val="center"/>
          </w:tcPr>
          <w:p w14:paraId="0A1C06A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资金到位率=（实际到位资金/预算资金）×100%。</w:t>
            </w:r>
          </w:p>
          <w:p w14:paraId="0BADF63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实际到位资金：一定时期（本年度或项目期）内落实到具体项目的资金。</w:t>
            </w:r>
          </w:p>
          <w:p w14:paraId="410F8EA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预算资金：一定时期（本年度或项目期）内预算安排到具体项目的资金。</w:t>
            </w:r>
          </w:p>
        </w:tc>
        <w:tc>
          <w:tcPr>
            <w:tcW w:w="1300" w:type="dxa"/>
            <w:shd w:val="clear" w:color="000000" w:fill="FFFFFF"/>
            <w:vAlign w:val="center"/>
          </w:tcPr>
          <w:p w14:paraId="3958F4D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7B4A935B">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5961AB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1E5D26C4">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58976810">
            <w:pPr>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717623C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w:t>
            </w:r>
          </w:p>
        </w:tc>
        <w:tc>
          <w:tcPr>
            <w:tcW w:w="2353" w:type="dxa"/>
            <w:shd w:val="clear" w:color="auto" w:fill="FFFFFF"/>
            <w:vAlign w:val="center"/>
          </w:tcPr>
          <w:p w14:paraId="1093C78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项目预算资金是否按照计划执行，用以反映或考核项目预算执行情况。</w:t>
            </w:r>
          </w:p>
        </w:tc>
        <w:tc>
          <w:tcPr>
            <w:tcW w:w="5198" w:type="dxa"/>
            <w:shd w:val="clear" w:color="auto" w:fill="FFFFFF"/>
            <w:vAlign w:val="center"/>
          </w:tcPr>
          <w:p w14:paraId="491EFD3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预算执行率=（实际支出资金/实际到位资金）×100%。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实际支出资金：一定时期（本年度或项目期）内项目实际拨付的资金。</w:t>
            </w:r>
          </w:p>
        </w:tc>
        <w:tc>
          <w:tcPr>
            <w:tcW w:w="1300" w:type="dxa"/>
            <w:shd w:val="clear" w:color="auto" w:fill="FFFFFF"/>
            <w:vAlign w:val="center"/>
          </w:tcPr>
          <w:p w14:paraId="242BA32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7DC9FDFA">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3.9</w:t>
            </w:r>
          </w:p>
        </w:tc>
      </w:tr>
      <w:tr w14:paraId="1393F4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2445D63D">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7D70C63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FFFFFF"/>
            <w:vAlign w:val="center"/>
          </w:tcPr>
          <w:p w14:paraId="028D8E5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资金使用</w:t>
            </w:r>
          </w:p>
          <w:p w14:paraId="744705F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合规性</w:t>
            </w:r>
          </w:p>
        </w:tc>
        <w:tc>
          <w:tcPr>
            <w:tcW w:w="2353" w:type="dxa"/>
            <w:shd w:val="clear" w:color="000000" w:fill="FFFFFF"/>
            <w:vAlign w:val="center"/>
          </w:tcPr>
          <w:p w14:paraId="24C0192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项目资金使用是否符合相关的财务管理制度规定，用以反映和考核项目资金的规范运行情况。</w:t>
            </w:r>
          </w:p>
        </w:tc>
        <w:tc>
          <w:tcPr>
            <w:tcW w:w="5198" w:type="dxa"/>
            <w:shd w:val="clear" w:color="000000" w:fill="FFFFFF"/>
            <w:vAlign w:val="center"/>
          </w:tcPr>
          <w:p w14:paraId="497706E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①是否符合国家财经法规和财务管理制度以及有关专项资金管理办法的规定；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②资金的拨付是否有完整的审批程序和手续；</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③是否符合项目预算批复或合同规定的用途；</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④是否存在截留、挤占、挪用、虚列支出等情况。</w:t>
            </w:r>
          </w:p>
        </w:tc>
        <w:tc>
          <w:tcPr>
            <w:tcW w:w="1300" w:type="dxa"/>
            <w:shd w:val="clear" w:color="000000" w:fill="FFFFFF"/>
            <w:vAlign w:val="center"/>
          </w:tcPr>
          <w:p w14:paraId="785FC4A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611C15E3">
            <w:pPr>
              <w:widowControl/>
              <w:spacing w:line="0" w:lineRule="atLeast"/>
              <w:jc w:val="center"/>
              <w:rPr>
                <w:rFonts w:hint="eastAsia"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38DB79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2C7A0D0F">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692F43E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组织实施</w:t>
            </w:r>
          </w:p>
          <w:p w14:paraId="115FA616">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FFFFFF"/>
            <w:vAlign w:val="center"/>
          </w:tcPr>
          <w:p w14:paraId="2B46407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管理制度</w:t>
            </w:r>
          </w:p>
          <w:p w14:paraId="537C87B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健全性</w:t>
            </w:r>
          </w:p>
        </w:tc>
        <w:tc>
          <w:tcPr>
            <w:tcW w:w="2353" w:type="dxa"/>
            <w:shd w:val="clear" w:color="000000" w:fill="FFFFFF"/>
            <w:vAlign w:val="center"/>
          </w:tcPr>
          <w:p w14:paraId="7398C66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5198" w:type="dxa"/>
            <w:shd w:val="clear" w:color="000000" w:fill="FFFFFF"/>
            <w:vAlign w:val="center"/>
          </w:tcPr>
          <w:p w14:paraId="7F002B6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①是否已制定或具有相应的财务和业务管理制度；</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②财务和业务管理制度是否合法、合规、完整。</w:t>
            </w:r>
          </w:p>
        </w:tc>
        <w:tc>
          <w:tcPr>
            <w:tcW w:w="1300" w:type="dxa"/>
            <w:shd w:val="clear" w:color="000000" w:fill="FFFFFF"/>
            <w:vAlign w:val="center"/>
          </w:tcPr>
          <w:p w14:paraId="47458DA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6BECFACE">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16A2D7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4B1967D3">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7EA0F596">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78E38B1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制度执行</w:t>
            </w:r>
          </w:p>
          <w:p w14:paraId="05F6838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有效性</w:t>
            </w:r>
          </w:p>
        </w:tc>
        <w:tc>
          <w:tcPr>
            <w:tcW w:w="2353" w:type="dxa"/>
            <w:shd w:val="clear" w:color="000000" w:fill="FFFFFF"/>
            <w:vAlign w:val="center"/>
          </w:tcPr>
          <w:p w14:paraId="2D86EA4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项目实施是否符合相关管理规定，用以反映和考核相关管理制度的有效执行情况。</w:t>
            </w:r>
          </w:p>
        </w:tc>
        <w:tc>
          <w:tcPr>
            <w:tcW w:w="5198" w:type="dxa"/>
            <w:shd w:val="clear" w:color="000000" w:fill="FFFFFF"/>
            <w:vAlign w:val="center"/>
          </w:tcPr>
          <w:p w14:paraId="77597E0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①是否遵守相关法律法规和相关管理规定；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②项目调整及支出调整手续是否完备；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③项目合同书、验收报告、技术鉴定等资料是否齐全并及时归档；</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④项目实施的人员条件、场地设备、信息支撑等是否落实到位。</w:t>
            </w:r>
          </w:p>
        </w:tc>
        <w:tc>
          <w:tcPr>
            <w:tcW w:w="1300" w:type="dxa"/>
            <w:shd w:val="clear" w:color="000000" w:fill="FFFFFF"/>
            <w:vAlign w:val="center"/>
          </w:tcPr>
          <w:p w14:paraId="148E573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6BED1C1F">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5B4538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791C276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w:t>
            </w:r>
          </w:p>
        </w:tc>
        <w:tc>
          <w:tcPr>
            <w:tcW w:w="764" w:type="dxa"/>
            <w:shd w:val="clear" w:color="auto" w:fill="FFFFFF"/>
            <w:vAlign w:val="center"/>
          </w:tcPr>
          <w:p w14:paraId="1023C66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产出数量</w:t>
            </w:r>
          </w:p>
        </w:tc>
        <w:tc>
          <w:tcPr>
            <w:tcW w:w="873" w:type="dxa"/>
            <w:shd w:val="clear" w:color="auto" w:fill="FFFFFF"/>
            <w:vAlign w:val="center"/>
          </w:tcPr>
          <w:p w14:paraId="627A1A4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w:t>
            </w:r>
          </w:p>
        </w:tc>
        <w:tc>
          <w:tcPr>
            <w:tcW w:w="2353" w:type="dxa"/>
            <w:shd w:val="clear" w:color="000000" w:fill="FFFFFF"/>
            <w:vAlign w:val="center"/>
          </w:tcPr>
          <w:p w14:paraId="2F16E32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5198" w:type="dxa"/>
            <w:shd w:val="clear" w:color="000000" w:fill="FFFFFF"/>
            <w:vAlign w:val="center"/>
          </w:tcPr>
          <w:p w14:paraId="7DE170F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实际完成率=（实际产出数/计划产出数）×100%。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实际产出数：一定时期（本年度或项目期）内项目实际产出的产品或提供的服务数量。</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计划产出数：项目绩效目标确定的在一定时期（本年度或项目期）内计划产出的产品或提供的服务数量。</w:t>
            </w:r>
          </w:p>
        </w:tc>
        <w:tc>
          <w:tcPr>
            <w:tcW w:w="1300" w:type="dxa"/>
            <w:shd w:val="clear" w:color="000000" w:fill="FFFFFF"/>
            <w:vAlign w:val="center"/>
          </w:tcPr>
          <w:p w14:paraId="77216F6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0B92AD4C">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3640F9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250067E2">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0A12260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产出质量</w:t>
            </w:r>
          </w:p>
        </w:tc>
        <w:tc>
          <w:tcPr>
            <w:tcW w:w="873" w:type="dxa"/>
            <w:shd w:val="clear" w:color="auto" w:fill="FFFFFF"/>
            <w:vAlign w:val="center"/>
          </w:tcPr>
          <w:p w14:paraId="7714C20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w:t>
            </w:r>
          </w:p>
        </w:tc>
        <w:tc>
          <w:tcPr>
            <w:tcW w:w="2353" w:type="dxa"/>
            <w:shd w:val="clear" w:color="000000" w:fill="FFFFFF"/>
            <w:vAlign w:val="center"/>
          </w:tcPr>
          <w:p w14:paraId="1E851D6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5198" w:type="dxa"/>
            <w:shd w:val="clear" w:color="000000" w:fill="FFFFFF"/>
            <w:vAlign w:val="center"/>
          </w:tcPr>
          <w:p w14:paraId="1EF6C69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质量达标率=（质量达标产出数/实际产出数）×100%。</w:t>
            </w:r>
          </w:p>
          <w:p w14:paraId="768EA62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175EF0A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127E83A3">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4C5BD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2342B13E">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2DCAED8D">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产出时效</w:t>
            </w:r>
          </w:p>
        </w:tc>
        <w:tc>
          <w:tcPr>
            <w:tcW w:w="873" w:type="dxa"/>
            <w:shd w:val="clear" w:color="auto" w:fill="FFFFFF"/>
            <w:vAlign w:val="center"/>
          </w:tcPr>
          <w:p w14:paraId="75B3E64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完成及时性</w:t>
            </w:r>
          </w:p>
        </w:tc>
        <w:tc>
          <w:tcPr>
            <w:tcW w:w="2353" w:type="dxa"/>
            <w:shd w:val="clear" w:color="000000" w:fill="FFFFFF"/>
            <w:vAlign w:val="center"/>
          </w:tcPr>
          <w:p w14:paraId="0B77DE3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5198" w:type="dxa"/>
            <w:shd w:val="clear" w:color="000000" w:fill="FFFFFF"/>
            <w:vAlign w:val="center"/>
          </w:tcPr>
          <w:p w14:paraId="35F4E39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实际完成时间：项目实施单位完成该项目实际所耗用的时间。</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计划完成时间：按照项目实施计划或相关规定完成该项目所需的时间。</w:t>
            </w:r>
          </w:p>
        </w:tc>
        <w:tc>
          <w:tcPr>
            <w:tcW w:w="1300" w:type="dxa"/>
            <w:shd w:val="clear" w:color="000000" w:fill="FFFFFF"/>
            <w:vAlign w:val="center"/>
          </w:tcPr>
          <w:p w14:paraId="6C2154C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3E279FBA">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5</w:t>
            </w:r>
          </w:p>
        </w:tc>
      </w:tr>
      <w:tr w14:paraId="549392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24618793">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15AA747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产出成本</w:t>
            </w:r>
          </w:p>
        </w:tc>
        <w:tc>
          <w:tcPr>
            <w:tcW w:w="873" w:type="dxa"/>
            <w:shd w:val="clear" w:color="auto" w:fill="FFFFFF"/>
            <w:vAlign w:val="center"/>
          </w:tcPr>
          <w:p w14:paraId="73FC355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成本节约率</w:t>
            </w:r>
          </w:p>
        </w:tc>
        <w:tc>
          <w:tcPr>
            <w:tcW w:w="2353" w:type="dxa"/>
            <w:shd w:val="clear" w:color="000000" w:fill="FFFFFF"/>
            <w:vAlign w:val="center"/>
          </w:tcPr>
          <w:p w14:paraId="18F7EB4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完成项目计划工作目标的实际节约成本与计划成本的比率，用以反映和考核项目的成本节约程度。</w:t>
            </w:r>
          </w:p>
        </w:tc>
        <w:tc>
          <w:tcPr>
            <w:tcW w:w="5198" w:type="dxa"/>
            <w:shd w:val="clear" w:color="000000" w:fill="FFFFFF"/>
            <w:vAlign w:val="center"/>
          </w:tcPr>
          <w:p w14:paraId="76EF693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成本节约率=[（计划成本-实际成本）/计划成本]×100%。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实际成本：项目实施单位如期、保质、保量完成既定工作目标实际所耗费的支出。</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计划成本：项目实施单位为完成工作目标计划安排的支出，一般以项目预算为参考。</w:t>
            </w:r>
          </w:p>
        </w:tc>
        <w:tc>
          <w:tcPr>
            <w:tcW w:w="1300" w:type="dxa"/>
            <w:shd w:val="clear" w:color="000000" w:fill="FFFFFF"/>
            <w:vAlign w:val="center"/>
          </w:tcPr>
          <w:p w14:paraId="712B06A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6F0BE426">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9.63</w:t>
            </w:r>
          </w:p>
        </w:tc>
      </w:tr>
      <w:tr w14:paraId="157B2B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725F2B1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效益　</w:t>
            </w:r>
          </w:p>
        </w:tc>
        <w:tc>
          <w:tcPr>
            <w:tcW w:w="764" w:type="dxa"/>
            <w:vMerge w:val="restart"/>
            <w:shd w:val="clear" w:color="auto" w:fill="FFFFFF"/>
            <w:vAlign w:val="center"/>
          </w:tcPr>
          <w:p w14:paraId="1FCC67D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项目效益　</w:t>
            </w:r>
          </w:p>
        </w:tc>
        <w:tc>
          <w:tcPr>
            <w:tcW w:w="873" w:type="dxa"/>
            <w:shd w:val="clear" w:color="auto" w:fill="FFFFFF"/>
            <w:vAlign w:val="center"/>
          </w:tcPr>
          <w:p w14:paraId="4E2FF74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实施效益</w:t>
            </w:r>
          </w:p>
        </w:tc>
        <w:tc>
          <w:tcPr>
            <w:tcW w:w="2353" w:type="dxa"/>
            <w:shd w:val="clear" w:color="auto" w:fill="FFFFFF"/>
            <w:vAlign w:val="center"/>
          </w:tcPr>
          <w:p w14:paraId="44907666">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项目实施所产生的效益。</w:t>
            </w:r>
          </w:p>
        </w:tc>
        <w:tc>
          <w:tcPr>
            <w:tcW w:w="5198" w:type="dxa"/>
            <w:shd w:val="clear" w:color="auto" w:fill="FFFFFF"/>
            <w:vAlign w:val="center"/>
          </w:tcPr>
          <w:p w14:paraId="6CD1E64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项目实施所产生的社会效益、经济效益、生态效益、可持续影响等。可根据项目实际情况有选择地设置和细化。</w:t>
            </w:r>
          </w:p>
        </w:tc>
        <w:tc>
          <w:tcPr>
            <w:tcW w:w="1300" w:type="dxa"/>
            <w:shd w:val="clear" w:color="auto" w:fill="FFFFFF"/>
            <w:vAlign w:val="center"/>
          </w:tcPr>
          <w:p w14:paraId="7FBE666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FFFFFF"/>
            <w:vAlign w:val="center"/>
          </w:tcPr>
          <w:p w14:paraId="4D8C9BB8">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393BAB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4139A574">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7D80BAB6">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5F06A5D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满意度</w:t>
            </w:r>
          </w:p>
        </w:tc>
        <w:tc>
          <w:tcPr>
            <w:tcW w:w="2353" w:type="dxa"/>
            <w:shd w:val="clear" w:color="000000" w:fill="FFFFFF"/>
            <w:vAlign w:val="center"/>
          </w:tcPr>
          <w:p w14:paraId="2503AEE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社会公众或服务对象对项目实施效果的满意程度。</w:t>
            </w:r>
          </w:p>
        </w:tc>
        <w:tc>
          <w:tcPr>
            <w:tcW w:w="5198" w:type="dxa"/>
            <w:shd w:val="clear" w:color="000000" w:fill="FFFFFF"/>
            <w:vAlign w:val="center"/>
          </w:tcPr>
          <w:p w14:paraId="2F08D44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社会公众或服务对象是指因该项目实施而受到影响的部门（单位）、群体或个人。一般采取社会调查的方式。</w:t>
            </w:r>
          </w:p>
        </w:tc>
        <w:tc>
          <w:tcPr>
            <w:tcW w:w="1300" w:type="dxa"/>
            <w:shd w:val="clear" w:color="000000" w:fill="FFFFFF"/>
            <w:vAlign w:val="center"/>
          </w:tcPr>
          <w:p w14:paraId="7EAE765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6A6561A2">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bl>
    <w:p w14:paraId="7C5CDDF4">
      <w:pPr>
        <w:rPr>
          <w:color w:val="000000" w:themeColor="text1"/>
          <w:highlight w:val="none"/>
          <w14:textFill>
            <w14:solidFill>
              <w14:schemeClr w14:val="tx1"/>
            </w14:solidFill>
          </w14:textFill>
        </w:rPr>
      </w:pPr>
    </w:p>
    <w:bookmarkEnd w:id="10"/>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328DD0F">
        <w:pPr>
          <w:pStyle w:val="7"/>
          <w:jc w:val="center"/>
        </w:pPr>
        <w:r>
          <w:fldChar w:fldCharType="begin"/>
        </w:r>
        <w:r>
          <w:instrText xml:space="preserve">PAGE   \* MERGEFORMAT</w:instrText>
        </w:r>
        <w:r>
          <w:fldChar w:fldCharType="separate"/>
        </w:r>
        <w:r>
          <w:rPr>
            <w:lang w:val="zh-CN"/>
          </w:rPr>
          <w:t>13</w:t>
        </w:r>
        <w:r>
          <w:fldChar w:fldCharType="end"/>
        </w:r>
      </w:p>
    </w:sdtContent>
  </w:sdt>
  <w:p w14:paraId="481EF4C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172A27"/>
    <w:rsid w:val="006F7242"/>
    <w:rsid w:val="007B168A"/>
    <w:rsid w:val="008B2CFE"/>
    <w:rsid w:val="00F26FF6"/>
    <w:rsid w:val="02DE4F7A"/>
    <w:rsid w:val="07397B77"/>
    <w:rsid w:val="13471461"/>
    <w:rsid w:val="13B90F01"/>
    <w:rsid w:val="15E96769"/>
    <w:rsid w:val="176913D6"/>
    <w:rsid w:val="181066D2"/>
    <w:rsid w:val="1BC125CF"/>
    <w:rsid w:val="1C671E73"/>
    <w:rsid w:val="2579020F"/>
    <w:rsid w:val="25DD6C5B"/>
    <w:rsid w:val="2A06253E"/>
    <w:rsid w:val="2AAA5340"/>
    <w:rsid w:val="2D04174E"/>
    <w:rsid w:val="2FB56378"/>
    <w:rsid w:val="38CA40DD"/>
    <w:rsid w:val="395F2B56"/>
    <w:rsid w:val="3B9257F6"/>
    <w:rsid w:val="3BECE841"/>
    <w:rsid w:val="3DCA55DA"/>
    <w:rsid w:val="3FF7797D"/>
    <w:rsid w:val="400E3A4B"/>
    <w:rsid w:val="441B2960"/>
    <w:rsid w:val="4D632776"/>
    <w:rsid w:val="4DB6345D"/>
    <w:rsid w:val="5AA8134E"/>
    <w:rsid w:val="5BFF6039"/>
    <w:rsid w:val="5D031A85"/>
    <w:rsid w:val="5D76A616"/>
    <w:rsid w:val="5D7F20B9"/>
    <w:rsid w:val="5DAC7D0E"/>
    <w:rsid w:val="5DD7491C"/>
    <w:rsid w:val="5E5F1000"/>
    <w:rsid w:val="5F98B5AF"/>
    <w:rsid w:val="5FFE8511"/>
    <w:rsid w:val="5FFEACE2"/>
    <w:rsid w:val="63D0156C"/>
    <w:rsid w:val="643EE26D"/>
    <w:rsid w:val="66100143"/>
    <w:rsid w:val="6D572E2F"/>
    <w:rsid w:val="6E121410"/>
    <w:rsid w:val="6F5C41AC"/>
    <w:rsid w:val="6FAF6C78"/>
    <w:rsid w:val="71F24DA4"/>
    <w:rsid w:val="7317C656"/>
    <w:rsid w:val="734ED73F"/>
    <w:rsid w:val="77FD8BE9"/>
    <w:rsid w:val="793C0810"/>
    <w:rsid w:val="79A9BD3F"/>
    <w:rsid w:val="79CC7BA5"/>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unhideWhenUsed/>
    <w:qFormat/>
    <w:uiPriority w:val="1"/>
  </w:style>
  <w:style w:type="table" w:default="1" w:styleId="13">
    <w:name w:val="Normal Table"/>
    <w:autoRedefine/>
    <w:unhideWhenUsed/>
    <w:qFormat/>
    <w:uiPriority w:val="99"/>
    <w:tblPr>
      <w:tblCellMar>
        <w:top w:w="0" w:type="dxa"/>
        <w:left w:w="108" w:type="dxa"/>
        <w:bottom w:w="0" w:type="dxa"/>
        <w:right w:w="108" w:type="dxa"/>
      </w:tblCellMar>
    </w:tblPr>
  </w:style>
  <w:style w:type="paragraph" w:styleId="3">
    <w:name w:val="annotation text"/>
    <w:basedOn w:val="1"/>
    <w:link w:val="21"/>
    <w:autoRedefine/>
    <w:qFormat/>
    <w:uiPriority w:val="0"/>
    <w:pPr>
      <w:jc w:val="left"/>
    </w:pPr>
  </w:style>
  <w:style w:type="paragraph" w:styleId="4">
    <w:name w:val="Body Text"/>
    <w:basedOn w:val="1"/>
    <w:autoRedefine/>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19"/>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3"/>
    <w:next w:val="3"/>
    <w:link w:val="22"/>
    <w:autoRedefine/>
    <w:qFormat/>
    <w:uiPriority w:val="0"/>
    <w:rPr>
      <w:b/>
      <w:bCs/>
    </w:rPr>
  </w:style>
  <w:style w:type="paragraph" w:styleId="11">
    <w:name w:val="Body Text First Indent"/>
    <w:basedOn w:val="4"/>
    <w:qFormat/>
    <w:uiPriority w:val="0"/>
    <w:pPr>
      <w:spacing w:after="0"/>
      <w:ind w:firstLine="200" w:firstLineChars="200"/>
    </w:pPr>
  </w:style>
  <w:style w:type="paragraph" w:styleId="12">
    <w:name w:val="Body Text First Indent 2"/>
    <w:basedOn w:val="5"/>
    <w:autoRedefine/>
    <w:qFormat/>
    <w:uiPriority w:val="0"/>
    <w:pPr>
      <w:ind w:firstLine="420" w:firstLineChars="200"/>
    </w:p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6"/>
    <w:autoRedefine/>
    <w:qFormat/>
    <w:uiPriority w:val="0"/>
    <w:rPr>
      <w:rFonts w:ascii="Times New Roman" w:hAnsi="Times New Roman" w:eastAsia="宋体" w:cs="Times New Roman"/>
      <w:kern w:val="2"/>
      <w:sz w:val="18"/>
      <w:szCs w:val="18"/>
    </w:rPr>
  </w:style>
  <w:style w:type="character" w:customStyle="1" w:styleId="20">
    <w:name w:val="页眉 字符"/>
    <w:basedOn w:val="14"/>
    <w:link w:val="8"/>
    <w:autoRedefine/>
    <w:qFormat/>
    <w:uiPriority w:val="0"/>
    <w:rPr>
      <w:rFonts w:ascii="Times New Roman" w:hAnsi="Times New Roman" w:eastAsia="宋体" w:cs="Times New Roman"/>
      <w:kern w:val="2"/>
      <w:sz w:val="18"/>
      <w:szCs w:val="18"/>
    </w:rPr>
  </w:style>
  <w:style w:type="character" w:customStyle="1" w:styleId="21">
    <w:name w:val="批注文字 字符"/>
    <w:basedOn w:val="14"/>
    <w:link w:val="3"/>
    <w:autoRedefine/>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10030</Words>
  <Characters>10599</Characters>
  <Lines>58</Lines>
  <Paragraphs>16</Paragraphs>
  <TotalTime>5</TotalTime>
  <ScaleCrop>false</ScaleCrop>
  <LinksUpToDate>false</LinksUpToDate>
  <CharactersWithSpaces>10630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2024-09-27T10:09:17Z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3AF3DB2D78D144CEA18EED499B5759C8</vt:lpwstr>
  </property>
</Properties>
</file>