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1E9ED5">
      <w:pPr>
        <w:spacing w:line="540" w:lineRule="exact"/>
        <w:jc w:val="center"/>
        <w:rPr>
          <w:rFonts w:eastAsia="华文中宋"/>
          <w:b/>
          <w:color w:val="auto"/>
          <w:kern w:val="0"/>
          <w:sz w:val="52"/>
          <w:szCs w:val="52"/>
          <w:highlight w:val="none"/>
        </w:rPr>
      </w:pPr>
    </w:p>
    <w:p w14:paraId="6926C149">
      <w:pPr>
        <w:spacing w:line="540" w:lineRule="exact"/>
        <w:rPr>
          <w:rFonts w:eastAsia="华文中宋"/>
          <w:b/>
          <w:color w:val="auto"/>
          <w:kern w:val="0"/>
          <w:sz w:val="52"/>
          <w:szCs w:val="52"/>
          <w:highlight w:val="none"/>
        </w:rPr>
      </w:pPr>
    </w:p>
    <w:p w14:paraId="06C4BF1E">
      <w:pPr>
        <w:spacing w:line="540" w:lineRule="exact"/>
        <w:jc w:val="center"/>
        <w:rPr>
          <w:rFonts w:eastAsia="华文中宋"/>
          <w:b/>
          <w:color w:val="auto"/>
          <w:kern w:val="0"/>
          <w:sz w:val="52"/>
          <w:szCs w:val="52"/>
          <w:highlight w:val="none"/>
        </w:rPr>
      </w:pPr>
    </w:p>
    <w:p w14:paraId="13CF8D75">
      <w:pPr>
        <w:spacing w:line="540" w:lineRule="exact"/>
        <w:jc w:val="center"/>
        <w:rPr>
          <w:rFonts w:eastAsia="华文中宋"/>
          <w:b/>
          <w:color w:val="auto"/>
          <w:kern w:val="0"/>
          <w:sz w:val="52"/>
          <w:szCs w:val="52"/>
          <w:highlight w:val="none"/>
        </w:rPr>
      </w:pPr>
    </w:p>
    <w:p w14:paraId="22629D52">
      <w:pPr>
        <w:spacing w:line="540" w:lineRule="exact"/>
        <w:jc w:val="center"/>
        <w:rPr>
          <w:rFonts w:eastAsia="华文中宋"/>
          <w:b/>
          <w:color w:val="auto"/>
          <w:kern w:val="0"/>
          <w:sz w:val="52"/>
          <w:szCs w:val="52"/>
          <w:highlight w:val="none"/>
        </w:rPr>
      </w:pPr>
      <w:r>
        <w:rPr>
          <w:rFonts w:hint="eastAsia" w:eastAsia="方正小标宋_GBK"/>
          <w:color w:val="auto"/>
          <w:kern w:val="0"/>
          <w:sz w:val="48"/>
          <w:szCs w:val="48"/>
          <w:highlight w:val="none"/>
          <w:lang w:eastAsia="zh-CN"/>
        </w:rPr>
        <w:t>奇台县2023年化解工程欠款</w:t>
      </w:r>
      <w:r>
        <w:rPr>
          <w:rFonts w:eastAsia="方正小标宋_GBK"/>
          <w:color w:val="auto"/>
          <w:kern w:val="0"/>
          <w:sz w:val="48"/>
          <w:szCs w:val="48"/>
          <w:highlight w:val="none"/>
        </w:rPr>
        <w:t>资金项目支出绩效评价报告</w:t>
      </w:r>
    </w:p>
    <w:p w14:paraId="53A71533">
      <w:pPr>
        <w:spacing w:line="540" w:lineRule="exact"/>
        <w:jc w:val="center"/>
        <w:rPr>
          <w:rFonts w:eastAsia="仿宋_GB2312"/>
          <w:color w:val="auto"/>
          <w:kern w:val="0"/>
          <w:sz w:val="30"/>
          <w:szCs w:val="30"/>
          <w:highlight w:val="none"/>
        </w:rPr>
      </w:pPr>
      <w:r>
        <w:rPr>
          <w:rFonts w:eastAsia="仿宋_GB2312"/>
          <w:color w:val="auto"/>
          <w:kern w:val="0"/>
          <w:sz w:val="36"/>
          <w:szCs w:val="36"/>
          <w:highlight w:val="none"/>
        </w:rPr>
        <w:t>（ 202</w:t>
      </w:r>
      <w:r>
        <w:rPr>
          <w:rFonts w:hint="eastAsia" w:eastAsia="仿宋_GB2312"/>
          <w:color w:val="auto"/>
          <w:kern w:val="0"/>
          <w:sz w:val="36"/>
          <w:szCs w:val="36"/>
          <w:highlight w:val="none"/>
          <w:lang w:val="en-US" w:eastAsia="zh-CN"/>
        </w:rPr>
        <w:t>3</w:t>
      </w:r>
      <w:r>
        <w:rPr>
          <w:rFonts w:eastAsia="仿宋_GB2312"/>
          <w:color w:val="auto"/>
          <w:kern w:val="0"/>
          <w:sz w:val="36"/>
          <w:szCs w:val="36"/>
          <w:highlight w:val="none"/>
        </w:rPr>
        <w:t>年度）</w:t>
      </w:r>
    </w:p>
    <w:p w14:paraId="0D57E7FF">
      <w:pPr>
        <w:keepNext w:val="0"/>
        <w:keepLines w:val="0"/>
        <w:pageBreakBefore w:val="0"/>
        <w:widowControl w:val="0"/>
        <w:kinsoku/>
        <w:wordWrap/>
        <w:overflowPunct/>
        <w:topLinePunct w:val="0"/>
        <w:autoSpaceDE/>
        <w:autoSpaceDN/>
        <w:bidi w:val="0"/>
        <w:adjustRightInd/>
        <w:snapToGrid/>
        <w:spacing w:line="660" w:lineRule="exact"/>
        <w:ind w:firstLine="1440" w:firstLineChars="400"/>
        <w:jc w:val="left"/>
        <w:textAlignment w:val="auto"/>
        <w:rPr>
          <w:rFonts w:eastAsia="仿宋_GB2312"/>
          <w:color w:val="auto"/>
          <w:kern w:val="0"/>
          <w:sz w:val="36"/>
          <w:szCs w:val="36"/>
          <w:highlight w:val="none"/>
        </w:rPr>
      </w:pPr>
    </w:p>
    <w:p w14:paraId="4469F68E">
      <w:pPr>
        <w:keepNext w:val="0"/>
        <w:keepLines w:val="0"/>
        <w:pageBreakBefore w:val="0"/>
        <w:widowControl w:val="0"/>
        <w:kinsoku/>
        <w:wordWrap/>
        <w:overflowPunct/>
        <w:topLinePunct w:val="0"/>
        <w:autoSpaceDE/>
        <w:autoSpaceDN/>
        <w:bidi w:val="0"/>
        <w:adjustRightInd/>
        <w:snapToGrid/>
        <w:spacing w:line="660" w:lineRule="exact"/>
        <w:ind w:firstLine="1440" w:firstLineChars="400"/>
        <w:jc w:val="left"/>
        <w:textAlignment w:val="auto"/>
        <w:rPr>
          <w:rFonts w:eastAsia="仿宋_GB2312"/>
          <w:color w:val="auto"/>
          <w:kern w:val="0"/>
          <w:sz w:val="36"/>
          <w:szCs w:val="36"/>
          <w:highlight w:val="none"/>
        </w:rPr>
      </w:pPr>
    </w:p>
    <w:p w14:paraId="2F961B15">
      <w:pPr>
        <w:keepNext w:val="0"/>
        <w:keepLines w:val="0"/>
        <w:pageBreakBefore w:val="0"/>
        <w:widowControl w:val="0"/>
        <w:kinsoku/>
        <w:wordWrap/>
        <w:overflowPunct/>
        <w:topLinePunct w:val="0"/>
        <w:autoSpaceDE/>
        <w:autoSpaceDN/>
        <w:bidi w:val="0"/>
        <w:adjustRightInd/>
        <w:snapToGrid/>
        <w:spacing w:line="660" w:lineRule="exact"/>
        <w:ind w:firstLine="1440" w:firstLineChars="400"/>
        <w:jc w:val="left"/>
        <w:textAlignment w:val="auto"/>
        <w:rPr>
          <w:rFonts w:hint="default" w:eastAsia="仿宋_GB2312"/>
          <w:color w:val="auto"/>
          <w:kern w:val="0"/>
          <w:sz w:val="36"/>
          <w:szCs w:val="36"/>
          <w:highlight w:val="none"/>
          <w:lang w:val="en-US" w:eastAsia="zh-CN"/>
        </w:rPr>
      </w:pPr>
      <w:r>
        <w:rPr>
          <w:rFonts w:eastAsia="仿宋_GB2312"/>
          <w:color w:val="auto"/>
          <w:kern w:val="0"/>
          <w:sz w:val="36"/>
          <w:szCs w:val="36"/>
          <w:highlight w:val="none"/>
        </w:rPr>
        <w:t>项目名称：</w:t>
      </w:r>
      <w:r>
        <w:rPr>
          <w:rFonts w:hint="eastAsia" w:eastAsia="仿宋_GB2312"/>
          <w:color w:val="auto"/>
          <w:kern w:val="0"/>
          <w:sz w:val="36"/>
          <w:szCs w:val="36"/>
          <w:highlight w:val="none"/>
          <w:lang w:eastAsia="zh-CN"/>
        </w:rPr>
        <w:t>奇台县2023年化解工程欠款</w:t>
      </w:r>
    </w:p>
    <w:p w14:paraId="797E9AF3">
      <w:pPr>
        <w:keepNext w:val="0"/>
        <w:keepLines w:val="0"/>
        <w:pageBreakBefore w:val="0"/>
        <w:widowControl w:val="0"/>
        <w:kinsoku/>
        <w:wordWrap/>
        <w:overflowPunct/>
        <w:topLinePunct w:val="0"/>
        <w:autoSpaceDE/>
        <w:autoSpaceDN/>
        <w:bidi w:val="0"/>
        <w:adjustRightInd/>
        <w:snapToGrid/>
        <w:spacing w:line="660" w:lineRule="exact"/>
        <w:ind w:firstLine="1440" w:firstLineChars="400"/>
        <w:jc w:val="left"/>
        <w:textAlignment w:val="auto"/>
        <w:rPr>
          <w:rFonts w:hint="eastAsia" w:eastAsia="仿宋_GB2312"/>
          <w:color w:val="auto"/>
          <w:kern w:val="0"/>
          <w:sz w:val="36"/>
          <w:szCs w:val="36"/>
          <w:highlight w:val="none"/>
          <w:lang w:eastAsia="zh-CN"/>
        </w:rPr>
      </w:pPr>
      <w:r>
        <w:rPr>
          <w:rFonts w:eastAsia="仿宋_GB2312"/>
          <w:color w:val="auto"/>
          <w:kern w:val="0"/>
          <w:sz w:val="36"/>
          <w:szCs w:val="36"/>
          <w:highlight w:val="none"/>
        </w:rPr>
        <w:t>实施单位（公章）：</w:t>
      </w:r>
      <w:r>
        <w:rPr>
          <w:rFonts w:hint="eastAsia" w:eastAsia="仿宋_GB2312"/>
          <w:color w:val="auto"/>
          <w:kern w:val="0"/>
          <w:sz w:val="36"/>
          <w:szCs w:val="36"/>
          <w:highlight w:val="none"/>
          <w:lang w:eastAsia="zh-CN"/>
        </w:rPr>
        <w:t>奇台县项目代建管理局</w:t>
      </w:r>
    </w:p>
    <w:p w14:paraId="0325991E">
      <w:pPr>
        <w:keepNext w:val="0"/>
        <w:keepLines w:val="0"/>
        <w:pageBreakBefore w:val="0"/>
        <w:widowControl w:val="0"/>
        <w:kinsoku/>
        <w:wordWrap/>
        <w:overflowPunct/>
        <w:topLinePunct w:val="0"/>
        <w:autoSpaceDE/>
        <w:autoSpaceDN/>
        <w:bidi w:val="0"/>
        <w:adjustRightInd/>
        <w:snapToGrid/>
        <w:spacing w:line="660" w:lineRule="exact"/>
        <w:ind w:firstLine="1440" w:firstLineChars="400"/>
        <w:jc w:val="left"/>
        <w:textAlignment w:val="auto"/>
        <w:rPr>
          <w:rFonts w:hint="eastAsia" w:eastAsia="仿宋_GB2312"/>
          <w:color w:val="auto"/>
          <w:kern w:val="0"/>
          <w:sz w:val="36"/>
          <w:szCs w:val="36"/>
          <w:highlight w:val="none"/>
          <w:lang w:eastAsia="zh-CN"/>
        </w:rPr>
      </w:pPr>
      <w:r>
        <w:rPr>
          <w:rFonts w:eastAsia="仿宋_GB2312"/>
          <w:color w:val="auto"/>
          <w:kern w:val="0"/>
          <w:sz w:val="36"/>
          <w:szCs w:val="36"/>
          <w:highlight w:val="none"/>
        </w:rPr>
        <w:t>主管部门（公章）：</w:t>
      </w:r>
      <w:r>
        <w:rPr>
          <w:rFonts w:hint="eastAsia" w:eastAsia="仿宋_GB2312"/>
          <w:color w:val="auto"/>
          <w:kern w:val="0"/>
          <w:sz w:val="36"/>
          <w:szCs w:val="36"/>
          <w:highlight w:val="none"/>
          <w:lang w:eastAsia="zh-CN"/>
        </w:rPr>
        <w:t>奇台县项目代建管理局</w:t>
      </w:r>
    </w:p>
    <w:p w14:paraId="1AD980F8">
      <w:pPr>
        <w:keepNext w:val="0"/>
        <w:keepLines w:val="0"/>
        <w:pageBreakBefore w:val="0"/>
        <w:widowControl w:val="0"/>
        <w:kinsoku/>
        <w:wordWrap/>
        <w:overflowPunct/>
        <w:topLinePunct w:val="0"/>
        <w:autoSpaceDE/>
        <w:autoSpaceDN/>
        <w:bidi w:val="0"/>
        <w:adjustRightInd/>
        <w:snapToGrid/>
        <w:spacing w:line="660" w:lineRule="exact"/>
        <w:ind w:firstLine="1440" w:firstLineChars="400"/>
        <w:jc w:val="left"/>
        <w:textAlignment w:val="auto"/>
        <w:rPr>
          <w:rFonts w:hint="eastAsia" w:eastAsia="仿宋_GB2312"/>
          <w:color w:val="auto"/>
          <w:kern w:val="0"/>
          <w:sz w:val="36"/>
          <w:szCs w:val="36"/>
          <w:highlight w:val="none"/>
          <w:lang w:eastAsia="zh-CN"/>
        </w:rPr>
      </w:pPr>
      <w:r>
        <w:rPr>
          <w:rFonts w:eastAsia="仿宋_GB2312"/>
          <w:color w:val="auto"/>
          <w:kern w:val="0"/>
          <w:sz w:val="36"/>
          <w:szCs w:val="36"/>
          <w:highlight w:val="none"/>
        </w:rPr>
        <w:t>项目负责人（签章）：</w:t>
      </w:r>
      <w:r>
        <w:rPr>
          <w:rFonts w:hint="eastAsia" w:eastAsia="仿宋_GB2312"/>
          <w:color w:val="auto"/>
          <w:kern w:val="0"/>
          <w:sz w:val="36"/>
          <w:szCs w:val="36"/>
          <w:highlight w:val="none"/>
          <w:lang w:eastAsia="zh-CN"/>
        </w:rPr>
        <w:t>苗城榕</w:t>
      </w:r>
    </w:p>
    <w:p w14:paraId="1B87E8BF">
      <w:pPr>
        <w:keepNext w:val="0"/>
        <w:keepLines w:val="0"/>
        <w:pageBreakBefore w:val="0"/>
        <w:widowControl w:val="0"/>
        <w:kinsoku/>
        <w:wordWrap/>
        <w:overflowPunct/>
        <w:topLinePunct w:val="0"/>
        <w:autoSpaceDE/>
        <w:autoSpaceDN/>
        <w:bidi w:val="0"/>
        <w:adjustRightInd/>
        <w:snapToGrid/>
        <w:spacing w:line="660" w:lineRule="exact"/>
        <w:ind w:firstLine="1440" w:firstLineChars="400"/>
        <w:jc w:val="left"/>
        <w:textAlignment w:val="auto"/>
        <w:rPr>
          <w:rFonts w:hint="eastAsia" w:eastAsia="仿宋_GB2312"/>
          <w:color w:val="auto"/>
          <w:kern w:val="0"/>
          <w:sz w:val="36"/>
          <w:szCs w:val="36"/>
          <w:highlight w:val="none"/>
          <w:lang w:eastAsia="zh-CN"/>
        </w:rPr>
      </w:pPr>
      <w:r>
        <w:rPr>
          <w:rFonts w:eastAsia="仿宋_GB2312"/>
          <w:color w:val="auto"/>
          <w:kern w:val="0"/>
          <w:sz w:val="36"/>
          <w:szCs w:val="36"/>
          <w:highlight w:val="none"/>
        </w:rPr>
        <w:t>填报时间：</w:t>
      </w:r>
      <w:r>
        <w:rPr>
          <w:rFonts w:hint="eastAsia" w:eastAsia="仿宋_GB2312"/>
          <w:color w:val="auto"/>
          <w:kern w:val="0"/>
          <w:sz w:val="36"/>
          <w:szCs w:val="36"/>
          <w:highlight w:val="none"/>
          <w:lang w:val="en-US" w:eastAsia="zh-CN"/>
        </w:rPr>
        <w:t>2024</w:t>
      </w:r>
      <w:r>
        <w:rPr>
          <w:rFonts w:eastAsia="仿宋_GB2312"/>
          <w:color w:val="auto"/>
          <w:kern w:val="0"/>
          <w:sz w:val="36"/>
          <w:szCs w:val="36"/>
          <w:highlight w:val="none"/>
        </w:rPr>
        <w:t>年</w:t>
      </w:r>
      <w:r>
        <w:rPr>
          <w:rFonts w:hint="eastAsia" w:eastAsia="仿宋_GB2312"/>
          <w:color w:val="auto"/>
          <w:kern w:val="0"/>
          <w:sz w:val="36"/>
          <w:szCs w:val="36"/>
          <w:highlight w:val="none"/>
          <w:lang w:val="en-US" w:eastAsia="zh-CN"/>
        </w:rPr>
        <w:t>4</w:t>
      </w:r>
      <w:r>
        <w:rPr>
          <w:rFonts w:eastAsia="仿宋_GB2312"/>
          <w:color w:val="auto"/>
          <w:kern w:val="0"/>
          <w:sz w:val="36"/>
          <w:szCs w:val="36"/>
          <w:highlight w:val="none"/>
        </w:rPr>
        <w:t>月</w:t>
      </w:r>
      <w:r>
        <w:rPr>
          <w:rFonts w:hint="eastAsia" w:eastAsia="仿宋_GB2312"/>
          <w:color w:val="auto"/>
          <w:kern w:val="0"/>
          <w:sz w:val="36"/>
          <w:szCs w:val="36"/>
          <w:highlight w:val="none"/>
          <w:lang w:val="en-US" w:eastAsia="zh-CN"/>
        </w:rPr>
        <w:t>16</w:t>
      </w:r>
      <w:r>
        <w:rPr>
          <w:rFonts w:eastAsia="仿宋_GB2312"/>
          <w:color w:val="auto"/>
          <w:kern w:val="0"/>
          <w:sz w:val="36"/>
          <w:szCs w:val="36"/>
          <w:highlight w:val="none"/>
        </w:rPr>
        <w:t>日</w:t>
      </w:r>
    </w:p>
    <w:p w14:paraId="57301E3F">
      <w:pPr>
        <w:spacing w:line="560" w:lineRule="exact"/>
        <w:rPr>
          <w:rFonts w:eastAsia="黑体"/>
          <w:bCs/>
          <w:color w:val="auto"/>
          <w:sz w:val="32"/>
          <w:szCs w:val="32"/>
          <w:highlight w:val="none"/>
        </w:rPr>
        <w:sectPr>
          <w:footerReference r:id="rId3" w:type="default"/>
          <w:pgSz w:w="11906" w:h="16838"/>
          <w:pgMar w:top="1440" w:right="1558" w:bottom="1440" w:left="1800" w:header="851" w:footer="992" w:gutter="0"/>
          <w:cols w:space="425" w:num="1"/>
          <w:docGrid w:type="lines" w:linePitch="312" w:charSpace="0"/>
        </w:sectPr>
      </w:pPr>
    </w:p>
    <w:p w14:paraId="597D2CC1">
      <w:pPr>
        <w:spacing w:line="560" w:lineRule="exact"/>
        <w:rPr>
          <w:rFonts w:eastAsia="黑体"/>
          <w:bCs/>
          <w:color w:val="auto"/>
          <w:sz w:val="32"/>
          <w:szCs w:val="32"/>
          <w:highlight w:val="none"/>
        </w:rPr>
      </w:pPr>
      <w:r>
        <w:rPr>
          <w:rFonts w:eastAsia="黑体"/>
          <w:bCs/>
          <w:color w:val="auto"/>
          <w:sz w:val="32"/>
          <w:szCs w:val="32"/>
          <w:highlight w:val="none"/>
        </w:rPr>
        <w:t>一、基本情况</w:t>
      </w:r>
    </w:p>
    <w:p w14:paraId="3C018520">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（一）项目概况</w:t>
      </w:r>
    </w:p>
    <w:p w14:paraId="055B2EDA">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1、项目背景</w:t>
      </w:r>
    </w:p>
    <w:p w14:paraId="49FB67D4">
      <w:pPr>
        <w:pStyle w:val="2"/>
        <w:jc w:val="both"/>
        <w:rPr>
          <w:rFonts w:hint="default"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color w:val="auto"/>
          <w:highlight w:val="none"/>
          <w:lang w:val="en-US" w:eastAsia="zh-CN"/>
        </w:rPr>
        <w:t xml:space="preserve">    </w:t>
      </w:r>
      <w:r>
        <w:rPr>
          <w:rFonts w:hint="eastAsia" w:ascii="仿宋_GB2312" w:hAnsi="仿宋_GB2312" w:eastAsia="仿宋_GB2312" w:cs="仿宋_GB2312"/>
          <w:b w:val="0"/>
          <w:bCs w:val="0"/>
          <w:color w:val="auto"/>
          <w:highlight w:val="none"/>
          <w:lang w:val="en-US" w:eastAsia="zh-CN"/>
        </w:rPr>
        <w:t>根据奇台县2023年中小企业欠款项目化解专项行动的要求，关于奇台县2023年化解工程欠款（信访）的通知、昌州财预【2023】28号 党校学员楼网架工程质保金、奇台县2023年11月中小企业欠款项目化解（第一批）、奇台县2023年12月中小企业欠款项目化解（第三批）、奇台县2023年中小企业债务项目化解</w:t>
      </w:r>
      <w:bookmarkStart w:id="9" w:name="_GoBack"/>
      <w:bookmarkEnd w:id="9"/>
      <w:r>
        <w:rPr>
          <w:rFonts w:hint="eastAsia" w:ascii="仿宋_GB2312" w:hAnsi="仿宋_GB2312" w:eastAsia="仿宋_GB2312" w:cs="仿宋_GB2312"/>
          <w:b w:val="0"/>
          <w:bCs w:val="0"/>
          <w:color w:val="auto"/>
          <w:highlight w:val="none"/>
          <w:lang w:val="en-US" w:eastAsia="zh-CN"/>
        </w:rPr>
        <w:t>（第八批）资产抵顶（第五批）和现金支付，主要为了支付奇台县2014水磨河综合治理项目一期（续建工程）、水磨河绿地景观工程二期（健康路-文化路桥段）、奇台县中等职业技术学院主教学楼和人民公园展厅外立面改造工程工程款及奇台县党校学员楼网架工程质保金，主要减轻了施工企业的资金压力，消除了信访隐患，增加了服务对象的满意度，优化了奇台县营商环境。</w:t>
      </w:r>
    </w:p>
    <w:p w14:paraId="788FA38B">
      <w:pPr>
        <w:pStyle w:val="2"/>
        <w:numPr>
          <w:ilvl w:val="0"/>
          <w:numId w:val="1"/>
        </w:numPr>
        <w:spacing w:before="0" w:after="0" w:line="560" w:lineRule="exact"/>
        <w:ind w:firstLine="643" w:firstLineChars="200"/>
        <w:jc w:val="both"/>
        <w:rPr>
          <w:rFonts w:ascii="Times New Roman" w:hAnsi="Times New Roman" w:eastAsia="仿宋_GB2312"/>
          <w:color w:val="auto"/>
          <w:kern w:val="2"/>
          <w:highlight w:val="none"/>
        </w:rPr>
      </w:pPr>
      <w:r>
        <w:rPr>
          <w:rFonts w:ascii="Times New Roman" w:hAnsi="Times New Roman" w:eastAsia="仿宋_GB2312"/>
          <w:color w:val="auto"/>
          <w:kern w:val="2"/>
          <w:highlight w:val="none"/>
        </w:rPr>
        <w:t>项目主要内容：</w:t>
      </w:r>
    </w:p>
    <w:p w14:paraId="70BE43FE">
      <w:pPr>
        <w:spacing w:line="560" w:lineRule="exact"/>
        <w:ind w:firstLine="640" w:firstLineChars="200"/>
        <w:rPr>
          <w:rFonts w:hint="default" w:eastAsia="黑体"/>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项目主要内容：支付</w:t>
      </w:r>
      <w:r>
        <w:rPr>
          <w:rFonts w:hint="eastAsia" w:ascii="仿宋_GB2312" w:hAnsi="仿宋_GB2312" w:eastAsia="仿宋_GB2312" w:cs="仿宋_GB2312"/>
          <w:b w:val="0"/>
          <w:bCs w:val="0"/>
          <w:color w:val="auto"/>
          <w:sz w:val="32"/>
          <w:szCs w:val="32"/>
          <w:highlight w:val="none"/>
          <w:lang w:val="en-US" w:eastAsia="zh-CN"/>
        </w:rPr>
        <w:t>奇台县2014水磨河综合治理项目一期（续建工程）、水磨河绿地景观工程二期（健康路-文化路桥段）、奇台县中等职业技术学院主教学楼和人民公园展厅外立面改造工程工程款及奇台县党校学员楼网架工程质保金，共计96.20万元。</w:t>
      </w:r>
    </w:p>
    <w:p w14:paraId="69E81859">
      <w:pPr>
        <w:spacing w:line="560" w:lineRule="exact"/>
        <w:ind w:firstLine="640" w:firstLineChars="200"/>
        <w:rPr>
          <w:rFonts w:hint="default"/>
          <w:color w:val="auto"/>
          <w:highlight w:val="none"/>
          <w:lang w:val="en-US"/>
        </w:rPr>
      </w:pPr>
      <w:r>
        <w:rPr>
          <w:rFonts w:eastAsia="仿宋_GB2312"/>
          <w:color w:val="auto"/>
          <w:sz w:val="32"/>
          <w:szCs w:val="32"/>
          <w:highlight w:val="none"/>
        </w:rPr>
        <w:t>项目实施情况：项目目前已经完成实际设立的目标</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支付债务13笔</w:t>
      </w:r>
      <w:r>
        <w:rPr>
          <w:rFonts w:eastAsia="仿宋_GB2312"/>
          <w:color w:val="auto"/>
          <w:sz w:val="32"/>
          <w:szCs w:val="32"/>
          <w:highlight w:val="none"/>
        </w:rPr>
        <w:t>，项目在实施过程中严格按照目标设立的各阶段任务进行开展工作</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债务资金支付完成率100%，债务还款准确率100%，债务资金按期支付率100%，保障了单位良好信用，服务对象满意度超过95%。</w:t>
      </w:r>
    </w:p>
    <w:p w14:paraId="0E5E7957">
      <w:pPr>
        <w:spacing w:line="560" w:lineRule="exact"/>
        <w:ind w:firstLine="643" w:firstLineChars="200"/>
        <w:rPr>
          <w:rFonts w:eastAsia="仿宋_GB2312"/>
          <w:b/>
          <w:bCs/>
          <w:color w:val="auto"/>
          <w:sz w:val="32"/>
          <w:szCs w:val="32"/>
          <w:highlight w:val="none"/>
        </w:rPr>
      </w:pPr>
      <w:r>
        <w:rPr>
          <w:rFonts w:eastAsia="仿宋_GB2312"/>
          <w:b/>
          <w:bCs/>
          <w:color w:val="auto"/>
          <w:sz w:val="32"/>
          <w:szCs w:val="32"/>
          <w:highlight w:val="none"/>
        </w:rPr>
        <w:t>3、资金投入和使用情况</w:t>
      </w:r>
    </w:p>
    <w:p w14:paraId="07AE449D">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（1）资金投入情况</w:t>
      </w:r>
    </w:p>
    <w:p w14:paraId="4AE7141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该项目年初预算数5万元，全年预算数969.29万元，实际总投入969.29万元，该项目资金已全部落实到位，资金来源为当年预算收入。</w:t>
      </w:r>
    </w:p>
    <w:p w14:paraId="552EDC6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（2）资金使用情况</w:t>
      </w:r>
    </w:p>
    <w:p w14:paraId="1BB46326">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该项目年初预算数5万元，全年预算数969.29万元,，全年执行数969.20万元，预算执行率为99%，主要用于：化解</w:t>
      </w:r>
      <w:r>
        <w:rPr>
          <w:rFonts w:hint="eastAsia" w:ascii="仿宋_GB2312" w:hAnsi="仿宋_GB2312" w:eastAsia="仿宋_GB2312" w:cs="仿宋_GB2312"/>
          <w:b w:val="0"/>
          <w:bCs w:val="0"/>
          <w:color w:val="auto"/>
          <w:sz w:val="32"/>
          <w:szCs w:val="32"/>
          <w:highlight w:val="none"/>
          <w:lang w:val="en-US" w:eastAsia="zh-CN"/>
        </w:rPr>
        <w:t>奇台县2014水磨河综合治理项目一期（续建工程）、水</w:t>
      </w:r>
      <w:r>
        <w:rPr>
          <w:rFonts w:hint="eastAsia" w:ascii="仿宋_GB2312" w:hAnsi="仿宋_GB2312" w:eastAsia="仿宋_GB2312" w:cs="仿宋_GB2312"/>
          <w:b w:val="0"/>
          <w:bCs w:val="0"/>
          <w:color w:val="auto"/>
          <w:sz w:val="32"/>
          <w:szCs w:val="32"/>
          <w:highlight w:val="none"/>
          <w:lang w:val="en-US" w:eastAsia="zh-CN"/>
        </w:rPr>
        <w:t>磨河绿地景观工程二期（健康路-文化路桥段）、奇台县中等职业技术学院主教学楼和人民公园展厅外立面改造工程工程款及退还奇台县党校学员楼网架工程质保金的债务</w:t>
      </w:r>
      <w:r>
        <w:rPr>
          <w:rFonts w:hint="eastAsia" w:ascii="仿宋_GB2312" w:hAnsi="仿宋_GB2312" w:eastAsia="仿宋_GB2312" w:cs="仿宋_GB2312"/>
          <w:color w:val="auto"/>
          <w:sz w:val="32"/>
          <w:szCs w:val="32"/>
          <w:highlight w:val="none"/>
          <w:lang w:val="en-US" w:eastAsia="zh-CN"/>
        </w:rPr>
        <w:t>。</w:t>
      </w:r>
    </w:p>
    <w:p w14:paraId="4C76EC9A">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（二）项目绩效目标</w:t>
      </w:r>
    </w:p>
    <w:p w14:paraId="693687CD">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1、总体目标</w:t>
      </w:r>
    </w:p>
    <w:p w14:paraId="21DBAA1B">
      <w:pPr>
        <w:spacing w:line="560" w:lineRule="exact"/>
        <w:ind w:firstLine="640" w:firstLineChars="200"/>
        <w:rPr>
          <w:rFonts w:hint="default" w:eastAsia="黑体"/>
          <w:color w:val="auto"/>
          <w:highlight w:val="none"/>
          <w:lang w:val="en-US" w:eastAsia="zh-CN"/>
        </w:rPr>
      </w:pPr>
      <w:r>
        <w:rPr>
          <w:rFonts w:hint="eastAsia" w:ascii="仿宋_GB2312" w:hAnsi="仿宋_GB2312" w:eastAsia="仿宋_GB2312" w:cs="仿宋_GB2312"/>
          <w:color w:val="auto"/>
          <w:sz w:val="32"/>
          <w:szCs w:val="32"/>
          <w:highlight w:val="none"/>
          <w:lang w:val="en-US" w:eastAsia="zh-CN"/>
        </w:rPr>
        <w:t>支付</w:t>
      </w:r>
      <w:r>
        <w:rPr>
          <w:rFonts w:hint="eastAsia" w:ascii="仿宋_GB2312" w:hAnsi="仿宋_GB2312" w:eastAsia="仿宋_GB2312" w:cs="仿宋_GB2312"/>
          <w:b w:val="0"/>
          <w:bCs w:val="0"/>
          <w:color w:val="auto"/>
          <w:sz w:val="32"/>
          <w:szCs w:val="32"/>
          <w:highlight w:val="none"/>
          <w:lang w:val="en-US" w:eastAsia="zh-CN"/>
        </w:rPr>
        <w:t>奇台县2014水磨河综合治理项目一期（续建工程）、水磨河绿地景观工程二期（健康路-文化路桥段）、奇台县中等职业技术学院主教学楼和人民公园展厅外立面改造工程工程款及退还奇台县党校学员楼网架工程质保金，共计96.20万元。</w:t>
      </w:r>
      <w:r>
        <w:rPr>
          <w:rFonts w:hint="eastAsia" w:eastAsia="仿宋_GB2312"/>
          <w:color w:val="auto"/>
          <w:sz w:val="32"/>
          <w:szCs w:val="32"/>
          <w:highlight w:val="none"/>
          <w:lang w:val="en-US" w:eastAsia="zh-CN"/>
        </w:rPr>
        <w:t>支付债务13笔</w:t>
      </w:r>
      <w:r>
        <w:rPr>
          <w:rFonts w:eastAsia="仿宋_GB2312"/>
          <w:color w:val="auto"/>
          <w:sz w:val="32"/>
          <w:szCs w:val="32"/>
          <w:highlight w:val="none"/>
        </w:rPr>
        <w:t>，项目在实施过程中严格按照目标设立的各阶段任务进行开展工作</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债务资金支付完成率100%，债务还款准确率100%，债务资金按期支付率100%，保障了单位良好信用，服务对象满意度超过95%。</w:t>
      </w:r>
    </w:p>
    <w:p w14:paraId="2DE3D2DF">
      <w:pPr>
        <w:spacing w:line="560" w:lineRule="exact"/>
        <w:ind w:firstLine="640" w:firstLineChars="200"/>
        <w:rPr>
          <w:rFonts w:hint="eastAsia" w:eastAsia="黑体"/>
          <w:b w:val="0"/>
          <w:bCs/>
          <w:color w:val="auto"/>
          <w:highlight w:val="none"/>
          <w:lang w:eastAsia="zh-CN"/>
        </w:rPr>
      </w:pPr>
      <w:r>
        <w:rPr>
          <w:rFonts w:eastAsia="仿宋_GB2312"/>
          <w:color w:val="auto"/>
          <w:sz w:val="32"/>
          <w:szCs w:val="32"/>
          <w:highlight w:val="none"/>
        </w:rPr>
        <w:t>2、阶段性目标</w:t>
      </w:r>
      <w:r>
        <w:rPr>
          <w:rFonts w:hint="eastAsia" w:eastAsia="仿宋_GB2312"/>
          <w:color w:val="auto"/>
          <w:sz w:val="32"/>
          <w:szCs w:val="32"/>
          <w:highlight w:val="none"/>
          <w:lang w:eastAsia="zh-CN"/>
        </w:rPr>
        <w:t>，</w:t>
      </w:r>
      <w:r>
        <w:rPr>
          <w:rFonts w:hint="eastAsia" w:eastAsia="仿宋_GB2312"/>
          <w:color w:val="auto"/>
          <w:sz w:val="32"/>
          <w:szCs w:val="32"/>
          <w:highlight w:val="none"/>
          <w:lang w:val="en-US" w:eastAsia="zh-CN"/>
        </w:rPr>
        <w:t>支付</w:t>
      </w:r>
      <w:r>
        <w:rPr>
          <w:rFonts w:hint="eastAsia" w:ascii="仿宋_GB2312" w:hAnsi="仿宋_GB2312" w:eastAsia="仿宋_GB2312" w:cs="仿宋_GB2312"/>
          <w:b w:val="0"/>
          <w:bCs w:val="0"/>
          <w:color w:val="auto"/>
          <w:sz w:val="32"/>
          <w:szCs w:val="32"/>
          <w:highlight w:val="none"/>
          <w:lang w:val="en-US" w:eastAsia="zh-CN"/>
        </w:rPr>
        <w:t>水磨河绿地景观工程二期（健康路-文化路桥段）、奇台县中等职业技术学院主教学楼和人民公园展厅外立面改造工程审计费及退还奇台县党校学员楼网架工程质保金共计5万元。</w:t>
      </w:r>
    </w:p>
    <w:p w14:paraId="3788C8D5">
      <w:pPr>
        <w:spacing w:line="560" w:lineRule="exact"/>
        <w:ind w:firstLine="640" w:firstLineChars="200"/>
        <w:rPr>
          <w:rFonts w:eastAsia="黑体"/>
          <w:color w:val="auto"/>
          <w:sz w:val="32"/>
          <w:szCs w:val="32"/>
          <w:highlight w:val="none"/>
        </w:rPr>
      </w:pPr>
      <w:r>
        <w:rPr>
          <w:rFonts w:eastAsia="黑体"/>
          <w:color w:val="auto"/>
          <w:sz w:val="32"/>
          <w:szCs w:val="32"/>
          <w:highlight w:val="none"/>
        </w:rPr>
        <w:t>二、绩效评价工作开展情况</w:t>
      </w:r>
    </w:p>
    <w:p w14:paraId="41B7A749">
      <w:p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（一）绩效评价目的、对象和范围</w:t>
      </w:r>
    </w:p>
    <w:p w14:paraId="56EA1A80">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1、绩效评价的目的</w:t>
      </w:r>
    </w:p>
    <w:p w14:paraId="74FF67B9">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39911E44">
      <w:pPr>
        <w:numPr>
          <w:ilvl w:val="0"/>
          <w:numId w:val="2"/>
        </w:num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项目在实施前向项目负责人提供财政支出绩效方面的资金管理信息，促进项目支出严格按照资金管理规定进行。</w:t>
      </w:r>
    </w:p>
    <w:p w14:paraId="78E40570">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（2）项目绩效管理财政支出运行提供及时、有效的信息。</w:t>
      </w:r>
    </w:p>
    <w:p w14:paraId="23D91285">
      <w:pPr>
        <w:pStyle w:val="18"/>
        <w:spacing w:line="560" w:lineRule="exact"/>
        <w:ind w:firstLine="640" w:firstLineChars="200"/>
        <w:rPr>
          <w:rFonts w:eastAsia="方正仿宋_GBK" w:cs="方正仿宋_GBK"/>
          <w:color w:val="auto"/>
          <w:sz w:val="32"/>
          <w:szCs w:val="32"/>
          <w:highlight w:val="none"/>
        </w:rPr>
      </w:pPr>
      <w:r>
        <w:rPr>
          <w:rFonts w:eastAsia="仿宋_GB2312"/>
          <w:color w:val="auto"/>
          <w:sz w:val="32"/>
          <w:szCs w:val="32"/>
          <w:highlight w:val="none"/>
        </w:rPr>
        <w:t>综合来看，通过开展有效的财政支出绩效评价管理，</w:t>
      </w:r>
      <w:r>
        <w:rPr>
          <w:rFonts w:hint="eastAsia" w:eastAsia="仿宋_GB2312"/>
          <w:color w:val="auto"/>
          <w:sz w:val="32"/>
          <w:szCs w:val="32"/>
          <w:highlight w:val="none"/>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C5BBD25">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2、绩效评价的对象</w:t>
      </w:r>
    </w:p>
    <w:p w14:paraId="586E5B1F">
      <w:pPr>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奇台县2023年化解工程欠款</w:t>
      </w:r>
      <w:r>
        <w:rPr>
          <w:rFonts w:hint="eastAsia" w:ascii="仿宋_GB2312" w:hAnsi="仿宋_GB2312" w:eastAsia="仿宋_GB2312" w:cs="仿宋_GB2312"/>
          <w:color w:val="auto"/>
          <w:sz w:val="32"/>
          <w:szCs w:val="32"/>
          <w:highlight w:val="none"/>
        </w:rPr>
        <w:t>资金项目所包含的全部项目内容。</w:t>
      </w:r>
    </w:p>
    <w:p w14:paraId="3C043767">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3、绩效评价的范围</w:t>
      </w:r>
    </w:p>
    <w:p w14:paraId="75B9D67A">
      <w:pPr>
        <w:spacing w:line="560" w:lineRule="exact"/>
        <w:ind w:firstLine="640" w:firstLineChars="20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color w:val="auto"/>
          <w:sz w:val="32"/>
          <w:szCs w:val="32"/>
          <w:highlight w:val="none"/>
          <w:lang w:eastAsia="zh-CN"/>
        </w:rPr>
        <w:t>奇台县2023年化解工程欠款</w:t>
      </w:r>
      <w:r>
        <w:rPr>
          <w:rFonts w:hint="eastAsia" w:ascii="仿宋_GB2312" w:hAnsi="仿宋_GB2312" w:eastAsia="仿宋_GB2312" w:cs="仿宋_GB2312"/>
          <w:color w:val="auto"/>
          <w:sz w:val="32"/>
          <w:szCs w:val="32"/>
          <w:highlight w:val="none"/>
        </w:rPr>
        <w:t>资金项目进行评价，评价核心为专项资金的支出完成情况和效果。</w:t>
      </w:r>
    </w:p>
    <w:p w14:paraId="2F44A657">
      <w:pPr>
        <w:spacing w:line="560" w:lineRule="exact"/>
        <w:ind w:firstLine="643" w:firstLineChars="200"/>
        <w:rPr>
          <w:color w:val="auto"/>
          <w:highlight w:val="none"/>
        </w:rPr>
      </w:pPr>
      <w:r>
        <w:rPr>
          <w:rFonts w:eastAsia="楷体_GB2312"/>
          <w:b/>
          <w:bCs/>
          <w:color w:val="auto"/>
          <w:sz w:val="32"/>
          <w:szCs w:val="32"/>
          <w:highlight w:val="none"/>
        </w:rPr>
        <w:t>（二）绩效评价原则、评价指标体系（详情见表1）、评价方法、评价标准。</w:t>
      </w:r>
    </w:p>
    <w:p w14:paraId="4808C659">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1、绩效评价原则</w:t>
      </w:r>
    </w:p>
    <w:p w14:paraId="099B9228">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本次项目绩效评价遵循以下基本原则：</w:t>
      </w:r>
    </w:p>
    <w:p w14:paraId="5B963DF3">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（1）科学公正。绩效评价应当运用科学合理的方法，按照规范的程序，对项目绩效进行客观、公正的反映。</w:t>
      </w:r>
    </w:p>
    <w:p w14:paraId="4EEEE8F4">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14:paraId="6DE59021">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（3）激励约束。绩效评价结果应与预算安排、政策调整、改进管理实质性挂钩，体现奖优罚劣和激励相容导向，有效要安排、低效要压减、无效要问责。</w:t>
      </w:r>
    </w:p>
    <w:p w14:paraId="51C8BC97">
      <w:pPr>
        <w:pStyle w:val="2"/>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（4）公开透明。绩效评价结果应依法依规公开，并自觉接受社会监督。</w:t>
      </w:r>
    </w:p>
    <w:p w14:paraId="65987A0C">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2、评价指标体系</w:t>
      </w:r>
    </w:p>
    <w:p w14:paraId="585165D5">
      <w:pPr>
        <w:spacing w:line="560" w:lineRule="exact"/>
        <w:ind w:firstLine="708" w:firstLineChars="200"/>
        <w:rPr>
          <w:color w:val="auto"/>
          <w:spacing w:val="17"/>
          <w:sz w:val="32"/>
          <w:szCs w:val="32"/>
          <w:highlight w:val="none"/>
        </w:rPr>
      </w:pPr>
      <w:r>
        <w:rPr>
          <w:rFonts w:eastAsia="仿宋_GB2312"/>
          <w:color w:val="auto"/>
          <w:spacing w:val="17"/>
          <w:sz w:val="32"/>
          <w:szCs w:val="32"/>
          <w:highlight w:val="none"/>
        </w:rPr>
        <w:t>绩效评价框架是开展绩效评价的核心。绩效评价框架包括评价准则、关键评价问题、评价指标、数据来源、数据收集方法等。指标体系建立过程如下：</w:t>
      </w:r>
    </w:p>
    <w:p w14:paraId="1D3BF553">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（1）确定评价指标</w:t>
      </w:r>
    </w:p>
    <w:p w14:paraId="0AB6BEB7">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14:paraId="4A84330B">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（2）确定权重</w:t>
      </w:r>
    </w:p>
    <w:p w14:paraId="0BB512D3">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14:paraId="72C72972">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（3）确定指标标准值</w:t>
      </w:r>
    </w:p>
    <w:p w14:paraId="3AA00F28">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14:paraId="767DEAFA">
      <w:pPr>
        <w:pStyle w:val="2"/>
        <w:spacing w:before="0" w:after="0" w:line="560" w:lineRule="exact"/>
        <w:ind w:firstLine="708" w:firstLineChars="200"/>
        <w:jc w:val="both"/>
        <w:rPr>
          <w:rFonts w:ascii="Times New Roman" w:hAnsi="Times New Roman" w:eastAsia="仿宋_GB2312"/>
          <w:b w:val="0"/>
          <w:bCs w:val="0"/>
          <w:color w:val="auto"/>
          <w:spacing w:val="17"/>
          <w:kern w:val="2"/>
          <w:highlight w:val="none"/>
        </w:rPr>
      </w:pPr>
      <w:r>
        <w:rPr>
          <w:rFonts w:ascii="Times New Roman" w:hAnsi="Times New Roman" w:eastAsia="仿宋_GB2312"/>
          <w:b w:val="0"/>
          <w:bCs w:val="0"/>
          <w:color w:val="auto"/>
          <w:spacing w:val="17"/>
          <w:kern w:val="2"/>
          <w:highlight w:val="none"/>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5924DBF0">
      <w:pPr>
        <w:pStyle w:val="2"/>
        <w:widowControl w:val="0"/>
        <w:spacing w:before="0" w:after="0" w:line="560" w:lineRule="exact"/>
        <w:ind w:firstLine="708" w:firstLineChars="200"/>
        <w:jc w:val="both"/>
        <w:outlineLvl w:val="9"/>
        <w:rPr>
          <w:rFonts w:ascii="Times New Roman" w:hAnsi="Times New Roman" w:eastAsia="仿宋_GB2312"/>
          <w:b w:val="0"/>
          <w:bCs w:val="0"/>
          <w:color w:val="auto"/>
          <w:spacing w:val="17"/>
          <w:highlight w:val="none"/>
        </w:rPr>
      </w:pPr>
      <w:r>
        <w:rPr>
          <w:rFonts w:ascii="Times New Roman" w:hAnsi="Times New Roman" w:eastAsia="仿宋_GB2312"/>
          <w:b w:val="0"/>
          <w:bCs w:val="0"/>
          <w:color w:val="auto"/>
          <w:spacing w:val="17"/>
          <w:highlight w:val="none"/>
        </w:rPr>
        <w:t>具体评价指标体系详情见附件1</w:t>
      </w:r>
    </w:p>
    <w:p w14:paraId="3E2F036F">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3、绩效评价方法</w:t>
      </w:r>
    </w:p>
    <w:p w14:paraId="523F6A7C">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14:paraId="03711802">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14:paraId="75128867">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（1）比较法</w:t>
      </w:r>
    </w:p>
    <w:p w14:paraId="3C76994A">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通过对绩效目标与实施效果、历史与当期情况，综合分析绩效目标实现程度。对</w:t>
      </w:r>
      <w:r>
        <w:rPr>
          <w:rFonts w:eastAsia="仿宋_GB2312"/>
          <w:color w:val="auto"/>
          <w:sz w:val="32"/>
          <w:szCs w:val="32"/>
          <w:highlight w:val="none"/>
        </w:rPr>
        <w:t>项目</w:t>
      </w:r>
      <w:r>
        <w:rPr>
          <w:rFonts w:eastAsia="仿宋_GB2312"/>
          <w:color w:val="auto"/>
          <w:spacing w:val="17"/>
          <w:sz w:val="32"/>
          <w:szCs w:val="32"/>
          <w:highlight w:val="none"/>
        </w:rPr>
        <w:t>最终验收情况与年度绩效目标对比、预算资金执行情况等相关因素进行比较。</w:t>
      </w:r>
    </w:p>
    <w:p w14:paraId="4FAB4771">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（2）因素分析法</w:t>
      </w:r>
    </w:p>
    <w:p w14:paraId="2B8AB0A5">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通过综合分析影响绩效目标实现、实施效果的内外因素，评价绩效目标实现程度。通过对</w:t>
      </w:r>
      <w:r>
        <w:rPr>
          <w:rFonts w:eastAsia="仿宋_GB2312"/>
          <w:color w:val="auto"/>
          <w:sz w:val="32"/>
          <w:szCs w:val="32"/>
          <w:highlight w:val="none"/>
        </w:rPr>
        <w:t>项目</w:t>
      </w:r>
      <w:r>
        <w:rPr>
          <w:rFonts w:eastAsia="仿宋_GB2312"/>
          <w:color w:val="auto"/>
          <w:spacing w:val="17"/>
          <w:sz w:val="32"/>
          <w:szCs w:val="32"/>
          <w:highlight w:val="none"/>
        </w:rPr>
        <w:t>的开展情况、项目产出数量、成本控制、资金拨付文件及自评报告等相关资料的收集和审核，综合分析各因素对绩效目标实现的影响。</w:t>
      </w:r>
    </w:p>
    <w:p w14:paraId="1483B582">
      <w:pPr>
        <w:pStyle w:val="2"/>
        <w:widowControl w:val="0"/>
        <w:spacing w:before="0" w:after="0" w:line="560" w:lineRule="exact"/>
        <w:ind w:firstLine="640" w:firstLineChars="200"/>
        <w:jc w:val="both"/>
        <w:outlineLvl w:val="9"/>
        <w:rPr>
          <w:rFonts w:ascii="Times New Roman" w:hAnsi="Times New Roman" w:eastAsia="仿宋_GB2312"/>
          <w:b w:val="0"/>
          <w:bCs w:val="0"/>
          <w:color w:val="auto"/>
          <w:highlight w:val="none"/>
        </w:rPr>
      </w:pPr>
      <w:r>
        <w:rPr>
          <w:rFonts w:ascii="Times New Roman" w:hAnsi="Times New Roman" w:eastAsia="仿宋_GB2312"/>
          <w:b w:val="0"/>
          <w:bCs w:val="0"/>
          <w:color w:val="auto"/>
          <w:highlight w:val="none"/>
        </w:rPr>
        <w:t>4、评价标准</w:t>
      </w:r>
    </w:p>
    <w:p w14:paraId="748E4340">
      <w:pPr>
        <w:spacing w:line="560" w:lineRule="exact"/>
        <w:ind w:firstLine="708" w:firstLineChars="200"/>
        <w:rPr>
          <w:rFonts w:eastAsia="仿宋_GB2312"/>
          <w:color w:val="auto"/>
          <w:spacing w:val="17"/>
          <w:sz w:val="32"/>
          <w:szCs w:val="32"/>
          <w:highlight w:val="none"/>
        </w:rPr>
      </w:pPr>
      <w:r>
        <w:rPr>
          <w:rFonts w:hint="eastAsia" w:eastAsia="仿宋_GB2312"/>
          <w:color w:val="auto"/>
          <w:spacing w:val="17"/>
          <w:sz w:val="32"/>
          <w:szCs w:val="32"/>
          <w:highlight w:val="none"/>
        </w:rPr>
        <w:t>绩效评价标准通常包括计划标准、行业标准、历史标准等，用于对绩效指标完成情况进行比较、分析、评价。本次评价主要采用了</w:t>
      </w:r>
      <w:r>
        <w:rPr>
          <w:rFonts w:hint="eastAsia" w:eastAsia="仿宋_GB2312"/>
          <w:color w:val="auto"/>
          <w:spacing w:val="17"/>
          <w:sz w:val="32"/>
          <w:szCs w:val="32"/>
          <w:highlight w:val="none"/>
          <w:lang w:val="en-US" w:eastAsia="zh-CN"/>
        </w:rPr>
        <w:t>计划</w:t>
      </w:r>
      <w:r>
        <w:rPr>
          <w:rFonts w:hint="eastAsia" w:eastAsia="仿宋_GB2312"/>
          <w:color w:val="auto"/>
          <w:spacing w:val="17"/>
          <w:sz w:val="32"/>
          <w:szCs w:val="32"/>
          <w:highlight w:val="none"/>
        </w:rPr>
        <w:t>标准。</w:t>
      </w:r>
    </w:p>
    <w:p w14:paraId="48AC4A0F">
      <w:pPr>
        <w:spacing w:line="560" w:lineRule="exact"/>
        <w:ind w:firstLine="708" w:firstLineChars="200"/>
        <w:rPr>
          <w:rFonts w:eastAsia="仿宋_GB2312"/>
          <w:color w:val="auto"/>
          <w:spacing w:val="17"/>
          <w:sz w:val="32"/>
          <w:szCs w:val="32"/>
          <w:highlight w:val="none"/>
        </w:rPr>
      </w:pPr>
      <w:bookmarkStart w:id="0" w:name="_Toc17882"/>
      <w:bookmarkStart w:id="1" w:name="_Toc31464"/>
      <w:r>
        <w:rPr>
          <w:rFonts w:hint="eastAsia" w:eastAsia="仿宋_GB2312"/>
          <w:color w:val="auto"/>
          <w:spacing w:val="17"/>
          <w:sz w:val="32"/>
          <w:szCs w:val="32"/>
          <w:highlight w:val="none"/>
        </w:rPr>
        <w:t>计划标准：指以预先制定的目标、计划、预算、定额等作为评价标准。</w:t>
      </w:r>
      <w:bookmarkEnd w:id="0"/>
      <w:bookmarkEnd w:id="1"/>
    </w:p>
    <w:p w14:paraId="4EC06465">
      <w:pPr>
        <w:spacing w:line="560" w:lineRule="exact"/>
        <w:ind w:firstLine="708" w:firstLineChars="200"/>
        <w:rPr>
          <w:rFonts w:eastAsia="仿宋_GB2312"/>
          <w:color w:val="auto"/>
          <w:spacing w:val="17"/>
          <w:sz w:val="32"/>
          <w:szCs w:val="32"/>
          <w:highlight w:val="none"/>
        </w:rPr>
      </w:pPr>
      <w:bookmarkStart w:id="2" w:name="_Toc5633"/>
      <w:bookmarkStart w:id="3" w:name="_Toc2318"/>
      <w:r>
        <w:rPr>
          <w:rFonts w:hint="eastAsia" w:eastAsia="仿宋_GB2312"/>
          <w:color w:val="auto"/>
          <w:spacing w:val="17"/>
          <w:sz w:val="32"/>
          <w:szCs w:val="32"/>
          <w:highlight w:val="none"/>
        </w:rPr>
        <w:t>行业标准：指参照国家公布的行业指标数据制定的评价标准。</w:t>
      </w:r>
      <w:bookmarkEnd w:id="2"/>
      <w:bookmarkEnd w:id="3"/>
    </w:p>
    <w:p w14:paraId="6C1AC380">
      <w:pPr>
        <w:spacing w:line="560" w:lineRule="exact"/>
        <w:ind w:firstLine="708" w:firstLineChars="200"/>
        <w:rPr>
          <w:rFonts w:eastAsia="方正仿宋_GBK" w:cs="方正仿宋_GBK"/>
          <w:color w:val="auto"/>
          <w:sz w:val="32"/>
          <w:szCs w:val="32"/>
          <w:highlight w:val="none"/>
        </w:rPr>
      </w:pPr>
      <w:bookmarkStart w:id="4" w:name="_Toc16028"/>
      <w:bookmarkStart w:id="5" w:name="_Toc430"/>
      <w:r>
        <w:rPr>
          <w:rFonts w:hint="eastAsia" w:eastAsia="仿宋_GB2312"/>
          <w:color w:val="auto"/>
          <w:spacing w:val="17"/>
          <w:sz w:val="32"/>
          <w:szCs w:val="32"/>
          <w:highlight w:val="none"/>
        </w:rPr>
        <w:t>历史标准：指参照历史数据制定的评价标准，为体现绩效改进的原则，在可实现的条件下应当确定相对较高的评价标准。</w:t>
      </w:r>
      <w:bookmarkEnd w:id="4"/>
      <w:bookmarkEnd w:id="5"/>
    </w:p>
    <w:p w14:paraId="303953E8">
      <w:pPr>
        <w:pStyle w:val="2"/>
        <w:numPr>
          <w:ilvl w:val="0"/>
          <w:numId w:val="3"/>
        </w:numPr>
        <w:spacing w:before="0" w:after="0" w:line="560" w:lineRule="exact"/>
        <w:ind w:firstLine="711" w:firstLineChars="200"/>
        <w:jc w:val="both"/>
        <w:rPr>
          <w:rFonts w:ascii="楷体" w:hAnsi="楷体" w:eastAsia="楷体" w:cs="楷体"/>
          <w:color w:val="auto"/>
          <w:spacing w:val="17"/>
          <w:highlight w:val="none"/>
        </w:rPr>
      </w:pPr>
      <w:r>
        <w:rPr>
          <w:rFonts w:hint="eastAsia" w:ascii="楷体" w:hAnsi="楷体" w:eastAsia="楷体" w:cs="楷体"/>
          <w:color w:val="auto"/>
          <w:spacing w:val="17"/>
          <w:highlight w:val="none"/>
        </w:rPr>
        <w:t>绩效评价工作过程</w:t>
      </w:r>
    </w:p>
    <w:p w14:paraId="28907F7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1.</w:t>
      </w:r>
      <w:r>
        <w:rPr>
          <w:rFonts w:hint="eastAsia" w:eastAsia="仿宋_GB2312"/>
          <w:bCs/>
          <w:color w:val="auto"/>
          <w:sz w:val="32"/>
          <w:szCs w:val="32"/>
          <w:highlight w:val="none"/>
        </w:rPr>
        <w:t>前期准备。首先成立评价工作组，开展前期调研；其次明确项目绩效目标，设计绩效评价指标体系并确定绩效评价方法；接着确定现场和非现场评价范围，设计资料清单；最后制定评价实施方案并进行论证。</w:t>
      </w:r>
    </w:p>
    <w:p w14:paraId="2D3C5C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color w:val="auto"/>
          <w:sz w:val="32"/>
          <w:szCs w:val="32"/>
          <w:highlight w:val="none"/>
        </w:rPr>
      </w:pPr>
      <w:r>
        <w:rPr>
          <w:rFonts w:hint="eastAsia" w:eastAsia="仿宋_GB2312"/>
          <w:bCs/>
          <w:color w:val="auto"/>
          <w:sz w:val="32"/>
          <w:szCs w:val="32"/>
          <w:highlight w:val="none"/>
          <w:lang w:val="en-US" w:eastAsia="zh-CN"/>
        </w:rPr>
        <w:t>2.</w:t>
      </w:r>
      <w:r>
        <w:rPr>
          <w:rFonts w:hint="eastAsia" w:eastAsia="仿宋_GB2312"/>
          <w:bCs/>
          <w:color w:val="auto"/>
          <w:sz w:val="32"/>
          <w:szCs w:val="32"/>
          <w:highlight w:val="none"/>
        </w:rPr>
        <w:t>组织实施。制定绩效评价工作方案，具体包括项目概况、评价思路、方法手段、组织实施、进度安排等。收集项目立项依据、相关会议纪要、实施方案、财政资金分配方案、支付管理情况等相关评价资料并进行梳理。</w:t>
      </w:r>
    </w:p>
    <w:p w14:paraId="1E106B1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color w:val="auto"/>
          <w:sz w:val="32"/>
          <w:szCs w:val="32"/>
          <w:highlight w:val="none"/>
        </w:rPr>
      </w:pPr>
      <w:r>
        <w:rPr>
          <w:rFonts w:hint="eastAsia" w:eastAsia="仿宋_GB2312"/>
          <w:bCs/>
          <w:color w:val="auto"/>
          <w:sz w:val="32"/>
          <w:szCs w:val="32"/>
          <w:highlight w:val="none"/>
          <w:lang w:val="en-US" w:eastAsia="zh-CN"/>
        </w:rPr>
        <w:t>3.</w:t>
      </w:r>
      <w:r>
        <w:rPr>
          <w:rFonts w:hint="eastAsia" w:eastAsia="仿宋_GB2312"/>
          <w:bCs/>
          <w:color w:val="auto"/>
          <w:sz w:val="32"/>
          <w:szCs w:val="32"/>
          <w:highlight w:val="none"/>
        </w:rPr>
        <w:t>分析评价。根据收集梳理的资料围绕项目立项、资金落实、业务管理、财务管理、项目产出、项目效益等内容，对照已确定的绩效评价指标进行详细全面的分析评价，逐项打分并形成绩效评价最终结果。</w:t>
      </w:r>
    </w:p>
    <w:p w14:paraId="1883A5A4">
      <w:pPr>
        <w:numPr>
          <w:ilvl w:val="0"/>
          <w:numId w:val="4"/>
        </w:numPr>
        <w:spacing w:line="560" w:lineRule="exact"/>
        <w:ind w:firstLine="640" w:firstLineChars="200"/>
        <w:rPr>
          <w:rFonts w:eastAsia="黑体"/>
          <w:color w:val="auto"/>
          <w:sz w:val="32"/>
          <w:szCs w:val="32"/>
          <w:highlight w:val="none"/>
        </w:rPr>
      </w:pPr>
      <w:r>
        <w:rPr>
          <w:rFonts w:eastAsia="黑体"/>
          <w:color w:val="auto"/>
          <w:sz w:val="32"/>
          <w:szCs w:val="32"/>
          <w:highlight w:val="none"/>
        </w:rPr>
        <w:t>综合评价情况及评价结论（附相关评分表）</w:t>
      </w:r>
    </w:p>
    <w:p w14:paraId="00885F5C">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olor w:val="auto"/>
          <w:highlight w:val="none"/>
          <w:lang w:val="en-US" w:eastAsia="zh-CN"/>
        </w:rPr>
      </w:pP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一</w:t>
      </w:r>
      <w:r>
        <w:rPr>
          <w:rFonts w:hint="eastAsia" w:ascii="Times New Roman" w:hAnsi="Times New Roman" w:eastAsia="楷体_GB2312"/>
          <w:color w:val="auto"/>
          <w:highlight w:val="none"/>
          <w:lang w:eastAsia="zh-CN"/>
        </w:rPr>
        <w:t>）</w:t>
      </w:r>
      <w:r>
        <w:rPr>
          <w:rFonts w:hint="eastAsia" w:ascii="Times New Roman" w:hAnsi="Times New Roman" w:eastAsia="楷体_GB2312"/>
          <w:color w:val="auto"/>
          <w:highlight w:val="none"/>
          <w:lang w:val="en-US" w:eastAsia="zh-CN"/>
        </w:rPr>
        <w:t>评价情况</w:t>
      </w:r>
    </w:p>
    <w:p w14:paraId="53AFBDA7">
      <w:pPr>
        <w:shd w:val="clear"/>
        <w:spacing w:line="600" w:lineRule="exact"/>
        <w:ind w:firstLine="640" w:firstLineChars="200"/>
        <w:outlineLvl w:val="0"/>
        <w:rPr>
          <w:rFonts w:hint="default"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78CE00D">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color w:val="auto"/>
          <w:highlight w:val="none"/>
          <w:lang w:val="en-US" w:eastAsia="zh-CN"/>
        </w:rPr>
      </w:pP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二</w:t>
      </w:r>
      <w:r>
        <w:rPr>
          <w:rFonts w:hint="eastAsia" w:ascii="Times New Roman" w:hAnsi="Times New Roman" w:eastAsia="楷体_GB2312" w:cs="Times New Roman"/>
          <w:color w:val="auto"/>
          <w:highlight w:val="none"/>
          <w:lang w:eastAsia="zh-CN"/>
        </w:rPr>
        <w:t>）</w:t>
      </w:r>
      <w:r>
        <w:rPr>
          <w:rFonts w:hint="eastAsia" w:ascii="Times New Roman" w:hAnsi="Times New Roman" w:eastAsia="楷体_GB2312" w:cs="Times New Roman"/>
          <w:color w:val="auto"/>
          <w:highlight w:val="none"/>
          <w:lang w:val="en-US" w:eastAsia="zh-CN"/>
        </w:rPr>
        <w:t>评价结论</w:t>
      </w:r>
    </w:p>
    <w:p w14:paraId="4048049B">
      <w:pPr>
        <w:pStyle w:val="2"/>
        <w:widowControl w:val="0"/>
        <w:spacing w:before="0" w:after="0" w:line="560" w:lineRule="exact"/>
        <w:ind w:firstLine="640" w:firstLineChars="200"/>
        <w:jc w:val="both"/>
        <w:outlineLvl w:val="9"/>
        <w:rPr>
          <w:rFonts w:hint="eastAsia" w:ascii="Times New Roman" w:hAnsi="Times New Roman" w:eastAsia="仿宋_GB2312"/>
          <w:b w:val="0"/>
          <w:bCs w:val="0"/>
          <w:color w:val="auto"/>
          <w:highlight w:val="none"/>
          <w:lang w:eastAsia="zh-CN"/>
        </w:rPr>
      </w:pPr>
      <w:r>
        <w:rPr>
          <w:rFonts w:hint="eastAsia" w:ascii="Times New Roman" w:hAnsi="Times New Roman" w:eastAsia="仿宋_GB2312"/>
          <w:b w:val="0"/>
          <w:bCs w:val="0"/>
          <w:color w:val="auto"/>
          <w:highlight w:val="none"/>
        </w:rPr>
        <w:t>运用绩效评价组制定的评价指标体系以及财政部《项目支出绩效评价管理办法》（财预〔2020〕10号）文件的评分标准，通过数据采集、问卷</w:t>
      </w:r>
      <w:r>
        <w:rPr>
          <w:rFonts w:hint="eastAsia" w:ascii="Times New Roman" w:hAnsi="Times New Roman" w:eastAsia="仿宋_GB2312"/>
          <w:b w:val="0"/>
          <w:bCs w:val="0"/>
          <w:color w:val="auto"/>
          <w:highlight w:val="none"/>
        </w:rPr>
        <w:t xml:space="preserve">调查及访谈等方式，对本项目进行客观评价，最终评分结果：总得分为 </w:t>
      </w:r>
      <w:r>
        <w:rPr>
          <w:rFonts w:hint="eastAsia" w:ascii="Times New Roman" w:hAnsi="Times New Roman" w:eastAsia="仿宋_GB2312"/>
          <w:b w:val="0"/>
          <w:bCs w:val="0"/>
          <w:color w:val="auto"/>
          <w:highlight w:val="none"/>
          <w:lang w:val="en-US" w:eastAsia="zh-CN"/>
        </w:rPr>
        <w:t>99.98</w:t>
      </w:r>
      <w:r>
        <w:rPr>
          <w:rFonts w:hint="eastAsia" w:ascii="Times New Roman" w:hAnsi="Times New Roman" w:eastAsia="仿宋_GB2312"/>
          <w:b w:val="0"/>
          <w:bCs w:val="0"/>
          <w:color w:val="auto"/>
          <w:highlight w:val="none"/>
        </w:rPr>
        <w:t xml:space="preserve">分，属于“优（良/中/差）”。其中，项目决策类指标权重为20分，得分为 </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%。项目过程类指标权重为20分，得分为</w:t>
      </w:r>
      <w:r>
        <w:rPr>
          <w:rFonts w:hint="eastAsia" w:ascii="Times New Roman" w:hAnsi="Times New Roman" w:eastAsia="仿宋_GB2312"/>
          <w:b w:val="0"/>
          <w:bCs w:val="0"/>
          <w:color w:val="auto"/>
          <w:highlight w:val="none"/>
          <w:lang w:val="en-US" w:eastAsia="zh-CN"/>
        </w:rPr>
        <w:t>19.99</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99.95</w:t>
      </w:r>
      <w:r>
        <w:rPr>
          <w:rFonts w:hint="eastAsia" w:ascii="Times New Roman" w:hAnsi="Times New Roman" w:eastAsia="仿宋_GB2312"/>
          <w:b w:val="0"/>
          <w:bCs w:val="0"/>
          <w:color w:val="auto"/>
          <w:highlight w:val="none"/>
        </w:rPr>
        <w:t>%。项目产出类指标权重为40分，得分为</w:t>
      </w:r>
      <w:r>
        <w:rPr>
          <w:rFonts w:hint="eastAsia" w:ascii="Times New Roman" w:hAnsi="Times New Roman" w:eastAsia="仿宋_GB2312"/>
          <w:b w:val="0"/>
          <w:bCs w:val="0"/>
          <w:color w:val="auto"/>
          <w:highlight w:val="none"/>
          <w:lang w:val="en-US" w:eastAsia="zh-CN"/>
        </w:rPr>
        <w:t>39.99</w:t>
      </w:r>
      <w:r>
        <w:rPr>
          <w:rFonts w:hint="eastAsia" w:ascii="Times New Roman" w:hAnsi="Times New Roman" w:eastAsia="仿宋_GB2312"/>
          <w:b w:val="0"/>
          <w:bCs w:val="0"/>
          <w:color w:val="auto"/>
          <w:highlight w:val="none"/>
        </w:rPr>
        <w:t xml:space="preserve">分，得分率为 </w:t>
      </w:r>
      <w:r>
        <w:rPr>
          <w:rFonts w:hint="eastAsia" w:ascii="Times New Roman" w:hAnsi="Times New Roman" w:eastAsia="仿宋_GB2312"/>
          <w:b w:val="0"/>
          <w:bCs w:val="0"/>
          <w:color w:val="auto"/>
          <w:highlight w:val="none"/>
          <w:lang w:val="en-US" w:eastAsia="zh-CN"/>
        </w:rPr>
        <w:t>99.97</w:t>
      </w:r>
      <w:r>
        <w:rPr>
          <w:rFonts w:hint="eastAsia" w:ascii="Times New Roman" w:hAnsi="Times New Roman" w:eastAsia="仿宋_GB2312"/>
          <w:b w:val="0"/>
          <w:bCs w:val="0"/>
          <w:color w:val="auto"/>
          <w:highlight w:val="none"/>
        </w:rPr>
        <w:t>%。项目效益类指标权重为</w:t>
      </w:r>
      <w:r>
        <w:rPr>
          <w:rFonts w:hint="eastAsia" w:ascii="Times New Roman" w:hAnsi="Times New Roman" w:eastAsia="仿宋_GB2312"/>
          <w:b w:val="0"/>
          <w:bCs w:val="0"/>
          <w:color w:val="auto"/>
          <w:highlight w:val="none"/>
          <w:lang w:val="en-US" w:eastAsia="zh-CN"/>
        </w:rPr>
        <w:t>2</w:t>
      </w:r>
      <w:r>
        <w:rPr>
          <w:rFonts w:hint="eastAsia" w:ascii="Times New Roman" w:hAnsi="Times New Roman" w:eastAsia="仿宋_GB2312"/>
          <w:b w:val="0"/>
          <w:bCs w:val="0"/>
          <w:color w:val="auto"/>
          <w:highlight w:val="none"/>
        </w:rPr>
        <w:t>0分，得分为</w:t>
      </w:r>
      <w:r>
        <w:rPr>
          <w:rFonts w:hint="eastAsia" w:ascii="Times New Roman" w:hAnsi="Times New Roman" w:eastAsia="仿宋_GB2312"/>
          <w:b w:val="0"/>
          <w:bCs w:val="0"/>
          <w:color w:val="auto"/>
          <w:highlight w:val="none"/>
          <w:lang w:val="en-US" w:eastAsia="zh-CN"/>
        </w:rPr>
        <w:t>20</w:t>
      </w:r>
      <w:r>
        <w:rPr>
          <w:rFonts w:hint="eastAsia" w:ascii="Times New Roman" w:hAnsi="Times New Roman" w:eastAsia="仿宋_GB2312"/>
          <w:b w:val="0"/>
          <w:bCs w:val="0"/>
          <w:color w:val="auto"/>
          <w:highlight w:val="none"/>
        </w:rPr>
        <w:t>分，得分率为</w:t>
      </w:r>
      <w:r>
        <w:rPr>
          <w:rFonts w:hint="eastAsia" w:ascii="Times New Roman" w:hAnsi="Times New Roman" w:eastAsia="仿宋_GB2312"/>
          <w:b w:val="0"/>
          <w:bCs w:val="0"/>
          <w:color w:val="auto"/>
          <w:highlight w:val="none"/>
          <w:lang w:val="en-US" w:eastAsia="zh-CN"/>
        </w:rPr>
        <w:t>100</w:t>
      </w:r>
      <w:r>
        <w:rPr>
          <w:rFonts w:hint="eastAsia" w:ascii="Times New Roman" w:hAnsi="Times New Roman" w:eastAsia="仿宋_GB2312"/>
          <w:b w:val="0"/>
          <w:bCs w:val="0"/>
          <w:color w:val="auto"/>
          <w:highlight w:val="none"/>
        </w:rPr>
        <w:t>%。具体打分情况</w:t>
      </w:r>
      <w:r>
        <w:rPr>
          <w:rFonts w:hint="eastAsia" w:ascii="Times New Roman" w:hAnsi="Times New Roman" w:eastAsia="仿宋_GB2312"/>
          <w:b w:val="0"/>
          <w:bCs w:val="0"/>
          <w:color w:val="auto"/>
          <w:highlight w:val="none"/>
        </w:rPr>
        <w:t>详见：附件1综合评分表</w:t>
      </w:r>
      <w:r>
        <w:rPr>
          <w:rFonts w:hint="eastAsia" w:ascii="Times New Roman" w:hAnsi="Times New Roman" w:eastAsia="仿宋_GB2312"/>
          <w:b w:val="0"/>
          <w:bCs w:val="0"/>
          <w:color w:val="auto"/>
          <w:highlight w:val="none"/>
          <w:lang w:eastAsia="zh-CN"/>
        </w:rPr>
        <w:t>。</w:t>
      </w:r>
    </w:p>
    <w:p w14:paraId="645C256E">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color w:val="auto"/>
          <w:sz w:val="30"/>
          <w:szCs w:val="30"/>
          <w:highlight w:val="none"/>
        </w:rPr>
      </w:pPr>
      <w:r>
        <w:rPr>
          <w:rFonts w:ascii="Times New Roman" w:hAnsi="Times New Roman" w:eastAsia="仿宋_GB2312"/>
          <w:color w:val="auto"/>
          <w:sz w:val="30"/>
          <w:szCs w:val="30"/>
          <w:highlight w:val="none"/>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BC02B31">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4F58754D">
            <w:pPr>
              <w:jc w:val="center"/>
              <w:rPr>
                <w:b/>
                <w:bCs/>
                <w:color w:val="auto"/>
                <w:sz w:val="22"/>
                <w:highlight w:val="none"/>
              </w:rPr>
            </w:pPr>
            <w:r>
              <w:rPr>
                <w:rFonts w:hint="eastAsia"/>
                <w:b/>
                <w:bCs/>
                <w:color w:val="auto"/>
                <w:sz w:val="22"/>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0A7CFA76">
            <w:pPr>
              <w:jc w:val="center"/>
              <w:rPr>
                <w:b/>
                <w:bCs/>
                <w:color w:val="auto"/>
                <w:sz w:val="22"/>
                <w:highlight w:val="none"/>
              </w:rPr>
            </w:pPr>
            <w:r>
              <w:rPr>
                <w:rFonts w:hint="eastAsia"/>
                <w:b/>
                <w:bCs/>
                <w:color w:val="auto"/>
                <w:sz w:val="22"/>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9FF09C2">
            <w:pPr>
              <w:jc w:val="center"/>
              <w:rPr>
                <w:b/>
                <w:bCs/>
                <w:color w:val="auto"/>
                <w:sz w:val="22"/>
                <w:highlight w:val="none"/>
              </w:rPr>
            </w:pPr>
            <w:r>
              <w:rPr>
                <w:rFonts w:hint="eastAsia"/>
                <w:b/>
                <w:bCs/>
                <w:color w:val="auto"/>
                <w:sz w:val="22"/>
                <w:highlight w:val="none"/>
              </w:rPr>
              <w:t>得分</w:t>
            </w:r>
          </w:p>
        </w:tc>
      </w:tr>
      <w:tr w14:paraId="7C42E44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0A7771F">
            <w:pPr>
              <w:jc w:val="center"/>
              <w:rPr>
                <w:color w:val="auto"/>
                <w:sz w:val="22"/>
                <w:highlight w:val="none"/>
              </w:rPr>
            </w:pPr>
            <w:r>
              <w:rPr>
                <w:rFonts w:hint="eastAsia"/>
                <w:color w:val="auto"/>
                <w:sz w:val="22"/>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14:paraId="69FDDEE7">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2370586">
            <w:pPr>
              <w:jc w:val="center"/>
              <w:rPr>
                <w:rFonts w:hint="default" w:eastAsia="宋体"/>
                <w:color w:val="auto"/>
                <w:sz w:val="22"/>
                <w:highlight w:val="none"/>
                <w:lang w:val="en-US" w:eastAsia="zh-CN"/>
              </w:rPr>
            </w:pPr>
            <w:r>
              <w:rPr>
                <w:rFonts w:hint="eastAsia"/>
                <w:color w:val="auto"/>
                <w:sz w:val="22"/>
                <w:highlight w:val="none"/>
                <w:lang w:val="en-US" w:eastAsia="zh-CN"/>
              </w:rPr>
              <w:t>20</w:t>
            </w:r>
          </w:p>
        </w:tc>
      </w:tr>
      <w:tr w14:paraId="22EA21B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A6B3C44">
            <w:pPr>
              <w:jc w:val="center"/>
              <w:rPr>
                <w:color w:val="auto"/>
                <w:sz w:val="22"/>
                <w:highlight w:val="none"/>
              </w:rPr>
            </w:pPr>
            <w:r>
              <w:rPr>
                <w:rFonts w:hint="eastAsia"/>
                <w:color w:val="auto"/>
                <w:sz w:val="22"/>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14:paraId="1C0A54E1">
            <w:pPr>
              <w:jc w:val="center"/>
              <w:rPr>
                <w:rFonts w:hint="default" w:eastAsia="宋体"/>
                <w:color w:val="auto"/>
                <w:sz w:val="22"/>
                <w:highlight w:val="none"/>
                <w:lang w:val="en-US" w:eastAsia="zh-CN"/>
              </w:rPr>
            </w:pPr>
            <w:r>
              <w:rPr>
                <w:rFonts w:hint="eastAsia"/>
                <w:color w:val="auto"/>
                <w:sz w:val="22"/>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1328B23">
            <w:pPr>
              <w:jc w:val="center"/>
              <w:rPr>
                <w:rFonts w:hint="default" w:eastAsia="宋体"/>
                <w:color w:val="auto"/>
                <w:sz w:val="22"/>
                <w:highlight w:val="none"/>
                <w:lang w:val="en-US" w:eastAsia="zh-CN"/>
              </w:rPr>
            </w:pPr>
            <w:r>
              <w:rPr>
                <w:rFonts w:hint="eastAsia"/>
                <w:color w:val="auto"/>
                <w:sz w:val="22"/>
                <w:highlight w:val="none"/>
                <w:lang w:val="en-US" w:eastAsia="zh-CN"/>
              </w:rPr>
              <w:t>19.99</w:t>
            </w:r>
          </w:p>
        </w:tc>
      </w:tr>
      <w:tr w14:paraId="11072E3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93EE947">
            <w:pPr>
              <w:jc w:val="center"/>
              <w:rPr>
                <w:color w:val="auto"/>
                <w:sz w:val="22"/>
                <w:highlight w:val="none"/>
              </w:rPr>
            </w:pPr>
            <w:r>
              <w:rPr>
                <w:rFonts w:hint="eastAsia"/>
                <w:color w:val="auto"/>
                <w:sz w:val="22"/>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14:paraId="4EBD8D96">
            <w:pPr>
              <w:jc w:val="center"/>
              <w:rPr>
                <w:rFonts w:hint="default" w:eastAsia="宋体"/>
                <w:color w:val="auto"/>
                <w:sz w:val="22"/>
                <w:highlight w:val="none"/>
                <w:lang w:val="en-US" w:eastAsia="zh-CN"/>
              </w:rPr>
            </w:pPr>
            <w:r>
              <w:rPr>
                <w:rFonts w:hint="eastAsia"/>
                <w:color w:val="auto"/>
                <w:sz w:val="22"/>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DC4D0AD">
            <w:pPr>
              <w:jc w:val="center"/>
              <w:rPr>
                <w:rFonts w:hint="default" w:eastAsia="宋体"/>
                <w:color w:val="auto"/>
                <w:sz w:val="22"/>
                <w:highlight w:val="none"/>
                <w:lang w:val="en-US" w:eastAsia="zh-CN"/>
              </w:rPr>
            </w:pPr>
            <w:r>
              <w:rPr>
                <w:rFonts w:hint="eastAsia"/>
                <w:color w:val="auto"/>
                <w:sz w:val="22"/>
                <w:highlight w:val="none"/>
                <w:lang w:val="en-US" w:eastAsia="zh-CN"/>
              </w:rPr>
              <w:t>39.99</w:t>
            </w:r>
          </w:p>
        </w:tc>
      </w:tr>
      <w:tr w14:paraId="1614FB4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A6EAE52">
            <w:pPr>
              <w:jc w:val="center"/>
              <w:rPr>
                <w:color w:val="auto"/>
                <w:sz w:val="22"/>
                <w:highlight w:val="none"/>
              </w:rPr>
            </w:pPr>
            <w:r>
              <w:rPr>
                <w:rFonts w:hint="eastAsia"/>
                <w:color w:val="auto"/>
                <w:sz w:val="22"/>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14:paraId="2121B64D">
            <w:pPr>
              <w:jc w:val="center"/>
              <w:rPr>
                <w:rFonts w:hint="default" w:eastAsia="宋体"/>
                <w:color w:val="auto"/>
                <w:sz w:val="22"/>
                <w:highlight w:val="none"/>
                <w:lang w:val="en-US" w:eastAsia="zh-CN"/>
              </w:rPr>
            </w:pPr>
            <w:r>
              <w:rPr>
                <w:rFonts w:hint="eastAsia"/>
                <w:color w:val="auto"/>
                <w:sz w:val="22"/>
                <w:highlight w:val="none"/>
                <w:lang w:val="en-US" w:eastAsia="zh-CN"/>
              </w:rPr>
              <w:t>10</w:t>
            </w:r>
          </w:p>
        </w:tc>
        <w:tc>
          <w:tcPr>
            <w:tcW w:w="2278" w:type="dxa"/>
            <w:tcBorders>
              <w:top w:val="nil"/>
              <w:left w:val="nil"/>
              <w:bottom w:val="single" w:color="auto" w:sz="4" w:space="0"/>
              <w:right w:val="single" w:color="auto" w:sz="4" w:space="0"/>
            </w:tcBorders>
            <w:shd w:val="clear" w:color="auto" w:fill="auto"/>
            <w:vAlign w:val="center"/>
          </w:tcPr>
          <w:p w14:paraId="3FAFDE67">
            <w:pPr>
              <w:jc w:val="center"/>
              <w:rPr>
                <w:rFonts w:hint="default" w:eastAsia="宋体"/>
                <w:color w:val="auto"/>
                <w:sz w:val="22"/>
                <w:highlight w:val="none"/>
                <w:lang w:val="en-US" w:eastAsia="zh-CN"/>
              </w:rPr>
            </w:pPr>
            <w:r>
              <w:rPr>
                <w:rFonts w:hint="eastAsia"/>
                <w:color w:val="auto"/>
                <w:sz w:val="22"/>
                <w:highlight w:val="none"/>
                <w:lang w:val="en-US" w:eastAsia="zh-CN"/>
              </w:rPr>
              <w:t>10</w:t>
            </w:r>
          </w:p>
        </w:tc>
      </w:tr>
      <w:tr w14:paraId="29DAE2B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2526D8">
            <w:pPr>
              <w:jc w:val="center"/>
              <w:rPr>
                <w:rFonts w:cs="宋体"/>
                <w:b/>
                <w:bCs/>
                <w:color w:val="auto"/>
                <w:sz w:val="22"/>
                <w:highlight w:val="none"/>
              </w:rPr>
            </w:pPr>
            <w:r>
              <w:rPr>
                <w:rFonts w:hint="eastAsia" w:cs="宋体"/>
                <w:b/>
                <w:bCs/>
                <w:color w:val="auto"/>
                <w:sz w:val="22"/>
                <w:highlight w:val="none"/>
              </w:rPr>
              <w:t>合计</w:t>
            </w:r>
          </w:p>
        </w:tc>
        <w:tc>
          <w:tcPr>
            <w:tcW w:w="2168" w:type="dxa"/>
            <w:tcBorders>
              <w:top w:val="nil"/>
              <w:left w:val="nil"/>
              <w:bottom w:val="single" w:color="auto" w:sz="4" w:space="0"/>
              <w:right w:val="single" w:color="auto" w:sz="4" w:space="0"/>
            </w:tcBorders>
            <w:shd w:val="clear" w:color="auto" w:fill="auto"/>
            <w:vAlign w:val="center"/>
          </w:tcPr>
          <w:p w14:paraId="7B006980">
            <w:pPr>
              <w:jc w:val="center"/>
              <w:rPr>
                <w:rFonts w:hint="default" w:eastAsia="宋体"/>
                <w:b/>
                <w:bCs/>
                <w:color w:val="auto"/>
                <w:sz w:val="22"/>
                <w:highlight w:val="none"/>
                <w:lang w:val="en-US" w:eastAsia="zh-CN"/>
              </w:rPr>
            </w:pPr>
            <w:r>
              <w:rPr>
                <w:rFonts w:hint="eastAsia"/>
                <w:b/>
                <w:bCs/>
                <w:color w:val="auto"/>
                <w:sz w:val="22"/>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77E9AC4">
            <w:pPr>
              <w:jc w:val="center"/>
              <w:rPr>
                <w:rFonts w:hint="default" w:eastAsia="宋体"/>
                <w:b/>
                <w:bCs/>
                <w:color w:val="auto"/>
                <w:sz w:val="22"/>
                <w:highlight w:val="none"/>
                <w:lang w:val="en-US" w:eastAsia="zh-CN"/>
              </w:rPr>
            </w:pPr>
            <w:r>
              <w:rPr>
                <w:rFonts w:hint="eastAsia"/>
                <w:b/>
                <w:bCs/>
                <w:color w:val="auto"/>
                <w:sz w:val="22"/>
                <w:highlight w:val="none"/>
                <w:lang w:val="en-US" w:eastAsia="zh-CN"/>
              </w:rPr>
              <w:t>99.98</w:t>
            </w:r>
          </w:p>
        </w:tc>
      </w:tr>
    </w:tbl>
    <w:p w14:paraId="5DEE6F23">
      <w:pPr>
        <w:spacing w:line="560" w:lineRule="exact"/>
        <w:ind w:firstLine="640" w:firstLineChars="200"/>
        <w:rPr>
          <w:rFonts w:eastAsia="黑体"/>
          <w:color w:val="auto"/>
          <w:sz w:val="32"/>
          <w:szCs w:val="32"/>
          <w:highlight w:val="none"/>
        </w:rPr>
      </w:pPr>
      <w:r>
        <w:rPr>
          <w:rFonts w:eastAsia="黑体"/>
          <w:color w:val="auto"/>
          <w:sz w:val="32"/>
          <w:szCs w:val="32"/>
          <w:highlight w:val="none"/>
        </w:rPr>
        <w:t>四、绩效评价指标分析</w:t>
      </w:r>
    </w:p>
    <w:p w14:paraId="4160930C">
      <w:pPr>
        <w:pStyle w:val="2"/>
        <w:spacing w:before="0" w:after="0" w:line="560" w:lineRule="exact"/>
        <w:ind w:firstLine="643" w:firstLineChars="200"/>
        <w:jc w:val="both"/>
        <w:rPr>
          <w:rFonts w:ascii="Times New Roman" w:hAnsi="Times New Roman" w:eastAsia="楷体_GB2312"/>
          <w:color w:val="auto"/>
          <w:highlight w:val="none"/>
        </w:rPr>
      </w:pPr>
      <w:r>
        <w:rPr>
          <w:rFonts w:ascii="Times New Roman" w:hAnsi="Times New Roman" w:eastAsia="楷体_GB2312"/>
          <w:color w:val="auto"/>
          <w:highlight w:val="none"/>
        </w:rPr>
        <w:t>（一）项目决策情况</w:t>
      </w:r>
    </w:p>
    <w:p w14:paraId="5854C2AF">
      <w:pPr>
        <w:shd w:val="clear"/>
        <w:spacing w:line="600" w:lineRule="exact"/>
        <w:ind w:firstLine="600" w:firstLineChars="200"/>
        <w:outlineLvl w:val="0"/>
        <w:rPr>
          <w:rFonts w:hint="eastAsia" w:ascii="仿宋_GB2312" w:hAnsi="仿宋_GB2312" w:eastAsia="仿宋_GB2312" w:cs="仿宋_GB2312"/>
          <w:color w:val="auto"/>
          <w:sz w:val="30"/>
          <w:szCs w:val="30"/>
          <w:highlight w:val="none"/>
          <w:lang w:val="en-US" w:eastAsia="zh-CN"/>
        </w:rPr>
      </w:pPr>
      <w:r>
        <w:rPr>
          <w:rFonts w:hint="eastAsia" w:ascii="仿宋_GB2312" w:hAnsi="仿宋_GB2312" w:eastAsia="仿宋_GB2312" w:cs="仿宋_GB2312"/>
          <w:color w:val="auto"/>
          <w:sz w:val="30"/>
          <w:szCs w:val="30"/>
          <w:highlight w:val="none"/>
          <w:lang w:val="en-US" w:eastAsia="zh-CN"/>
        </w:rPr>
        <w:t>项目决策类指标包括项目立项、绩效目标和资金投入三方面的内容，由6个三级指标构成，权重分值为20分，实际得分20分，得分率为100%。</w:t>
      </w:r>
    </w:p>
    <w:p w14:paraId="4A378EE7">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1.项目立项</w:t>
      </w:r>
    </w:p>
    <w:p w14:paraId="19DF519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（1）立项依据充分性</w:t>
      </w:r>
    </w:p>
    <w:p w14:paraId="73DA5EA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1EE22CD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（2）立项程序规范性</w:t>
      </w:r>
    </w:p>
    <w:p w14:paraId="1B5D096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项目申请、设立过程符合相关要求，</w:t>
      </w:r>
      <w:r>
        <w:rPr>
          <w:rFonts w:hint="eastAsia" w:ascii="仿宋_GB2312" w:hAnsi="仿宋_GB2312" w:eastAsia="仿宋_GB2312" w:cs="仿宋_GB2312"/>
          <w:color w:val="auto"/>
          <w:sz w:val="32"/>
          <w:szCs w:val="32"/>
          <w:highlight w:val="none"/>
          <w:lang w:eastAsia="zh-Hans"/>
        </w:rPr>
        <w:t>严格按照审批流程准备符合要求的文件、材料；</w:t>
      </w:r>
      <w:r>
        <w:rPr>
          <w:rFonts w:hint="eastAsia" w:ascii="仿宋_GB2312" w:hAnsi="仿宋_GB2312" w:eastAsia="仿宋_GB2312" w:cs="仿宋_GB2312"/>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08C3893F">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2.绩效目标</w:t>
      </w:r>
    </w:p>
    <w:p w14:paraId="31506DF0">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（1）绩效目标合理性</w:t>
      </w:r>
    </w:p>
    <w:p w14:paraId="51186F9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Hans"/>
        </w:rPr>
        <w:t>年初结合实际工作内容</w:t>
      </w:r>
      <w:r>
        <w:rPr>
          <w:rFonts w:hint="eastAsia" w:ascii="仿宋_GB2312" w:hAnsi="仿宋_GB2312" w:eastAsia="仿宋_GB2312" w:cs="仿宋_GB2312"/>
          <w:color w:val="auto"/>
          <w:sz w:val="32"/>
          <w:szCs w:val="32"/>
          <w:highlight w:val="none"/>
          <w:lang w:val="en-US" w:eastAsia="zh-CN"/>
        </w:rPr>
        <w:t>设定绩效目标</w:t>
      </w:r>
      <w:r>
        <w:rPr>
          <w:rFonts w:hint="eastAsia" w:ascii="仿宋_GB2312" w:hAnsi="仿宋_GB2312" w:eastAsia="仿宋_GB2312" w:cs="仿宋_GB2312"/>
          <w:color w:val="auto"/>
          <w:sz w:val="32"/>
          <w:szCs w:val="32"/>
          <w:highlight w:val="none"/>
          <w:lang w:val="en-US" w:eastAsia="zh-Hans"/>
        </w:rPr>
        <w:t>，绩效目标</w:t>
      </w:r>
      <w:r>
        <w:rPr>
          <w:rFonts w:hint="eastAsia" w:ascii="仿宋_GB2312" w:hAnsi="仿宋_GB2312" w:eastAsia="仿宋_GB2312" w:cs="仿宋_GB2312"/>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5CD525E">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（2）绩效指标明确性</w:t>
      </w:r>
    </w:p>
    <w:p w14:paraId="471CF8C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14:paraId="033B3D93">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3.资金投入</w:t>
      </w:r>
    </w:p>
    <w:p w14:paraId="250C876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（1）预算编制科学性</w:t>
      </w:r>
    </w:p>
    <w:p w14:paraId="57522A2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预算编制经过科学论证，提供充分的测算依据佐证资料，预算内容与项目内容相匹配。项目投资额与工作任务相匹配。</w:t>
      </w:r>
    </w:p>
    <w:p w14:paraId="069D40A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（2）资金分配合理性</w:t>
      </w:r>
    </w:p>
    <w:p w14:paraId="4E5DAE8D">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资金分配额度与项目单位实际工作内容相适应，资金分配额度合理，资金分配依据充分。</w:t>
      </w:r>
    </w:p>
    <w:p w14:paraId="22F40782">
      <w:pPr>
        <w:pStyle w:val="2"/>
        <w:numPr>
          <w:ilvl w:val="0"/>
          <w:numId w:val="5"/>
        </w:numPr>
        <w:spacing w:before="0" w:after="0" w:line="560" w:lineRule="exact"/>
        <w:ind w:firstLine="643" w:firstLineChars="200"/>
        <w:jc w:val="both"/>
        <w:rPr>
          <w:rFonts w:ascii="楷体" w:hAnsi="楷体" w:eastAsia="楷体" w:cs="楷体"/>
          <w:color w:val="auto"/>
          <w:highlight w:val="none"/>
        </w:rPr>
      </w:pPr>
      <w:r>
        <w:rPr>
          <w:rFonts w:hint="eastAsia" w:ascii="楷体" w:hAnsi="楷体" w:eastAsia="楷体" w:cs="楷体"/>
          <w:color w:val="auto"/>
          <w:highlight w:val="none"/>
        </w:rPr>
        <w:t>项目过程情况</w:t>
      </w:r>
    </w:p>
    <w:p w14:paraId="7AF1F66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项目过程类指标包括资金管理和组</w:t>
      </w:r>
      <w:r>
        <w:rPr>
          <w:rFonts w:hint="eastAsia" w:ascii="仿宋_GB2312" w:hAnsi="仿宋_GB2312" w:eastAsia="仿宋_GB2312" w:cs="仿宋_GB2312"/>
          <w:color w:val="auto"/>
          <w:sz w:val="32"/>
          <w:szCs w:val="32"/>
          <w:highlight w:val="none"/>
          <w:lang w:val="en-US" w:eastAsia="zh-CN"/>
        </w:rPr>
        <w:t>织实施两方面的内容，由5个三级指标构成，权重分值为20分，实际得分19.99分，得分率为99.95。</w:t>
      </w:r>
    </w:p>
    <w:p w14:paraId="4045DA0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14:paraId="31AF6D2A">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1.资金管理</w:t>
      </w:r>
    </w:p>
    <w:p w14:paraId="672A40A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（1）资金到位率</w:t>
      </w:r>
    </w:p>
    <w:p w14:paraId="09CEA42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本项目总投资969.29万元，财政资金及时足额到位，到位率100%，预算资金按计划进</w:t>
      </w:r>
      <w:r>
        <w:rPr>
          <w:rFonts w:hint="eastAsia" w:ascii="仿宋_GB2312" w:hAnsi="仿宋_GB2312" w:eastAsia="仿宋_GB2312" w:cs="仿宋_GB2312"/>
          <w:color w:val="auto"/>
          <w:sz w:val="32"/>
          <w:szCs w:val="32"/>
          <w:highlight w:val="none"/>
          <w:lang w:val="en-US" w:eastAsia="zh-CN"/>
        </w:rPr>
        <w:t>度执行。</w:t>
      </w:r>
    </w:p>
    <w:p w14:paraId="792EA660">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（2）预算执行率</w:t>
      </w:r>
    </w:p>
    <w:p w14:paraId="6C47EC7B">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预算编制较为详细，项目资金支出总体能够按照预算执行，预算资金支出969.20万元，预算执行率为99.99%。</w:t>
      </w:r>
    </w:p>
    <w:p w14:paraId="6ECA7AE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（3）资金使用合规性</w:t>
      </w:r>
    </w:p>
    <w:p w14:paraId="11401AC5">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17DADE8B">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2.组织实施</w:t>
      </w:r>
    </w:p>
    <w:p w14:paraId="63261BB8">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（1）管理制度健全性</w:t>
      </w:r>
    </w:p>
    <w:p w14:paraId="2D9189C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7BE224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（2）制度执行有效性</w:t>
      </w:r>
    </w:p>
    <w:p w14:paraId="2D86A0A4">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对资金使用的合法合规性进行监督，年末对资金使用效果进行评价。项目管理、实施人员落实到位，有效按照计划执行。项目执行情况等资料齐全，项目相关手续完备，及时进行归档。</w:t>
      </w:r>
    </w:p>
    <w:p w14:paraId="09710FB8">
      <w:pPr>
        <w:pStyle w:val="11"/>
        <w:numPr>
          <w:ilvl w:val="0"/>
          <w:numId w:val="5"/>
        </w:numPr>
        <w:spacing w:line="560" w:lineRule="exact"/>
        <w:ind w:firstLine="643"/>
        <w:rPr>
          <w:rFonts w:eastAsia="楷体_GB2312"/>
          <w:b/>
          <w:bCs/>
          <w:color w:val="auto"/>
          <w:sz w:val="32"/>
          <w:szCs w:val="32"/>
          <w:highlight w:val="none"/>
        </w:rPr>
      </w:pPr>
      <w:r>
        <w:rPr>
          <w:rFonts w:eastAsia="楷体_GB2312"/>
          <w:b/>
          <w:bCs/>
          <w:color w:val="auto"/>
          <w:sz w:val="32"/>
          <w:szCs w:val="32"/>
          <w:highlight w:val="none"/>
        </w:rPr>
        <w:t>项目产出</w:t>
      </w:r>
      <w:r>
        <w:rPr>
          <w:rFonts w:hint="eastAsia" w:eastAsia="楷体_GB2312"/>
          <w:b/>
          <w:bCs/>
          <w:color w:val="auto"/>
          <w:sz w:val="32"/>
          <w:szCs w:val="32"/>
          <w:highlight w:val="none"/>
          <w:lang w:val="en-US" w:eastAsia="zh-CN"/>
        </w:rPr>
        <w:t>情况</w:t>
      </w:r>
    </w:p>
    <w:p w14:paraId="4704F9B6">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项目产出类指标包括产出数量、产出质量、产出时效、产出成本四方面的内容，由5个三级指标构成，权重分为40分，</w:t>
      </w:r>
      <w:r>
        <w:rPr>
          <w:rFonts w:hint="eastAsia" w:ascii="仿宋_GB2312" w:hAnsi="仿宋_GB2312" w:eastAsia="仿宋_GB2312" w:cs="仿宋_GB2312"/>
          <w:color w:val="auto"/>
          <w:sz w:val="32"/>
          <w:szCs w:val="32"/>
          <w:highlight w:val="none"/>
          <w:lang w:val="en-US" w:eastAsia="zh-CN"/>
        </w:rPr>
        <w:t>实际得分39.99分，得分率为99.97%。具体</w:t>
      </w:r>
      <w:r>
        <w:rPr>
          <w:rFonts w:hint="eastAsia" w:ascii="仿宋_GB2312" w:hAnsi="仿宋_GB2312" w:eastAsia="仿宋_GB2312" w:cs="仿宋_GB2312"/>
          <w:color w:val="auto"/>
          <w:sz w:val="32"/>
          <w:szCs w:val="32"/>
          <w:highlight w:val="none"/>
          <w:lang w:val="en-US" w:eastAsia="zh-CN"/>
        </w:rPr>
        <w:t>产出指标完成情况如下：</w:t>
      </w:r>
    </w:p>
    <w:p w14:paraId="3EF3953A">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1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①</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数量指标：</w:t>
      </w:r>
    </w:p>
    <w:p w14:paraId="1DD51703">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val="en-US" w:eastAsia="zh-CN"/>
        </w:rPr>
        <w:t>债务支付笔数</w:t>
      </w:r>
      <w:r>
        <w:rPr>
          <w:rFonts w:hint="eastAsia" w:ascii="仿宋_GB2312" w:hAnsi="仿宋_GB2312" w:eastAsia="仿宋_GB2312" w:cs="仿宋_GB2312"/>
          <w:color w:val="auto"/>
          <w:sz w:val="32"/>
          <w:szCs w:val="32"/>
          <w:highlight w:val="none"/>
        </w:rPr>
        <w:t xml:space="preserve"> ，指标值：</w:t>
      </w:r>
      <w:r>
        <w:rPr>
          <w:rFonts w:hint="eastAsia" w:ascii="仿宋_GB2312" w:hAnsi="仿宋_GB2312" w:eastAsia="仿宋_GB2312" w:cs="仿宋_GB2312"/>
          <w:color w:val="auto"/>
          <w:sz w:val="32"/>
          <w:szCs w:val="32"/>
          <w:highlight w:val="none"/>
          <w:lang w:val="en-US" w:eastAsia="zh-CN"/>
        </w:rPr>
        <w:t>&gt;=13笔</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=13笔</w:t>
      </w:r>
      <w:r>
        <w:rPr>
          <w:rFonts w:hint="eastAsia" w:ascii="仿宋_GB2312" w:hAnsi="仿宋_GB2312" w:eastAsia="仿宋_GB2312" w:cs="仿宋_GB2312"/>
          <w:color w:val="auto"/>
          <w:sz w:val="32"/>
          <w:szCs w:val="32"/>
          <w:highlight w:val="none"/>
        </w:rPr>
        <w:t>，指标完成率</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6B8EF63E">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2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②</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质量指标：</w:t>
      </w:r>
    </w:p>
    <w:p w14:paraId="103F6F6B">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指标1：</w:t>
      </w:r>
      <w:r>
        <w:rPr>
          <w:rFonts w:hint="eastAsia" w:ascii="仿宋_GB2312" w:hAnsi="仿宋_GB2312" w:eastAsia="仿宋_GB2312" w:cs="仿宋_GB2312"/>
          <w:color w:val="auto"/>
          <w:sz w:val="32"/>
          <w:szCs w:val="32"/>
          <w:highlight w:val="none"/>
          <w:lang w:val="en-US" w:eastAsia="zh-CN"/>
        </w:rPr>
        <w:t>债务资金支付完成率</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，指标完成率 </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3B9DD36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指标2：债务还款准确率，</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，指标完成率 </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39816008">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3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③</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时效指标：</w:t>
      </w:r>
    </w:p>
    <w:p w14:paraId="0CD6D99C">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指标1：债务资金按期支付率，</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，指标完成率 </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p>
    <w:p w14:paraId="354AD853">
      <w:pPr>
        <w:shd w:val="clear"/>
        <w:spacing w:line="600" w:lineRule="exact"/>
        <w:ind w:firstLine="640" w:firstLineChars="200"/>
        <w:outlineLvl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 4 \* GB3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rPr>
        <w:t>④</w:t>
      </w:r>
      <w:r>
        <w:rPr>
          <w:rFonts w:hint="eastAsia" w:ascii="仿宋_GB2312" w:hAnsi="仿宋_GB2312" w:eastAsia="仿宋_GB2312" w:cs="仿宋_GB2312"/>
          <w:color w:val="auto"/>
          <w:sz w:val="32"/>
          <w:szCs w:val="32"/>
          <w:highlight w:val="none"/>
        </w:rPr>
        <w:fldChar w:fldCharType="end"/>
      </w:r>
      <w:r>
        <w:rPr>
          <w:rFonts w:hint="eastAsia" w:ascii="仿宋_GB2312" w:hAnsi="仿宋_GB2312" w:eastAsia="仿宋_GB2312" w:cs="仿宋_GB2312"/>
          <w:color w:val="auto"/>
          <w:sz w:val="32"/>
          <w:szCs w:val="32"/>
          <w:highlight w:val="none"/>
        </w:rPr>
        <w:t>成本指标：</w:t>
      </w:r>
    </w:p>
    <w:p w14:paraId="682A7C83">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指标1：债务资金支付率，</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 xml:space="preserve"> ，实际完成值：</w:t>
      </w:r>
      <w:r>
        <w:rPr>
          <w:rFonts w:hint="eastAsia" w:ascii="仿宋_GB2312" w:hAnsi="仿宋_GB2312" w:eastAsia="仿宋_GB2312" w:cs="仿宋_GB2312"/>
          <w:color w:val="auto"/>
          <w:sz w:val="32"/>
          <w:szCs w:val="32"/>
          <w:highlight w:val="none"/>
          <w:lang w:val="en-US" w:eastAsia="zh-CN"/>
        </w:rPr>
        <w:t>=99.99%</w:t>
      </w:r>
      <w:r>
        <w:rPr>
          <w:rFonts w:hint="eastAsia" w:ascii="仿宋_GB2312" w:hAnsi="仿宋_GB2312" w:eastAsia="仿宋_GB2312" w:cs="仿宋_GB2312"/>
          <w:color w:val="auto"/>
          <w:sz w:val="32"/>
          <w:szCs w:val="32"/>
          <w:highlight w:val="none"/>
        </w:rPr>
        <w:t xml:space="preserve"> ，指标完成率 </w:t>
      </w:r>
      <w:r>
        <w:rPr>
          <w:rFonts w:hint="eastAsia" w:ascii="仿宋_GB2312" w:hAnsi="仿宋_GB2312" w:eastAsia="仿宋_GB2312" w:cs="仿宋_GB2312"/>
          <w:color w:val="auto"/>
          <w:sz w:val="32"/>
          <w:szCs w:val="32"/>
          <w:highlight w:val="none"/>
          <w:lang w:val="en-US" w:eastAsia="zh-CN"/>
        </w:rPr>
        <w:t>99.99</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偏差原因：年初预算设置申报不准确，导致超出实际预期值，改进措施：下年度合理申报预算。</w:t>
      </w:r>
    </w:p>
    <w:p w14:paraId="3B55CED0">
      <w:pPr>
        <w:pStyle w:val="11"/>
        <w:numPr>
          <w:ilvl w:val="0"/>
          <w:numId w:val="5"/>
        </w:numPr>
        <w:spacing w:line="560" w:lineRule="exact"/>
        <w:ind w:firstLine="643"/>
        <w:rPr>
          <w:rFonts w:hint="eastAsia" w:ascii="Times New Roman" w:hAnsi="Times New Roman" w:eastAsia="楷体_GB2312" w:cs="Times New Roman"/>
          <w:b/>
          <w:bCs/>
          <w:color w:val="auto"/>
          <w:sz w:val="32"/>
          <w:szCs w:val="32"/>
          <w:highlight w:val="none"/>
          <w:lang w:val="en-US" w:eastAsia="zh-CN"/>
        </w:rPr>
      </w:pPr>
      <w:r>
        <w:rPr>
          <w:rFonts w:hint="eastAsia" w:ascii="Times New Roman" w:hAnsi="Times New Roman" w:eastAsia="楷体_GB2312" w:cs="Times New Roman"/>
          <w:b/>
          <w:bCs/>
          <w:color w:val="auto"/>
          <w:sz w:val="32"/>
          <w:szCs w:val="32"/>
          <w:highlight w:val="none"/>
          <w:lang w:val="en-US" w:eastAsia="zh-CN"/>
        </w:rPr>
        <w:t>项目效益情况</w:t>
      </w:r>
    </w:p>
    <w:p w14:paraId="74977057">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项目效益类指标包括项目</w:t>
      </w:r>
      <w:r>
        <w:rPr>
          <w:rFonts w:hint="eastAsia" w:ascii="仿宋_GB2312" w:hAnsi="仿宋_GB2312" w:eastAsia="仿宋_GB2312" w:cs="仿宋_GB2312"/>
          <w:color w:val="auto"/>
          <w:sz w:val="32"/>
          <w:szCs w:val="32"/>
          <w:highlight w:val="none"/>
          <w:lang w:val="en-US" w:eastAsia="zh-CN"/>
        </w:rPr>
        <w:t>实施效益和满意度两方面的内容，由1个三级指标构成，权重分为20分，实际得分20分，得分率为100%。具体效益指标及满意度指标完</w:t>
      </w:r>
      <w:r>
        <w:rPr>
          <w:rFonts w:hint="eastAsia" w:ascii="仿宋_GB2312" w:hAnsi="仿宋_GB2312" w:eastAsia="仿宋_GB2312" w:cs="仿宋_GB2312"/>
          <w:color w:val="auto"/>
          <w:sz w:val="32"/>
          <w:szCs w:val="32"/>
          <w:highlight w:val="none"/>
          <w:lang w:val="en-US" w:eastAsia="zh-CN"/>
        </w:rPr>
        <w:t>成情况如下：</w:t>
      </w:r>
    </w:p>
    <w:p w14:paraId="7680D350">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1.实施效益</w:t>
      </w:r>
    </w:p>
    <w:p w14:paraId="3872E942">
      <w:pPr>
        <w:shd w:val="clear"/>
        <w:spacing w:line="600" w:lineRule="exact"/>
        <w:ind w:firstLine="640" w:firstLineChars="200"/>
        <w:outlineLvl w:val="0"/>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rPr>
        <w:t>社会效益指标：</w:t>
      </w:r>
      <w:r>
        <w:rPr>
          <w:rFonts w:hint="eastAsia" w:ascii="仿宋_GB2312" w:hAnsi="仿宋_GB2312" w:eastAsia="仿宋_GB2312" w:cs="仿宋_GB2312"/>
          <w:color w:val="auto"/>
          <w:sz w:val="32"/>
          <w:szCs w:val="32"/>
          <w:highlight w:val="none"/>
          <w:lang w:val="en-US" w:eastAsia="zh-CN"/>
        </w:rPr>
        <w:t>保障单位良好信用，</w:t>
      </w:r>
      <w:r>
        <w:rPr>
          <w:rFonts w:hint="eastAsia" w:ascii="仿宋_GB2312" w:hAnsi="仿宋_GB2312" w:eastAsia="仿宋_GB2312" w:cs="仿宋_GB2312"/>
          <w:color w:val="auto"/>
          <w:sz w:val="32"/>
          <w:szCs w:val="32"/>
          <w:highlight w:val="none"/>
        </w:rPr>
        <w:t>指标值：</w:t>
      </w:r>
      <w:r>
        <w:rPr>
          <w:rFonts w:hint="eastAsia" w:ascii="仿宋_GB2312" w:hAnsi="仿宋_GB2312" w:eastAsia="仿宋_GB2312" w:cs="仿宋_GB2312"/>
          <w:color w:val="auto"/>
          <w:sz w:val="32"/>
          <w:szCs w:val="32"/>
          <w:highlight w:val="none"/>
          <w:lang w:val="en-US" w:eastAsia="zh-CN"/>
        </w:rPr>
        <w:t>有效保障，</w:t>
      </w:r>
      <w:r>
        <w:rPr>
          <w:rFonts w:hint="eastAsia" w:ascii="仿宋_GB2312" w:hAnsi="仿宋_GB2312" w:eastAsia="仿宋_GB2312" w:cs="仿宋_GB2312"/>
          <w:color w:val="auto"/>
          <w:sz w:val="32"/>
          <w:szCs w:val="32"/>
          <w:highlight w:val="none"/>
        </w:rPr>
        <w:t>实际完成值：</w:t>
      </w:r>
      <w:r>
        <w:rPr>
          <w:rFonts w:hint="eastAsia" w:ascii="仿宋_GB2312" w:hAnsi="仿宋_GB2312" w:eastAsia="仿宋_GB2312" w:cs="仿宋_GB2312"/>
          <w:color w:val="auto"/>
          <w:sz w:val="32"/>
          <w:szCs w:val="32"/>
          <w:highlight w:val="none"/>
          <w:lang w:val="en-US" w:eastAsia="zh-CN"/>
        </w:rPr>
        <w:t>有效保障%</w:t>
      </w:r>
      <w:r>
        <w:rPr>
          <w:rFonts w:hint="eastAsia" w:ascii="仿宋_GB2312" w:hAnsi="仿宋_GB2312" w:eastAsia="仿宋_GB2312" w:cs="仿宋_GB2312"/>
          <w:color w:val="auto"/>
          <w:sz w:val="32"/>
          <w:szCs w:val="32"/>
          <w:highlight w:val="none"/>
        </w:rPr>
        <w:t xml:space="preserve"> ，指标完成率 </w:t>
      </w:r>
      <w:r>
        <w:rPr>
          <w:rFonts w:hint="eastAsia" w:ascii="仿宋_GB2312" w:hAnsi="仿宋_GB2312" w:eastAsia="仿宋_GB2312" w:cs="仿宋_GB2312"/>
          <w:color w:val="auto"/>
          <w:sz w:val="32"/>
          <w:szCs w:val="32"/>
          <w:highlight w:val="none"/>
          <w:lang w:val="en-US" w:eastAsia="zh-CN"/>
        </w:rPr>
        <w:t>100</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 xml:space="preserve"> </w:t>
      </w:r>
    </w:p>
    <w:p w14:paraId="6D4C158A">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2.满意度</w:t>
      </w:r>
    </w:p>
    <w:p w14:paraId="1BE27CE3">
      <w:pPr>
        <w:shd w:val="clear"/>
        <w:spacing w:line="600" w:lineRule="exact"/>
        <w:ind w:firstLine="640" w:firstLineChars="200"/>
        <w:outlineLvl w:val="0"/>
        <w:rPr>
          <w:rFonts w:hint="default" w:ascii="Times New Roman" w:hAnsi="Times New Roman" w:eastAsia="黑体" w:cs="Times New Roman"/>
          <w:color w:val="auto"/>
          <w:sz w:val="32"/>
          <w:szCs w:val="32"/>
          <w:highlight w:val="none"/>
          <w:lang w:val="en-US" w:eastAsia="zh-Hans"/>
        </w:rPr>
      </w:pPr>
      <w:r>
        <w:rPr>
          <w:rFonts w:hint="eastAsia" w:ascii="仿宋_GB2312" w:hAnsi="仿宋_GB2312" w:eastAsia="仿宋_GB2312" w:cs="仿宋_GB2312"/>
          <w:color w:val="auto"/>
          <w:sz w:val="32"/>
          <w:szCs w:val="32"/>
          <w:highlight w:val="none"/>
          <w:lang w:val="en-US" w:eastAsia="zh-CN"/>
        </w:rPr>
        <w:t>满意度指标：支付对象满意度，指标值：&gt;=95%，实际完成值：=95%，指标完成率100%。</w:t>
      </w:r>
    </w:p>
    <w:p w14:paraId="105A3E33">
      <w:pPr>
        <w:spacing w:line="560" w:lineRule="exact"/>
        <w:ind w:firstLine="640" w:firstLineChars="200"/>
        <w:rPr>
          <w:rFonts w:hint="eastAsia" w:ascii="Times New Roman" w:hAnsi="Times New Roman" w:eastAsia="黑体" w:cs="Times New Roman"/>
          <w:color w:val="auto"/>
          <w:sz w:val="32"/>
          <w:szCs w:val="32"/>
          <w:highlight w:val="none"/>
          <w:lang w:eastAsia="zh-Hans"/>
        </w:rPr>
      </w:pPr>
      <w:r>
        <w:rPr>
          <w:rFonts w:hint="eastAsia" w:ascii="Times New Roman" w:hAnsi="Times New Roman" w:eastAsia="黑体" w:cs="Times New Roman"/>
          <w:color w:val="auto"/>
          <w:sz w:val="32"/>
          <w:szCs w:val="32"/>
          <w:highlight w:val="none"/>
          <w:lang w:eastAsia="zh-Hans"/>
        </w:rPr>
        <w:t>五、预算执行进度与绩效指标总体完成率偏差</w:t>
      </w:r>
    </w:p>
    <w:p w14:paraId="6142A84B">
      <w:pPr>
        <w:pStyle w:val="18"/>
        <w:spacing w:line="560" w:lineRule="exact"/>
        <w:ind w:firstLine="640"/>
        <w:rPr>
          <w:rFonts w:ascii="Times New Roman" w:hAnsi="Times New Roman" w:eastAsia="仿宋_GB2312" w:cs="Times New Roman"/>
          <w:color w:val="auto"/>
          <w:kern w:val="2"/>
          <w:sz w:val="32"/>
          <w:szCs w:val="32"/>
          <w:highlight w:val="none"/>
          <w:lang w:val="en-US" w:eastAsia="zh-CN" w:bidi="ar-SA"/>
        </w:rPr>
      </w:pPr>
      <w:r>
        <w:rPr>
          <w:rFonts w:hint="eastAsia" w:ascii="仿宋_GB2312" w:hAnsi="仿宋_GB2312" w:eastAsia="仿宋_GB2312" w:cs="仿宋_GB2312"/>
          <w:color w:val="auto"/>
          <w:sz w:val="32"/>
          <w:szCs w:val="32"/>
          <w:highlight w:val="none"/>
          <w:lang w:eastAsia="zh-CN"/>
        </w:rPr>
        <w:t>奇台县2023年化解工程欠款</w:t>
      </w:r>
      <w:r>
        <w:rPr>
          <w:rFonts w:hint="eastAsia" w:ascii="仿宋_GB2312" w:hAnsi="仿宋_GB2312" w:eastAsia="仿宋_GB2312" w:cs="仿宋_GB2312"/>
          <w:color w:val="auto"/>
          <w:sz w:val="32"/>
          <w:szCs w:val="32"/>
          <w:highlight w:val="none"/>
        </w:rPr>
        <w:t>资金</w:t>
      </w:r>
      <w:r>
        <w:rPr>
          <w:rFonts w:hint="eastAsia" w:ascii="Times New Roman" w:hAnsi="Times New Roman" w:eastAsia="仿宋_GB2312" w:cs="Times New Roman"/>
          <w:color w:val="auto"/>
          <w:kern w:val="2"/>
          <w:sz w:val="32"/>
          <w:szCs w:val="32"/>
          <w:highlight w:val="none"/>
          <w:lang w:val="en-US" w:eastAsia="zh-CN" w:bidi="ar-SA"/>
        </w:rPr>
        <w:t>项目年初预算</w:t>
      </w:r>
      <w:r>
        <w:rPr>
          <w:rFonts w:hint="eastAsia" w:eastAsia="仿宋_GB2312" w:cs="Times New Roman"/>
          <w:color w:val="auto"/>
          <w:kern w:val="2"/>
          <w:sz w:val="32"/>
          <w:szCs w:val="32"/>
          <w:highlight w:val="none"/>
          <w:lang w:val="en-US" w:eastAsia="zh-CN" w:bidi="ar-SA"/>
        </w:rPr>
        <w:t>5</w:t>
      </w:r>
      <w:r>
        <w:rPr>
          <w:rFonts w:hint="eastAsia" w:ascii="Times New Roman" w:hAnsi="Times New Roman" w:eastAsia="仿宋_GB2312" w:cs="Times New Roman"/>
          <w:color w:val="auto"/>
          <w:kern w:val="2"/>
          <w:sz w:val="32"/>
          <w:szCs w:val="32"/>
          <w:highlight w:val="none"/>
          <w:lang w:val="en-US" w:eastAsia="zh-CN" w:bidi="ar-SA"/>
        </w:rPr>
        <w:t>万元，全年预算</w:t>
      </w:r>
      <w:r>
        <w:rPr>
          <w:rFonts w:hint="eastAsia" w:eastAsia="仿宋_GB2312" w:cs="Times New Roman"/>
          <w:color w:val="auto"/>
          <w:kern w:val="2"/>
          <w:sz w:val="32"/>
          <w:szCs w:val="32"/>
          <w:highlight w:val="none"/>
          <w:lang w:val="en-US" w:eastAsia="zh-CN" w:bidi="ar-SA"/>
        </w:rPr>
        <w:t>969.29</w:t>
      </w:r>
      <w:r>
        <w:rPr>
          <w:rFonts w:hint="eastAsia" w:ascii="Times New Roman" w:hAnsi="Times New Roman" w:eastAsia="仿宋_GB2312" w:cs="Times New Roman"/>
          <w:color w:val="auto"/>
          <w:kern w:val="2"/>
          <w:sz w:val="32"/>
          <w:szCs w:val="32"/>
          <w:highlight w:val="none"/>
          <w:lang w:val="en-US" w:eastAsia="zh-CN" w:bidi="ar-SA"/>
        </w:rPr>
        <w:t>万元，实际支出</w:t>
      </w:r>
      <w:r>
        <w:rPr>
          <w:rFonts w:hint="eastAsia" w:eastAsia="仿宋_GB2312" w:cs="Times New Roman"/>
          <w:color w:val="auto"/>
          <w:kern w:val="2"/>
          <w:sz w:val="32"/>
          <w:szCs w:val="32"/>
          <w:highlight w:val="none"/>
          <w:lang w:val="en-US" w:eastAsia="zh-CN" w:bidi="ar-SA"/>
        </w:rPr>
        <w:t>969.20</w:t>
      </w:r>
      <w:r>
        <w:rPr>
          <w:rFonts w:hint="eastAsia" w:ascii="Times New Roman" w:hAnsi="Times New Roman" w:eastAsia="仿宋_GB2312" w:cs="Times New Roman"/>
          <w:color w:val="auto"/>
          <w:kern w:val="2"/>
          <w:sz w:val="32"/>
          <w:szCs w:val="32"/>
          <w:highlight w:val="none"/>
          <w:lang w:val="en-US" w:eastAsia="zh-CN" w:bidi="ar-SA"/>
        </w:rPr>
        <w:t>万元，预算执行率为</w:t>
      </w:r>
      <w:r>
        <w:rPr>
          <w:rFonts w:hint="eastAsia" w:eastAsia="仿宋_GB2312" w:cs="Times New Roman"/>
          <w:color w:val="auto"/>
          <w:kern w:val="2"/>
          <w:sz w:val="32"/>
          <w:szCs w:val="32"/>
          <w:highlight w:val="none"/>
          <w:lang w:val="en-US" w:eastAsia="zh-CN" w:bidi="ar-SA"/>
        </w:rPr>
        <w:t>99.99</w:t>
      </w:r>
      <w:r>
        <w:rPr>
          <w:rFonts w:hint="eastAsia" w:ascii="Times New Roman" w:hAnsi="Times New Roman" w:eastAsia="仿宋_GB2312" w:cs="Times New Roman"/>
          <w:color w:val="auto"/>
          <w:kern w:val="2"/>
          <w:sz w:val="32"/>
          <w:szCs w:val="32"/>
          <w:highlight w:val="none"/>
          <w:lang w:val="en-US" w:eastAsia="zh-CN" w:bidi="ar-SA"/>
        </w:rPr>
        <w:t>%，项目绩效指标总体完成率为</w:t>
      </w:r>
      <w:r>
        <w:rPr>
          <w:rFonts w:hint="eastAsia" w:eastAsia="仿宋_GB2312" w:cs="Times New Roman"/>
          <w:color w:val="auto"/>
          <w:kern w:val="2"/>
          <w:sz w:val="32"/>
          <w:szCs w:val="32"/>
          <w:highlight w:val="none"/>
          <w:lang w:val="en-US" w:eastAsia="zh-CN" w:bidi="ar-SA"/>
        </w:rPr>
        <w:t>100</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总体</w:t>
      </w:r>
      <w:r>
        <w:rPr>
          <w:rFonts w:hint="eastAsia" w:ascii="Times New Roman" w:hAnsi="Times New Roman" w:eastAsia="仿宋_GB2312" w:cs="Times New Roman"/>
          <w:color w:val="auto"/>
          <w:kern w:val="2"/>
          <w:sz w:val="32"/>
          <w:szCs w:val="32"/>
          <w:highlight w:val="none"/>
          <w:lang w:val="en-US" w:eastAsia="zh-CN" w:bidi="ar-SA"/>
        </w:rPr>
        <w:t>偏差率为</w:t>
      </w:r>
      <w:r>
        <w:rPr>
          <w:rFonts w:hint="eastAsia" w:eastAsia="仿宋_GB2312" w:cs="Times New Roman"/>
          <w:color w:val="auto"/>
          <w:kern w:val="2"/>
          <w:sz w:val="32"/>
          <w:szCs w:val="32"/>
          <w:highlight w:val="none"/>
          <w:lang w:val="en-US" w:eastAsia="zh-CN" w:bidi="ar-SA"/>
        </w:rPr>
        <w:t>0.01</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偏差</w:t>
      </w:r>
      <w:r>
        <w:rPr>
          <w:rFonts w:hint="eastAsia" w:ascii="Times New Roman" w:hAnsi="Times New Roman" w:eastAsia="仿宋_GB2312" w:cs="Times New Roman"/>
          <w:color w:val="auto"/>
          <w:kern w:val="2"/>
          <w:sz w:val="32"/>
          <w:szCs w:val="32"/>
          <w:highlight w:val="none"/>
          <w:lang w:val="en-US" w:eastAsia="zh-CN" w:bidi="ar-SA"/>
        </w:rPr>
        <w:t>原因</w:t>
      </w:r>
      <w:r>
        <w:rPr>
          <w:rFonts w:hint="eastAsia" w:eastAsia="仿宋_GB2312" w:cs="Times New Roman"/>
          <w:color w:val="auto"/>
          <w:kern w:val="2"/>
          <w:sz w:val="32"/>
          <w:szCs w:val="32"/>
          <w:highlight w:val="none"/>
          <w:lang w:val="en-US" w:eastAsia="zh-CN" w:bidi="ar-SA"/>
        </w:rPr>
        <w:t>与财政局、商信局沟通失误，多支付0.09万元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ascii="Times New Roman" w:hAnsi="Times New Roman" w:eastAsia="仿宋_GB2312" w:cs="Times New Roman"/>
          <w:color w:val="auto"/>
          <w:kern w:val="2"/>
          <w:sz w:val="32"/>
          <w:szCs w:val="32"/>
          <w:highlight w:val="none"/>
          <w:lang w:val="en-US" w:eastAsia="zh-Hans" w:bidi="ar-SA"/>
        </w:rPr>
        <w:t>改进</w:t>
      </w:r>
      <w:r>
        <w:rPr>
          <w:rFonts w:hint="eastAsia" w:ascii="Times New Roman" w:hAnsi="Times New Roman" w:eastAsia="仿宋_GB2312" w:cs="Times New Roman"/>
          <w:color w:val="auto"/>
          <w:kern w:val="2"/>
          <w:sz w:val="32"/>
          <w:szCs w:val="32"/>
          <w:highlight w:val="none"/>
          <w:lang w:val="en-US" w:eastAsia="zh-CN" w:bidi="ar-SA"/>
        </w:rPr>
        <w:t>措施</w:t>
      </w:r>
      <w:r>
        <w:rPr>
          <w:rFonts w:hint="eastAsia" w:eastAsia="仿宋_GB2312" w:cs="Times New Roman"/>
          <w:color w:val="auto"/>
          <w:kern w:val="2"/>
          <w:sz w:val="32"/>
          <w:szCs w:val="32"/>
          <w:highlight w:val="none"/>
          <w:lang w:val="en-US" w:eastAsia="zh-CN" w:bidi="ar-SA"/>
        </w:rPr>
        <w:t>，进一步加强与商信局及财政局沟通工作</w:t>
      </w:r>
      <w:r>
        <w:rPr>
          <w:rFonts w:hint="eastAsia" w:ascii="Times New Roman" w:hAnsi="Times New Roman" w:eastAsia="仿宋_GB2312" w:cs="Times New Roman"/>
          <w:color w:val="auto"/>
          <w:kern w:val="2"/>
          <w:sz w:val="32"/>
          <w:szCs w:val="32"/>
          <w:highlight w:val="none"/>
          <w:lang w:val="en-US" w:eastAsia="zh-CN" w:bidi="ar-SA"/>
        </w:rPr>
        <w:t>。</w:t>
      </w:r>
    </w:p>
    <w:p w14:paraId="5711E644">
      <w:pPr>
        <w:spacing w:line="560" w:lineRule="exact"/>
        <w:ind w:firstLine="640" w:firstLineChars="200"/>
        <w:rPr>
          <w:rStyle w:val="17"/>
          <w:rFonts w:ascii="Times New Roman" w:hAnsi="Times New Roman" w:cs="Times New Roman"/>
          <w:color w:val="auto"/>
          <w:highlight w:val="none"/>
        </w:rPr>
      </w:pPr>
      <w:r>
        <w:rPr>
          <w:rFonts w:hint="eastAsia" w:eastAsia="黑体"/>
          <w:color w:val="auto"/>
          <w:sz w:val="32"/>
          <w:szCs w:val="32"/>
          <w:highlight w:val="none"/>
          <w:lang w:eastAsia="zh-Hans"/>
        </w:rPr>
        <w:t>六</w:t>
      </w:r>
      <w:r>
        <w:rPr>
          <w:rFonts w:eastAsia="黑体"/>
          <w:color w:val="auto"/>
          <w:sz w:val="32"/>
          <w:szCs w:val="32"/>
          <w:highlight w:val="none"/>
        </w:rPr>
        <w:t>、主要经验及做法、存在的问题及原因分析</w:t>
      </w:r>
    </w:p>
    <w:p w14:paraId="5800A8C0">
      <w:pPr>
        <w:spacing w:line="560" w:lineRule="exact"/>
        <w:ind w:firstLine="627" w:firstLineChars="200"/>
        <w:rPr>
          <w:rFonts w:eastAsia="楷体"/>
          <w:b/>
          <w:color w:val="auto"/>
          <w:spacing w:val="-4"/>
          <w:sz w:val="32"/>
          <w:szCs w:val="32"/>
          <w:highlight w:val="none"/>
        </w:rPr>
      </w:pPr>
      <w:r>
        <w:rPr>
          <w:rFonts w:eastAsia="楷体"/>
          <w:b/>
          <w:color w:val="auto"/>
          <w:spacing w:val="-4"/>
          <w:sz w:val="32"/>
          <w:szCs w:val="32"/>
          <w:highlight w:val="none"/>
        </w:rPr>
        <w:t>（一）主要经验及做法</w:t>
      </w:r>
    </w:p>
    <w:p w14:paraId="1EAD3E96">
      <w:pPr>
        <w:spacing w:line="560" w:lineRule="exact"/>
        <w:ind w:firstLine="640" w:firstLineChars="200"/>
        <w:rPr>
          <w:rFonts w:eastAsia="仿宋_GB2312"/>
          <w:color w:val="auto"/>
          <w:sz w:val="32"/>
          <w:szCs w:val="32"/>
          <w:highlight w:val="none"/>
        </w:rPr>
      </w:pPr>
      <w:r>
        <w:rPr>
          <w:rFonts w:eastAsia="仿宋_GB2312"/>
          <w:color w:val="auto"/>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77DD2497">
      <w:pPr>
        <w:pStyle w:val="2"/>
        <w:spacing w:before="0" w:after="0" w:line="560" w:lineRule="exact"/>
        <w:ind w:firstLine="640" w:firstLineChars="200"/>
        <w:jc w:val="left"/>
        <w:rPr>
          <w:rFonts w:ascii="Times New Roman" w:hAnsi="Times New Roman" w:eastAsia="仿宋_GB2312"/>
          <w:b w:val="0"/>
          <w:bCs w:val="0"/>
          <w:color w:val="auto"/>
          <w:kern w:val="2"/>
          <w:highlight w:val="none"/>
        </w:rPr>
      </w:pPr>
      <w:r>
        <w:rPr>
          <w:rFonts w:ascii="Times New Roman" w:hAnsi="Times New Roman" w:eastAsia="仿宋_GB2312"/>
          <w:b w:val="0"/>
          <w:bCs w:val="0"/>
          <w:color w:val="auto"/>
          <w:kern w:val="2"/>
          <w:highlight w:val="none"/>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1A051B6">
      <w:pPr>
        <w:keepNext/>
        <w:keepLines/>
        <w:numPr>
          <w:ilvl w:val="0"/>
          <w:numId w:val="6"/>
        </w:numPr>
        <w:spacing w:line="560" w:lineRule="exact"/>
        <w:ind w:firstLine="643" w:firstLineChars="200"/>
        <w:rPr>
          <w:rFonts w:eastAsia="楷体_GB2312"/>
          <w:b/>
          <w:bCs/>
          <w:color w:val="auto"/>
          <w:sz w:val="32"/>
          <w:szCs w:val="32"/>
          <w:highlight w:val="none"/>
        </w:rPr>
      </w:pPr>
      <w:r>
        <w:rPr>
          <w:rFonts w:eastAsia="楷体_GB2312"/>
          <w:b/>
          <w:bCs/>
          <w:color w:val="auto"/>
          <w:sz w:val="32"/>
          <w:szCs w:val="32"/>
          <w:highlight w:val="none"/>
        </w:rPr>
        <w:t>存在的问题及原因分析</w:t>
      </w:r>
    </w:p>
    <w:p w14:paraId="3C9D1881">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1380AE2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2.因轮岗、调动、等因素使我单位绩效工作人员流动频繁，造成了工作衔接不到位的情况。</w:t>
      </w:r>
    </w:p>
    <w:p w14:paraId="765AFE0D">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七、</w:t>
      </w:r>
      <w:r>
        <w:rPr>
          <w:rFonts w:eastAsia="黑体"/>
          <w:color w:val="auto"/>
          <w:sz w:val="32"/>
          <w:szCs w:val="32"/>
          <w:highlight w:val="none"/>
        </w:rPr>
        <w:t>有关建议</w:t>
      </w:r>
    </w:p>
    <w:p w14:paraId="1EC69B79">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1.多进行有关绩效管理工作方面的培训。积极组织第三方开展绩效管理工作培训，进一步夯实业务基础，提高我单位绩效人员水平。</w:t>
      </w:r>
    </w:p>
    <w:p w14:paraId="339CB97C">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2.专门设定对绩效工作人员定职、定岗、定责等相关制度措施，进一步提升我单位绩效管理工作业务水平，扎实做好绩效管理工作。</w:t>
      </w:r>
    </w:p>
    <w:p w14:paraId="78A5C7DF">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BF14966">
      <w:pPr>
        <w:shd w:val="clear"/>
        <w:spacing w:line="600" w:lineRule="exact"/>
        <w:ind w:firstLine="640" w:firstLineChars="200"/>
        <w:outlineLvl w:val="0"/>
        <w:rPr>
          <w:color w:val="auto"/>
          <w:sz w:val="22"/>
          <w:szCs w:val="28"/>
          <w:highlight w:val="none"/>
        </w:rPr>
      </w:pPr>
      <w:r>
        <w:rPr>
          <w:rFonts w:hint="eastAsia" w:ascii="仿宋_GB2312" w:hAnsi="仿宋_GB2312" w:eastAsia="仿宋_GB2312" w:cs="仿宋_GB2312"/>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color w:val="auto"/>
          <w:sz w:val="36"/>
          <w:szCs w:val="32"/>
          <w:highlight w:val="none"/>
        </w:rPr>
        <w:t>。</w:t>
      </w:r>
    </w:p>
    <w:p w14:paraId="68D4C9E2">
      <w:pPr>
        <w:shd w:val="clear"/>
        <w:spacing w:line="600" w:lineRule="exact"/>
        <w:ind w:firstLine="640" w:firstLineChars="200"/>
        <w:outlineLvl w:val="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0652B169">
      <w:pPr>
        <w:spacing w:line="560" w:lineRule="exact"/>
        <w:ind w:firstLine="640" w:firstLineChars="200"/>
        <w:rPr>
          <w:rFonts w:eastAsia="黑体"/>
          <w:color w:val="auto"/>
          <w:sz w:val="32"/>
          <w:szCs w:val="32"/>
          <w:highlight w:val="none"/>
        </w:rPr>
      </w:pPr>
      <w:r>
        <w:rPr>
          <w:rFonts w:hint="eastAsia" w:eastAsia="黑体"/>
          <w:color w:val="auto"/>
          <w:sz w:val="32"/>
          <w:szCs w:val="32"/>
          <w:highlight w:val="none"/>
          <w:lang w:eastAsia="zh-Hans"/>
        </w:rPr>
        <w:t>八、</w:t>
      </w:r>
      <w:r>
        <w:rPr>
          <w:rFonts w:eastAsia="黑体"/>
          <w:color w:val="auto"/>
          <w:sz w:val="32"/>
          <w:szCs w:val="32"/>
          <w:highlight w:val="none"/>
        </w:rPr>
        <w:t>其他需要说</w:t>
      </w:r>
      <w:bookmarkStart w:id="6" w:name="page8"/>
      <w:bookmarkEnd w:id="6"/>
      <w:r>
        <w:rPr>
          <w:rFonts w:eastAsia="黑体"/>
          <w:color w:val="auto"/>
          <w:sz w:val="32"/>
          <w:szCs w:val="32"/>
          <w:highlight w:val="none"/>
        </w:rPr>
        <w:t>明的问题</w:t>
      </w:r>
    </w:p>
    <w:p w14:paraId="69614860">
      <w:pPr>
        <w:pStyle w:val="12"/>
        <w:spacing w:after="0" w:line="560" w:lineRule="exact"/>
        <w:ind w:left="0" w:leftChars="0" w:firstLine="640"/>
        <w:rPr>
          <w:rFonts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Hans"/>
        </w:rPr>
        <w:t>本项目无其他需说明的问题。</w:t>
      </w:r>
    </w:p>
    <w:p w14:paraId="420EF3F6">
      <w:pPr>
        <w:pStyle w:val="12"/>
        <w:spacing w:after="0" w:line="560" w:lineRule="exact"/>
        <w:ind w:left="0" w:leftChars="0" w:firstLine="640"/>
        <w:rPr>
          <w:rFonts w:ascii="仿宋_GB2312" w:hAnsi="仿宋_GB2312" w:eastAsia="仿宋_GB2312" w:cs="仿宋_GB2312"/>
          <w:color w:val="auto"/>
          <w:sz w:val="32"/>
          <w:szCs w:val="32"/>
          <w:highlight w:val="none"/>
        </w:rPr>
      </w:pPr>
    </w:p>
    <w:p w14:paraId="5D1D4458">
      <w:pPr>
        <w:pStyle w:val="12"/>
        <w:spacing w:after="0" w:line="560" w:lineRule="exact"/>
        <w:ind w:left="0" w:leftChars="0" w:firstLine="640"/>
        <w:rPr>
          <w:rFonts w:ascii="仿宋_GB2312" w:hAnsi="仿宋_GB2312" w:eastAsia="仿宋_GB2312" w:cs="仿宋_GB2312"/>
          <w:color w:val="auto"/>
          <w:sz w:val="32"/>
          <w:szCs w:val="32"/>
          <w:highlight w:val="none"/>
        </w:rPr>
      </w:pPr>
    </w:p>
    <w:p w14:paraId="01ADCB13">
      <w:pPr>
        <w:pStyle w:val="12"/>
        <w:spacing w:after="0" w:line="560" w:lineRule="exact"/>
        <w:ind w:left="0" w:leftChars="0" w:firstLine="0" w:firstLineChars="0"/>
        <w:rPr>
          <w:rFonts w:ascii="仿宋_GB2312" w:hAnsi="仿宋_GB2312" w:eastAsia="仿宋_GB2312" w:cs="仿宋_GB2312"/>
          <w:color w:val="auto"/>
          <w:sz w:val="32"/>
          <w:szCs w:val="32"/>
          <w:highlight w:val="none"/>
        </w:rPr>
      </w:pPr>
    </w:p>
    <w:p w14:paraId="746988F4">
      <w:pPr>
        <w:widowControl/>
        <w:jc w:val="center"/>
        <w:textAlignment w:val="center"/>
        <w:rPr>
          <w:rFonts w:eastAsia="方正小标宋简体"/>
          <w:b/>
          <w:color w:val="auto"/>
          <w:kern w:val="0"/>
          <w:sz w:val="32"/>
          <w:szCs w:val="32"/>
          <w:highlight w:val="none"/>
          <w:lang w:bidi="ar"/>
        </w:rPr>
        <w:sectPr>
          <w:pgSz w:w="11906" w:h="16838"/>
          <w:pgMar w:top="1440" w:right="1558" w:bottom="1440" w:left="1800" w:header="851" w:footer="992" w:gutter="0"/>
          <w:cols w:space="425" w:num="1"/>
          <w:docGrid w:type="lines" w:linePitch="312" w:charSpace="0"/>
        </w:sectPr>
      </w:pPr>
    </w:p>
    <w:tbl>
      <w:tblPr>
        <w:tblStyle w:val="13"/>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14:paraId="763CF6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color="auto" w:fill="auto"/>
            <w:vAlign w:val="center"/>
          </w:tcPr>
          <w:p w14:paraId="00EB51F9">
            <w:pPr>
              <w:keepNext w:val="0"/>
              <w:keepLines w:val="0"/>
              <w:widowControl/>
              <w:suppressLineNumbers w:val="0"/>
              <w:jc w:val="center"/>
              <w:textAlignment w:val="center"/>
              <w:rPr>
                <w:rFonts w:hint="eastAsia" w:ascii="宋体" w:hAnsi="宋体" w:eastAsia="宋体" w:cs="宋体"/>
                <w:b/>
                <w:bCs/>
                <w:i w:val="0"/>
                <w:iCs w:val="0"/>
                <w:color w:val="auto"/>
                <w:sz w:val="32"/>
                <w:szCs w:val="32"/>
                <w:highlight w:val="none"/>
                <w:u w:val="none"/>
              </w:rPr>
            </w:pPr>
            <w:r>
              <w:rPr>
                <w:rFonts w:hint="eastAsia" w:ascii="宋体" w:hAnsi="宋体" w:eastAsia="宋体" w:cs="宋体"/>
                <w:b/>
                <w:bCs/>
                <w:i w:val="0"/>
                <w:iCs w:val="0"/>
                <w:color w:val="auto"/>
                <w:kern w:val="0"/>
                <w:sz w:val="32"/>
                <w:szCs w:val="32"/>
                <w:highlight w:val="none"/>
                <w:u w:val="none"/>
                <w:lang w:val="en-US" w:eastAsia="zh-CN" w:bidi="ar"/>
              </w:rPr>
              <w:t>项目支出绩效自评表</w:t>
            </w:r>
          </w:p>
        </w:tc>
      </w:tr>
      <w:tr w14:paraId="39484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color="auto" w:fill="auto"/>
            <w:vAlign w:val="center"/>
          </w:tcPr>
          <w:p w14:paraId="1583AA7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(2023年度)</w:t>
            </w:r>
          </w:p>
        </w:tc>
      </w:tr>
      <w:tr w14:paraId="6438B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261B8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14:paraId="6D50260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奇台县2023年化解工程欠款</w:t>
            </w:r>
          </w:p>
        </w:tc>
      </w:tr>
      <w:tr w14:paraId="73F20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349D9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D0A8A8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奇台县项目代建管理局</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4FE7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488CB7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奇台县项目代建管理局</w:t>
            </w:r>
          </w:p>
        </w:tc>
      </w:tr>
      <w:tr w14:paraId="0B061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1834A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项目资金</w:t>
            </w:r>
            <w:r>
              <w:rPr>
                <w:rFonts w:hint="eastAsia" w:ascii="宋体" w:hAnsi="宋体" w:eastAsia="宋体" w:cs="宋体"/>
                <w:i w:val="0"/>
                <w:iCs w:val="0"/>
                <w:color w:val="auto"/>
                <w:kern w:val="0"/>
                <w:sz w:val="20"/>
                <w:szCs w:val="20"/>
                <w:highlight w:val="none"/>
                <w:u w:val="none"/>
                <w:lang w:val="en-US" w:eastAsia="zh-CN" w:bidi="ar"/>
              </w:rPr>
              <w:br w:type="textWrapping"/>
            </w:r>
            <w:r>
              <w:rPr>
                <w:rFonts w:hint="eastAsia" w:ascii="宋体" w:hAnsi="宋体" w:eastAsia="宋体" w:cs="宋体"/>
                <w:i w:val="0"/>
                <w:iCs w:val="0"/>
                <w:color w:val="auto"/>
                <w:kern w:val="0"/>
                <w:sz w:val="20"/>
                <w:szCs w:val="20"/>
                <w:highlight w:val="none"/>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45A9D5">
            <w:pPr>
              <w:jc w:val="center"/>
              <w:rPr>
                <w:rFonts w:hint="eastAsia" w:ascii="宋体" w:hAnsi="宋体" w:eastAsia="宋体" w:cs="宋体"/>
                <w:i w:val="0"/>
                <w:iCs w:val="0"/>
                <w:color w:val="auto"/>
                <w:sz w:val="20"/>
                <w:szCs w:val="20"/>
                <w:highlight w:val="none"/>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FED6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B9FA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7AB79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C1BBE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648F9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079F9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r>
      <w:tr w14:paraId="1C6C3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9B0A94">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0C276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48DB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0AE2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969.29</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D7BC3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969.20</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C6E9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2922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99.99%</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3FE1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10.00分</w:t>
            </w:r>
          </w:p>
        </w:tc>
      </w:tr>
      <w:tr w14:paraId="28456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1DA5E7">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0BA5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B787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573FF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969.29</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44868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969.2</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22389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21F18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D8F4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116C9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CDFE0A">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2D573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E603C">
            <w:pPr>
              <w:jc w:val="center"/>
              <w:rPr>
                <w:rFonts w:hint="eastAsia" w:ascii="宋体" w:hAnsi="宋体" w:eastAsia="宋体" w:cs="宋体"/>
                <w:i w:val="0"/>
                <w:iCs w:val="0"/>
                <w:color w:val="auto"/>
                <w:sz w:val="20"/>
                <w:szCs w:val="20"/>
                <w:highlight w:val="none"/>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86E269">
            <w:pPr>
              <w:jc w:val="center"/>
              <w:rPr>
                <w:rFonts w:hint="eastAsia" w:ascii="宋体" w:hAnsi="宋体" w:eastAsia="宋体" w:cs="宋体"/>
                <w:i w:val="0"/>
                <w:iCs w:val="0"/>
                <w:color w:val="auto"/>
                <w:sz w:val="20"/>
                <w:szCs w:val="20"/>
                <w:highlight w:val="none"/>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8754E2">
            <w:pPr>
              <w:jc w:val="center"/>
              <w:rPr>
                <w:rFonts w:hint="eastAsia" w:ascii="宋体" w:hAnsi="宋体" w:eastAsia="宋体" w:cs="宋体"/>
                <w:i w:val="0"/>
                <w:iCs w:val="0"/>
                <w:color w:val="auto"/>
                <w:sz w:val="20"/>
                <w:szCs w:val="20"/>
                <w:highlight w:val="none"/>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7159F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EC64E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004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7DC18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8C8C31">
            <w:pPr>
              <w:jc w:val="center"/>
              <w:rPr>
                <w:rFonts w:hint="eastAsia" w:ascii="宋体" w:hAnsi="宋体" w:eastAsia="宋体" w:cs="宋体"/>
                <w:i w:val="0"/>
                <w:iCs w:val="0"/>
                <w:color w:val="auto"/>
                <w:sz w:val="20"/>
                <w:szCs w:val="20"/>
                <w:highlight w:val="none"/>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32A8D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A638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FA441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38C788">
            <w:pPr>
              <w:jc w:val="center"/>
              <w:rPr>
                <w:rFonts w:hint="eastAsia" w:ascii="宋体" w:hAnsi="宋体" w:eastAsia="宋体" w:cs="宋体"/>
                <w:i w:val="0"/>
                <w:iCs w:val="0"/>
                <w:color w:val="auto"/>
                <w:sz w:val="20"/>
                <w:szCs w:val="20"/>
                <w:highlight w:val="none"/>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73F15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6FF5B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6A2B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w:t>
            </w:r>
          </w:p>
        </w:tc>
      </w:tr>
      <w:tr w14:paraId="17190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F6B1AC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3CF7C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94A6FD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实际完成情况</w:t>
            </w:r>
          </w:p>
        </w:tc>
      </w:tr>
      <w:tr w14:paraId="14CB0E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39F146">
            <w:pPr>
              <w:jc w:val="center"/>
              <w:rPr>
                <w:rFonts w:hint="eastAsia" w:ascii="宋体" w:hAnsi="宋体" w:eastAsia="宋体" w:cs="宋体"/>
                <w:i w:val="0"/>
                <w:iCs w:val="0"/>
                <w:color w:val="auto"/>
                <w:sz w:val="20"/>
                <w:szCs w:val="20"/>
                <w:highlight w:val="none"/>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0DFABC8C">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债务支付笔数&gt;10笔，债务资金支付完成率&gt;=100%，债务还款准确率&gt;=100%，债务资金按期支付率&gt;=100%，债务资金支付率&gt;=100%，保障单位良好信用，有保障，支付对象满意度&gt;=95%。</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14:paraId="447E56C6">
            <w:pPr>
              <w:keepNext w:val="0"/>
              <w:keepLines w:val="0"/>
              <w:widowControl/>
              <w:suppressLineNumbers w:val="0"/>
              <w:jc w:val="left"/>
              <w:textAlignment w:val="top"/>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完成支付债务支付笔数13笔，债务资金支付完成率债务资金支付完成率&gt;=100%，债务还款准确率&gt;=100%，债务资金按期支付率&gt;=100%，债务资金支付率&gt;=100%，保障单位良好信用，有保障，支付对象满意度&gt;=95%。</w:t>
            </w:r>
          </w:p>
        </w:tc>
      </w:tr>
      <w:tr w14:paraId="0C130E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B823888">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68E8B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B762E3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74BAC8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97791C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E4104D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D4777D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A71C0D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8C8A89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偏差原因分析及改进措施</w:t>
            </w:r>
          </w:p>
        </w:tc>
      </w:tr>
      <w:tr w14:paraId="50D898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AB84DE">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F78564">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4F9AB4">
            <w:pPr>
              <w:jc w:val="center"/>
              <w:rPr>
                <w:rFonts w:hint="eastAsia" w:ascii="宋体" w:hAnsi="宋体" w:eastAsia="宋体" w:cs="宋体"/>
                <w:i w:val="0"/>
                <w:iCs w:val="0"/>
                <w:color w:val="auto"/>
                <w:sz w:val="20"/>
                <w:szCs w:val="20"/>
                <w:highlight w:val="none"/>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DF1A96">
            <w:pPr>
              <w:jc w:val="center"/>
              <w:rPr>
                <w:rFonts w:hint="eastAsia" w:ascii="宋体" w:hAnsi="宋体" w:eastAsia="宋体" w:cs="宋体"/>
                <w:i w:val="0"/>
                <w:iCs w:val="0"/>
                <w:color w:val="auto"/>
                <w:sz w:val="20"/>
                <w:szCs w:val="20"/>
                <w:highlight w:val="none"/>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421751">
            <w:pPr>
              <w:jc w:val="center"/>
              <w:rPr>
                <w:rFonts w:hint="eastAsia" w:ascii="宋体" w:hAnsi="宋体" w:eastAsia="宋体" w:cs="宋体"/>
                <w:i w:val="0"/>
                <w:iCs w:val="0"/>
                <w:color w:val="auto"/>
                <w:sz w:val="20"/>
                <w:szCs w:val="20"/>
                <w:highlight w:val="none"/>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12C8C">
            <w:pPr>
              <w:jc w:val="center"/>
              <w:rPr>
                <w:rFonts w:hint="eastAsia" w:ascii="宋体" w:hAnsi="宋体" w:eastAsia="宋体" w:cs="宋体"/>
                <w:i w:val="0"/>
                <w:iCs w:val="0"/>
                <w:color w:val="auto"/>
                <w:sz w:val="20"/>
                <w:szCs w:val="20"/>
                <w:highlight w:val="none"/>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A76CB7">
            <w:pPr>
              <w:jc w:val="center"/>
              <w:rPr>
                <w:rFonts w:hint="eastAsia" w:ascii="宋体" w:hAnsi="宋体" w:eastAsia="宋体" w:cs="宋体"/>
                <w:i w:val="0"/>
                <w:iCs w:val="0"/>
                <w:color w:val="auto"/>
                <w:sz w:val="20"/>
                <w:szCs w:val="20"/>
                <w:highlight w:val="none"/>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7695EB">
            <w:pPr>
              <w:jc w:val="center"/>
              <w:rPr>
                <w:rFonts w:hint="eastAsia" w:ascii="宋体" w:hAnsi="宋体" w:eastAsia="宋体" w:cs="宋体"/>
                <w:i w:val="0"/>
                <w:iCs w:val="0"/>
                <w:color w:val="auto"/>
                <w:sz w:val="20"/>
                <w:szCs w:val="20"/>
                <w:highlight w:val="none"/>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4CF5C5">
            <w:pPr>
              <w:jc w:val="center"/>
              <w:rPr>
                <w:rFonts w:hint="eastAsia" w:ascii="宋体" w:hAnsi="宋体" w:eastAsia="宋体" w:cs="宋体"/>
                <w:i w:val="0"/>
                <w:iCs w:val="0"/>
                <w:color w:val="auto"/>
                <w:sz w:val="20"/>
                <w:szCs w:val="20"/>
                <w:highlight w:val="none"/>
                <w:u w:val="none"/>
              </w:rPr>
            </w:pPr>
          </w:p>
        </w:tc>
      </w:tr>
      <w:tr w14:paraId="6AC045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10197E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F7950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AC0E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2380FB">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债务支付笔数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48C9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&gt;=13笔</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B2D7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=13笔</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1B4E9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102C6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20840">
            <w:pPr>
              <w:jc w:val="center"/>
              <w:rPr>
                <w:rFonts w:hint="eastAsia" w:ascii="宋体" w:hAnsi="宋体" w:eastAsia="宋体" w:cs="宋体"/>
                <w:i w:val="0"/>
                <w:iCs w:val="0"/>
                <w:color w:val="auto"/>
                <w:sz w:val="20"/>
                <w:szCs w:val="20"/>
                <w:highlight w:val="none"/>
                <w:u w:val="none"/>
              </w:rPr>
            </w:pPr>
          </w:p>
        </w:tc>
      </w:tr>
      <w:tr w14:paraId="70EEC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5860BC">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7CD720">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2710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351AA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债务资金支付完成率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EC34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4127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D7D28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CD7C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B08198">
            <w:pPr>
              <w:jc w:val="center"/>
              <w:rPr>
                <w:rFonts w:hint="eastAsia" w:ascii="宋体" w:hAnsi="宋体" w:eastAsia="宋体" w:cs="宋体"/>
                <w:i w:val="0"/>
                <w:iCs w:val="0"/>
                <w:color w:val="auto"/>
                <w:sz w:val="20"/>
                <w:szCs w:val="20"/>
                <w:highlight w:val="none"/>
                <w:u w:val="none"/>
              </w:rPr>
            </w:pPr>
          </w:p>
        </w:tc>
      </w:tr>
      <w:tr w14:paraId="0C513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6600B42">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3CC975">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9C97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5FCA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债务还款准确率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E33F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2A89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CFE27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73795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FB2AA5">
            <w:pPr>
              <w:jc w:val="center"/>
              <w:rPr>
                <w:rFonts w:hint="eastAsia" w:ascii="宋体" w:hAnsi="宋体" w:eastAsia="宋体" w:cs="宋体"/>
                <w:i w:val="0"/>
                <w:iCs w:val="0"/>
                <w:color w:val="auto"/>
                <w:sz w:val="20"/>
                <w:szCs w:val="20"/>
                <w:highlight w:val="none"/>
                <w:u w:val="none"/>
              </w:rPr>
            </w:pPr>
          </w:p>
        </w:tc>
      </w:tr>
      <w:tr w14:paraId="398D7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30A600">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468EC43">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EC1A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ACFA63">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债务资金按期支付率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79ED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4F21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5BDE3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0661C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519A5D">
            <w:pPr>
              <w:jc w:val="center"/>
              <w:rPr>
                <w:rFonts w:hint="eastAsia" w:ascii="宋体" w:hAnsi="宋体" w:eastAsia="宋体" w:cs="宋体"/>
                <w:i w:val="0"/>
                <w:iCs w:val="0"/>
                <w:color w:val="auto"/>
                <w:sz w:val="20"/>
                <w:szCs w:val="20"/>
                <w:highlight w:val="none"/>
                <w:u w:val="none"/>
              </w:rPr>
            </w:pPr>
          </w:p>
        </w:tc>
      </w:tr>
      <w:tr w14:paraId="3DF79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B4F43">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A010E5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ED7E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ACE6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债务资金支付率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B801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&lt;=100%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DE212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=99.99%</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8C753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5CDC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19.99</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C3F83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与财政局、商信局沟通失误，多支付0.09万元，改进措施：进一步加强与商信局及财政局的沟通工作</w:t>
            </w:r>
          </w:p>
        </w:tc>
      </w:tr>
      <w:tr w14:paraId="7604E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A17B13">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8B391B">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7179E">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38E00">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AC4365">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9F88B">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60A412C">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7D5467">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85EFE0">
            <w:pPr>
              <w:jc w:val="center"/>
              <w:rPr>
                <w:rFonts w:hint="eastAsia" w:ascii="宋体" w:hAnsi="宋体" w:eastAsia="宋体" w:cs="宋体"/>
                <w:i w:val="0"/>
                <w:iCs w:val="0"/>
                <w:color w:val="auto"/>
                <w:sz w:val="20"/>
                <w:szCs w:val="20"/>
                <w:highlight w:val="none"/>
                <w:u w:val="none"/>
              </w:rPr>
            </w:pPr>
          </w:p>
        </w:tc>
      </w:tr>
      <w:tr w14:paraId="785F7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D835D6">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85A0D4">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5603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868249">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E0734">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66E08">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4A015A">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A18FF1">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8A221F">
            <w:pPr>
              <w:jc w:val="center"/>
              <w:rPr>
                <w:rFonts w:hint="eastAsia" w:ascii="宋体" w:hAnsi="宋体" w:eastAsia="宋体" w:cs="宋体"/>
                <w:i w:val="0"/>
                <w:iCs w:val="0"/>
                <w:color w:val="auto"/>
                <w:sz w:val="20"/>
                <w:szCs w:val="20"/>
                <w:highlight w:val="none"/>
                <w:u w:val="none"/>
              </w:rPr>
            </w:pPr>
          </w:p>
        </w:tc>
      </w:tr>
      <w:tr w14:paraId="528E45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FA6757">
            <w:pPr>
              <w:jc w:val="center"/>
              <w:rPr>
                <w:rFonts w:hint="eastAsia" w:ascii="宋体" w:hAnsi="宋体" w:eastAsia="宋体" w:cs="宋体"/>
                <w:i w:val="0"/>
                <w:iCs w:val="0"/>
                <w:color w:val="auto"/>
                <w:sz w:val="20"/>
                <w:szCs w:val="20"/>
                <w:highlight w:val="none"/>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0B43D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CBD84">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DF020D">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EC97E">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48282">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5B5326">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643331">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05ABEC">
            <w:pPr>
              <w:jc w:val="center"/>
              <w:rPr>
                <w:rFonts w:hint="eastAsia" w:ascii="宋体" w:hAnsi="宋体" w:eastAsia="宋体" w:cs="宋体"/>
                <w:i w:val="0"/>
                <w:iCs w:val="0"/>
                <w:color w:val="auto"/>
                <w:sz w:val="20"/>
                <w:szCs w:val="20"/>
                <w:highlight w:val="none"/>
                <w:u w:val="none"/>
              </w:rPr>
            </w:pPr>
          </w:p>
        </w:tc>
      </w:tr>
      <w:tr w14:paraId="1E022E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49F3F9">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F7D1D1">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A2F6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CCE94">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保障单位良好信用</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660A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有效保障</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6C1B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有效保障</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9139A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5513C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9BA67D">
            <w:pPr>
              <w:jc w:val="center"/>
              <w:rPr>
                <w:rFonts w:hint="eastAsia" w:ascii="宋体" w:hAnsi="宋体" w:eastAsia="宋体" w:cs="宋体"/>
                <w:i w:val="0"/>
                <w:iCs w:val="0"/>
                <w:color w:val="auto"/>
                <w:sz w:val="20"/>
                <w:szCs w:val="20"/>
                <w:highlight w:val="none"/>
                <w:u w:val="none"/>
              </w:rPr>
            </w:pPr>
          </w:p>
        </w:tc>
      </w:tr>
      <w:tr w14:paraId="77956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257A0">
            <w:pPr>
              <w:jc w:val="center"/>
              <w:rPr>
                <w:rFonts w:hint="eastAsia" w:ascii="宋体" w:hAnsi="宋体" w:eastAsia="宋体" w:cs="宋体"/>
                <w:i w:val="0"/>
                <w:iCs w:val="0"/>
                <w:color w:val="auto"/>
                <w:sz w:val="20"/>
                <w:szCs w:val="20"/>
                <w:highlight w:val="none"/>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C58C0">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A3FC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257D4">
            <w:pPr>
              <w:jc w:val="left"/>
              <w:rPr>
                <w:rFonts w:hint="eastAsia" w:ascii="宋体" w:hAnsi="宋体" w:eastAsia="宋体" w:cs="宋体"/>
                <w:i w:val="0"/>
                <w:iCs w:val="0"/>
                <w:color w:val="auto"/>
                <w:sz w:val="20"/>
                <w:szCs w:val="20"/>
                <w:highlight w:val="none"/>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E7431">
            <w:pPr>
              <w:jc w:val="center"/>
              <w:rPr>
                <w:rFonts w:hint="eastAsia" w:ascii="宋体" w:hAnsi="宋体" w:eastAsia="宋体" w:cs="宋体"/>
                <w:i w:val="0"/>
                <w:iCs w:val="0"/>
                <w:color w:val="auto"/>
                <w:sz w:val="20"/>
                <w:szCs w:val="20"/>
                <w:highlight w:val="none"/>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10727">
            <w:pPr>
              <w:jc w:val="center"/>
              <w:rPr>
                <w:rFonts w:hint="eastAsia" w:ascii="宋体" w:hAnsi="宋体" w:eastAsia="宋体" w:cs="宋体"/>
                <w:i w:val="0"/>
                <w:iCs w:val="0"/>
                <w:color w:val="auto"/>
                <w:sz w:val="20"/>
                <w:szCs w:val="20"/>
                <w:highlight w:val="none"/>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57A94A">
            <w:pPr>
              <w:jc w:val="center"/>
              <w:rPr>
                <w:rFonts w:hint="eastAsia" w:ascii="宋体" w:hAnsi="宋体" w:eastAsia="宋体" w:cs="宋体"/>
                <w:i w:val="0"/>
                <w:iCs w:val="0"/>
                <w:color w:val="auto"/>
                <w:sz w:val="20"/>
                <w:szCs w:val="20"/>
                <w:highlight w:val="none"/>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B568A">
            <w:pPr>
              <w:jc w:val="center"/>
              <w:rPr>
                <w:rFonts w:hint="eastAsia" w:ascii="宋体" w:hAnsi="宋体" w:eastAsia="宋体" w:cs="宋体"/>
                <w:i w:val="0"/>
                <w:iCs w:val="0"/>
                <w:color w:val="auto"/>
                <w:sz w:val="20"/>
                <w:szCs w:val="20"/>
                <w:highlight w:val="none"/>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4A690F">
            <w:pPr>
              <w:jc w:val="center"/>
              <w:rPr>
                <w:rFonts w:hint="eastAsia" w:ascii="宋体" w:hAnsi="宋体" w:eastAsia="宋体" w:cs="宋体"/>
                <w:i w:val="0"/>
                <w:iCs w:val="0"/>
                <w:color w:val="auto"/>
                <w:sz w:val="20"/>
                <w:szCs w:val="20"/>
                <w:highlight w:val="none"/>
                <w:u w:val="none"/>
              </w:rPr>
            </w:pPr>
          </w:p>
        </w:tc>
      </w:tr>
      <w:tr w14:paraId="74248A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75894A">
            <w:pPr>
              <w:jc w:val="center"/>
              <w:rPr>
                <w:rFonts w:hint="eastAsia" w:ascii="宋体" w:hAnsi="宋体" w:eastAsia="宋体" w:cs="宋体"/>
                <w:i w:val="0"/>
                <w:iCs w:val="0"/>
                <w:color w:val="auto"/>
                <w:sz w:val="20"/>
                <w:szCs w:val="20"/>
                <w:highlight w:val="none"/>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79D2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482D2">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D9EAE">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支付对象满意度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25238">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2127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4C36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118DF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F10B64">
            <w:pPr>
              <w:jc w:val="center"/>
              <w:rPr>
                <w:rFonts w:hint="eastAsia" w:ascii="宋体" w:hAnsi="宋体" w:eastAsia="宋体" w:cs="宋体"/>
                <w:i w:val="0"/>
                <w:iCs w:val="0"/>
                <w:color w:val="auto"/>
                <w:sz w:val="20"/>
                <w:szCs w:val="20"/>
                <w:highlight w:val="none"/>
                <w:u w:val="none"/>
              </w:rPr>
            </w:pPr>
          </w:p>
        </w:tc>
      </w:tr>
      <w:tr w14:paraId="5E9FC4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14:paraId="608B0AE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BFB5F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111A15">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99.99分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D4A88A">
            <w:pPr>
              <w:jc w:val="center"/>
              <w:rPr>
                <w:rFonts w:hint="eastAsia" w:ascii="宋体" w:hAnsi="宋体" w:eastAsia="宋体" w:cs="宋体"/>
                <w:i w:val="0"/>
                <w:iCs w:val="0"/>
                <w:color w:val="auto"/>
                <w:sz w:val="20"/>
                <w:szCs w:val="20"/>
                <w:highlight w:val="none"/>
                <w:u w:val="none"/>
              </w:rPr>
            </w:pPr>
          </w:p>
        </w:tc>
      </w:tr>
    </w:tbl>
    <w:p w14:paraId="612EBEEB">
      <w:pPr>
        <w:pStyle w:val="2"/>
        <w:jc w:val="both"/>
        <w:rPr>
          <w:rFonts w:ascii="Times New Roman" w:hAnsi="Times New Roman" w:eastAsia="黑体"/>
          <w:b w:val="0"/>
          <w:bCs w:val="0"/>
          <w:color w:val="auto"/>
          <w:highlight w:val="none"/>
        </w:rPr>
      </w:pPr>
    </w:p>
    <w:p w14:paraId="29A52B7D">
      <w:pPr>
        <w:pStyle w:val="2"/>
        <w:rPr>
          <w:rFonts w:ascii="Times New Roman" w:hAnsi="Times New Roman" w:eastAsia="黑体"/>
          <w:b w:val="0"/>
          <w:bCs w:val="0"/>
          <w:color w:val="auto"/>
          <w:highlight w:val="none"/>
        </w:rPr>
      </w:pPr>
    </w:p>
    <w:p w14:paraId="3E718AA1">
      <w:pPr>
        <w:pStyle w:val="2"/>
        <w:jc w:val="both"/>
        <w:rPr>
          <w:rFonts w:ascii="Times New Roman" w:hAnsi="Times New Roman"/>
          <w:color w:val="auto"/>
          <w:highlight w:val="none"/>
        </w:rPr>
        <w:sectPr>
          <w:pgSz w:w="16838" w:h="11906" w:orient="landscape"/>
          <w:pgMar w:top="1800" w:right="1440" w:bottom="1558" w:left="1440" w:header="851" w:footer="992" w:gutter="0"/>
          <w:cols w:space="425" w:num="1"/>
          <w:docGrid w:type="lines" w:linePitch="312" w:charSpace="0"/>
        </w:sectPr>
      </w:pPr>
    </w:p>
    <w:p w14:paraId="00E992CF">
      <w:pPr>
        <w:spacing w:line="600" w:lineRule="exact"/>
        <w:rPr>
          <w:rFonts w:hint="eastAsia" w:ascii="黑体" w:hAnsi="黑体" w:eastAsia="黑体" w:cs="黑体"/>
          <w:color w:val="auto"/>
          <w:highlight w:val="none"/>
        </w:rPr>
      </w:pPr>
      <w:r>
        <w:rPr>
          <w:rFonts w:hint="eastAsia" w:ascii="黑体" w:hAnsi="黑体" w:eastAsia="黑体" w:cs="黑体"/>
          <w:bCs/>
          <w:color w:val="auto"/>
          <w:sz w:val="32"/>
          <w:szCs w:val="32"/>
          <w:highlight w:val="none"/>
        </w:rPr>
        <w:t>附件1</w:t>
      </w:r>
    </w:p>
    <w:p w14:paraId="1EC6EB57">
      <w:pPr>
        <w:pStyle w:val="18"/>
        <w:ind w:firstLine="562"/>
        <w:jc w:val="center"/>
        <w:rPr>
          <w:color w:val="auto"/>
          <w:sz w:val="28"/>
          <w:szCs w:val="40"/>
          <w:highlight w:val="none"/>
        </w:rPr>
      </w:pPr>
      <w:bookmarkStart w:id="7" w:name="_Toc26499_WPSOffice_Level2"/>
      <w:bookmarkStart w:id="8" w:name="_Toc30064_WPSOffice_Level1"/>
      <w:r>
        <w:rPr>
          <w:rFonts w:hint="eastAsia"/>
          <w:b/>
          <w:bCs/>
          <w:color w:val="auto"/>
          <w:sz w:val="28"/>
          <w:szCs w:val="40"/>
          <w:highlight w:val="none"/>
          <w:lang w:val="en-US" w:eastAsia="zh-CN"/>
        </w:rPr>
        <w:t>奇台县2023年化解工程欠款</w:t>
      </w:r>
      <w:r>
        <w:rPr>
          <w:rFonts w:hint="eastAsia"/>
          <w:b/>
          <w:bCs/>
          <w:color w:val="auto"/>
          <w:sz w:val="28"/>
          <w:szCs w:val="40"/>
          <w:highlight w:val="none"/>
        </w:rPr>
        <w:t>项目绩效评价指标体系及综合评分表</w:t>
      </w:r>
      <w:bookmarkEnd w:id="7"/>
      <w:bookmarkEnd w:id="8"/>
    </w:p>
    <w:tbl>
      <w:tblPr>
        <w:tblStyle w:val="13"/>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832"/>
        <w:gridCol w:w="764"/>
        <w:gridCol w:w="873"/>
        <w:gridCol w:w="2353"/>
        <w:gridCol w:w="5198"/>
        <w:gridCol w:w="1300"/>
        <w:gridCol w:w="1363"/>
      </w:tblGrid>
      <w:tr w14:paraId="0FB37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328" w:type="pct"/>
            <w:shd w:val="clear" w:color="auto" w:fill="FFFFFF"/>
            <w:vAlign w:val="center"/>
          </w:tcPr>
          <w:p w14:paraId="13FE5125">
            <w:pPr>
              <w:widowControl/>
              <w:spacing w:line="0" w:lineRule="atLeast"/>
              <w:jc w:val="center"/>
              <w:rPr>
                <w:b/>
                <w:bCs/>
                <w:color w:val="auto"/>
                <w:kern w:val="0"/>
                <w:sz w:val="22"/>
                <w:szCs w:val="22"/>
                <w:highlight w:val="none"/>
              </w:rPr>
            </w:pPr>
            <w:r>
              <w:rPr>
                <w:b/>
                <w:bCs/>
                <w:color w:val="auto"/>
                <w:kern w:val="0"/>
                <w:sz w:val="22"/>
                <w:szCs w:val="22"/>
                <w:highlight w:val="none"/>
              </w:rPr>
              <w:t>一级指标</w:t>
            </w:r>
          </w:p>
        </w:tc>
        <w:tc>
          <w:tcPr>
            <w:tcW w:w="301" w:type="pct"/>
            <w:shd w:val="clear" w:color="auto" w:fill="FFFFFF"/>
            <w:vAlign w:val="center"/>
          </w:tcPr>
          <w:p w14:paraId="758A5DF0">
            <w:pPr>
              <w:widowControl/>
              <w:spacing w:line="0" w:lineRule="atLeast"/>
              <w:jc w:val="center"/>
              <w:rPr>
                <w:b/>
                <w:bCs/>
                <w:color w:val="auto"/>
                <w:kern w:val="0"/>
                <w:sz w:val="22"/>
                <w:szCs w:val="22"/>
                <w:highlight w:val="none"/>
              </w:rPr>
            </w:pPr>
            <w:r>
              <w:rPr>
                <w:b/>
                <w:bCs/>
                <w:color w:val="auto"/>
                <w:kern w:val="0"/>
                <w:sz w:val="22"/>
                <w:szCs w:val="22"/>
                <w:highlight w:val="none"/>
              </w:rPr>
              <w:t>二级指标</w:t>
            </w:r>
          </w:p>
        </w:tc>
        <w:tc>
          <w:tcPr>
            <w:tcW w:w="344" w:type="pct"/>
            <w:shd w:val="clear" w:color="auto" w:fill="FFFFFF"/>
            <w:vAlign w:val="center"/>
          </w:tcPr>
          <w:p w14:paraId="7A058E87">
            <w:pPr>
              <w:widowControl/>
              <w:spacing w:line="0" w:lineRule="atLeast"/>
              <w:jc w:val="center"/>
              <w:rPr>
                <w:b/>
                <w:bCs/>
                <w:color w:val="auto"/>
                <w:kern w:val="0"/>
                <w:sz w:val="22"/>
                <w:szCs w:val="22"/>
                <w:highlight w:val="none"/>
              </w:rPr>
            </w:pPr>
            <w:r>
              <w:rPr>
                <w:b/>
                <w:bCs/>
                <w:color w:val="auto"/>
                <w:kern w:val="0"/>
                <w:sz w:val="22"/>
                <w:szCs w:val="22"/>
                <w:highlight w:val="none"/>
              </w:rPr>
              <w:t>三级指标</w:t>
            </w:r>
          </w:p>
        </w:tc>
        <w:tc>
          <w:tcPr>
            <w:tcW w:w="927" w:type="pct"/>
            <w:shd w:val="clear" w:color="auto" w:fill="FFFFFF"/>
            <w:vAlign w:val="center"/>
          </w:tcPr>
          <w:p w14:paraId="519767B5">
            <w:pPr>
              <w:widowControl/>
              <w:spacing w:line="0" w:lineRule="atLeast"/>
              <w:jc w:val="center"/>
              <w:rPr>
                <w:b/>
                <w:bCs/>
                <w:color w:val="auto"/>
                <w:kern w:val="0"/>
                <w:sz w:val="22"/>
                <w:szCs w:val="22"/>
                <w:highlight w:val="none"/>
              </w:rPr>
            </w:pPr>
            <w:r>
              <w:rPr>
                <w:b/>
                <w:bCs/>
                <w:color w:val="auto"/>
                <w:kern w:val="0"/>
                <w:sz w:val="22"/>
                <w:szCs w:val="22"/>
                <w:highlight w:val="none"/>
              </w:rPr>
              <w:t>指标解释</w:t>
            </w:r>
          </w:p>
        </w:tc>
        <w:tc>
          <w:tcPr>
            <w:tcW w:w="2048" w:type="pct"/>
            <w:shd w:val="clear" w:color="auto" w:fill="FFFFFF"/>
            <w:vAlign w:val="center"/>
          </w:tcPr>
          <w:p w14:paraId="08F01224">
            <w:pPr>
              <w:widowControl/>
              <w:spacing w:line="0" w:lineRule="atLeast"/>
              <w:jc w:val="center"/>
              <w:rPr>
                <w:rFonts w:hint="eastAsia" w:eastAsia="宋体"/>
                <w:b/>
                <w:bCs/>
                <w:color w:val="auto"/>
                <w:kern w:val="0"/>
                <w:sz w:val="22"/>
                <w:szCs w:val="22"/>
                <w:highlight w:val="none"/>
                <w:lang w:val="en-US" w:eastAsia="zh-CN"/>
              </w:rPr>
            </w:pPr>
            <w:r>
              <w:rPr>
                <w:b/>
                <w:bCs/>
                <w:color w:val="auto"/>
                <w:kern w:val="0"/>
                <w:sz w:val="22"/>
                <w:szCs w:val="22"/>
                <w:highlight w:val="none"/>
              </w:rPr>
              <w:t>指标说明</w:t>
            </w:r>
          </w:p>
        </w:tc>
        <w:tc>
          <w:tcPr>
            <w:tcW w:w="512" w:type="pct"/>
            <w:shd w:val="clear" w:color="auto" w:fill="FFFFFF"/>
            <w:vAlign w:val="center"/>
          </w:tcPr>
          <w:p w14:paraId="07E5E3D7">
            <w:pPr>
              <w:widowControl/>
              <w:spacing w:line="0" w:lineRule="atLeast"/>
              <w:jc w:val="center"/>
              <w:rPr>
                <w:b/>
                <w:bCs/>
                <w:color w:val="auto"/>
                <w:kern w:val="0"/>
                <w:sz w:val="22"/>
                <w:szCs w:val="22"/>
                <w:highlight w:val="none"/>
              </w:rPr>
            </w:pPr>
            <w:r>
              <w:rPr>
                <w:b/>
                <w:bCs/>
                <w:color w:val="auto"/>
                <w:kern w:val="0"/>
                <w:sz w:val="22"/>
                <w:szCs w:val="22"/>
                <w:highlight w:val="none"/>
              </w:rPr>
              <w:t>权重</w:t>
            </w:r>
          </w:p>
        </w:tc>
        <w:tc>
          <w:tcPr>
            <w:tcW w:w="537" w:type="pct"/>
            <w:shd w:val="clear" w:color="auto" w:fill="FFFFFF"/>
            <w:vAlign w:val="center"/>
          </w:tcPr>
          <w:p w14:paraId="670C0469">
            <w:pPr>
              <w:widowControl/>
              <w:spacing w:line="0" w:lineRule="atLeast"/>
              <w:jc w:val="center"/>
              <w:rPr>
                <w:b/>
                <w:bCs/>
                <w:color w:val="auto"/>
                <w:kern w:val="0"/>
                <w:sz w:val="22"/>
                <w:szCs w:val="22"/>
                <w:highlight w:val="none"/>
              </w:rPr>
            </w:pPr>
            <w:r>
              <w:rPr>
                <w:b/>
                <w:bCs/>
                <w:color w:val="auto"/>
                <w:kern w:val="0"/>
                <w:sz w:val="22"/>
                <w:szCs w:val="22"/>
                <w:highlight w:val="none"/>
              </w:rPr>
              <w:t>得分</w:t>
            </w:r>
          </w:p>
        </w:tc>
      </w:tr>
      <w:tr w14:paraId="2705F0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FFFFFF"/>
            <w:vAlign w:val="center"/>
          </w:tcPr>
          <w:p w14:paraId="5F276761">
            <w:pPr>
              <w:widowControl/>
              <w:spacing w:line="0" w:lineRule="atLeast"/>
              <w:jc w:val="center"/>
              <w:rPr>
                <w:color w:val="auto"/>
                <w:kern w:val="0"/>
                <w:sz w:val="22"/>
                <w:szCs w:val="22"/>
                <w:highlight w:val="none"/>
              </w:rPr>
            </w:pPr>
          </w:p>
          <w:p w14:paraId="5A2548F5">
            <w:pPr>
              <w:widowControl/>
              <w:spacing w:line="0" w:lineRule="atLeast"/>
              <w:jc w:val="center"/>
              <w:rPr>
                <w:color w:val="auto"/>
                <w:kern w:val="0"/>
                <w:sz w:val="22"/>
                <w:szCs w:val="22"/>
                <w:highlight w:val="none"/>
              </w:rPr>
            </w:pPr>
          </w:p>
          <w:p w14:paraId="684C2DF9">
            <w:pPr>
              <w:widowControl/>
              <w:spacing w:line="0" w:lineRule="atLeast"/>
              <w:jc w:val="center"/>
              <w:rPr>
                <w:color w:val="auto"/>
                <w:kern w:val="0"/>
                <w:sz w:val="22"/>
                <w:szCs w:val="22"/>
                <w:highlight w:val="none"/>
              </w:rPr>
            </w:pPr>
          </w:p>
          <w:p w14:paraId="6A19214F">
            <w:pPr>
              <w:widowControl/>
              <w:spacing w:line="0" w:lineRule="atLeast"/>
              <w:jc w:val="center"/>
              <w:rPr>
                <w:color w:val="auto"/>
                <w:kern w:val="0"/>
                <w:sz w:val="22"/>
                <w:szCs w:val="22"/>
                <w:highlight w:val="none"/>
              </w:rPr>
            </w:pPr>
          </w:p>
          <w:p w14:paraId="08F86E25">
            <w:pPr>
              <w:widowControl/>
              <w:spacing w:line="0" w:lineRule="atLeast"/>
              <w:jc w:val="center"/>
              <w:rPr>
                <w:color w:val="auto"/>
                <w:kern w:val="0"/>
                <w:sz w:val="22"/>
                <w:szCs w:val="22"/>
                <w:highlight w:val="none"/>
              </w:rPr>
            </w:pPr>
          </w:p>
          <w:p w14:paraId="6C672D14">
            <w:pPr>
              <w:widowControl/>
              <w:spacing w:line="0" w:lineRule="atLeast"/>
              <w:jc w:val="center"/>
              <w:rPr>
                <w:color w:val="auto"/>
                <w:kern w:val="0"/>
                <w:sz w:val="22"/>
                <w:szCs w:val="22"/>
                <w:highlight w:val="none"/>
              </w:rPr>
            </w:pPr>
          </w:p>
          <w:p w14:paraId="6BC7B948">
            <w:pPr>
              <w:widowControl/>
              <w:spacing w:line="0" w:lineRule="atLeast"/>
              <w:jc w:val="center"/>
              <w:rPr>
                <w:color w:val="auto"/>
                <w:kern w:val="0"/>
                <w:sz w:val="22"/>
                <w:szCs w:val="22"/>
                <w:highlight w:val="none"/>
              </w:rPr>
            </w:pPr>
            <w:r>
              <w:rPr>
                <w:color w:val="auto"/>
                <w:kern w:val="0"/>
                <w:sz w:val="22"/>
                <w:szCs w:val="22"/>
                <w:highlight w:val="none"/>
              </w:rPr>
              <w:t>决策　</w:t>
            </w:r>
          </w:p>
        </w:tc>
        <w:tc>
          <w:tcPr>
            <w:tcW w:w="301" w:type="pct"/>
            <w:vMerge w:val="restart"/>
            <w:shd w:val="clear" w:color="auto" w:fill="FFFFFF"/>
            <w:vAlign w:val="center"/>
          </w:tcPr>
          <w:p w14:paraId="7665C859">
            <w:pPr>
              <w:widowControl/>
              <w:spacing w:line="0" w:lineRule="atLeast"/>
              <w:jc w:val="center"/>
              <w:rPr>
                <w:color w:val="auto"/>
                <w:kern w:val="0"/>
                <w:sz w:val="22"/>
                <w:szCs w:val="22"/>
                <w:highlight w:val="none"/>
              </w:rPr>
            </w:pPr>
            <w:r>
              <w:rPr>
                <w:color w:val="auto"/>
                <w:kern w:val="0"/>
                <w:sz w:val="22"/>
                <w:szCs w:val="22"/>
                <w:highlight w:val="none"/>
              </w:rPr>
              <w:t>项目立项　</w:t>
            </w:r>
          </w:p>
        </w:tc>
        <w:tc>
          <w:tcPr>
            <w:tcW w:w="344" w:type="pct"/>
            <w:shd w:val="clear" w:color="auto" w:fill="FFFFFF"/>
            <w:vAlign w:val="center"/>
          </w:tcPr>
          <w:p w14:paraId="06AE5022">
            <w:pPr>
              <w:widowControl/>
              <w:spacing w:line="0" w:lineRule="atLeast"/>
              <w:jc w:val="center"/>
              <w:rPr>
                <w:color w:val="auto"/>
                <w:kern w:val="0"/>
                <w:sz w:val="22"/>
                <w:szCs w:val="22"/>
                <w:highlight w:val="none"/>
              </w:rPr>
            </w:pPr>
            <w:r>
              <w:rPr>
                <w:color w:val="auto"/>
                <w:kern w:val="0"/>
                <w:sz w:val="22"/>
                <w:szCs w:val="22"/>
                <w:highlight w:val="none"/>
              </w:rPr>
              <w:t>立项依据</w:t>
            </w:r>
          </w:p>
          <w:p w14:paraId="329BE1DC">
            <w:pPr>
              <w:widowControl/>
              <w:spacing w:line="0" w:lineRule="atLeast"/>
              <w:jc w:val="center"/>
              <w:rPr>
                <w:color w:val="auto"/>
                <w:kern w:val="0"/>
                <w:sz w:val="22"/>
                <w:szCs w:val="22"/>
                <w:highlight w:val="none"/>
              </w:rPr>
            </w:pPr>
            <w:r>
              <w:rPr>
                <w:color w:val="auto"/>
                <w:kern w:val="0"/>
                <w:sz w:val="22"/>
                <w:szCs w:val="22"/>
                <w:highlight w:val="none"/>
              </w:rPr>
              <w:t>充分性</w:t>
            </w:r>
          </w:p>
        </w:tc>
        <w:tc>
          <w:tcPr>
            <w:tcW w:w="927" w:type="pct"/>
            <w:shd w:val="clear" w:color="auto" w:fill="FFFFFF"/>
            <w:vAlign w:val="center"/>
          </w:tcPr>
          <w:p w14:paraId="3E345641">
            <w:pPr>
              <w:widowControl/>
              <w:spacing w:line="0" w:lineRule="atLeast"/>
              <w:rPr>
                <w:color w:val="auto"/>
                <w:kern w:val="0"/>
                <w:sz w:val="22"/>
                <w:szCs w:val="22"/>
                <w:highlight w:val="none"/>
              </w:rPr>
            </w:pPr>
            <w:r>
              <w:rPr>
                <w:color w:val="auto"/>
                <w:kern w:val="0"/>
                <w:sz w:val="22"/>
                <w:szCs w:val="22"/>
                <w:highlight w:val="none"/>
              </w:rPr>
              <w:t>项目立项是否符合法律法规、相关政策、发展规划以及部门职责，用以反映和考核项目立项依据情况。</w:t>
            </w:r>
          </w:p>
        </w:tc>
        <w:tc>
          <w:tcPr>
            <w:tcW w:w="2048" w:type="pct"/>
            <w:shd w:val="clear" w:color="auto" w:fill="FFFFFF"/>
            <w:vAlign w:val="center"/>
          </w:tcPr>
          <w:p w14:paraId="2DAD2A98">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①项目立项是否符合国家法律法规、国民经济发展规划和相关政策；</w:t>
            </w:r>
            <w:r>
              <w:rPr>
                <w:color w:val="auto"/>
                <w:kern w:val="0"/>
                <w:sz w:val="22"/>
                <w:szCs w:val="22"/>
                <w:highlight w:val="none"/>
              </w:rPr>
              <w:br w:type="textWrapping"/>
            </w:r>
            <w:r>
              <w:rPr>
                <w:color w:val="auto"/>
                <w:kern w:val="0"/>
                <w:sz w:val="22"/>
                <w:szCs w:val="22"/>
                <w:highlight w:val="none"/>
              </w:rPr>
              <w:t>②项目立项是否符合行业发展规划和政策要求；</w:t>
            </w:r>
            <w:r>
              <w:rPr>
                <w:color w:val="auto"/>
                <w:kern w:val="0"/>
                <w:sz w:val="22"/>
                <w:szCs w:val="22"/>
                <w:highlight w:val="none"/>
              </w:rPr>
              <w:br w:type="textWrapping"/>
            </w:r>
            <w:r>
              <w:rPr>
                <w:color w:val="auto"/>
                <w:kern w:val="0"/>
                <w:sz w:val="22"/>
                <w:szCs w:val="22"/>
                <w:highlight w:val="none"/>
              </w:rPr>
              <w:t>③项目立项是否与部门职责范围相符，属于部门履职所需；</w:t>
            </w:r>
            <w:r>
              <w:rPr>
                <w:color w:val="auto"/>
                <w:kern w:val="0"/>
                <w:sz w:val="22"/>
                <w:szCs w:val="22"/>
                <w:highlight w:val="none"/>
              </w:rPr>
              <w:br w:type="textWrapping"/>
            </w:r>
            <w:r>
              <w:rPr>
                <w:color w:val="auto"/>
                <w:kern w:val="0"/>
                <w:sz w:val="22"/>
                <w:szCs w:val="22"/>
                <w:highlight w:val="none"/>
              </w:rPr>
              <w:t>④项目是否属于公共财政支持范围，是否符合中央、地方事权支出责任划分原则；</w:t>
            </w:r>
            <w:r>
              <w:rPr>
                <w:color w:val="auto"/>
                <w:kern w:val="0"/>
                <w:sz w:val="22"/>
                <w:szCs w:val="22"/>
                <w:highlight w:val="none"/>
              </w:rPr>
              <w:br w:type="textWrapping"/>
            </w:r>
            <w:r>
              <w:rPr>
                <w:color w:val="auto"/>
                <w:kern w:val="0"/>
                <w:sz w:val="22"/>
                <w:szCs w:val="22"/>
                <w:highlight w:val="none"/>
              </w:rPr>
              <w:t>⑤项目是否与相关部门同类项目或部门内部相关项目重复。</w:t>
            </w:r>
          </w:p>
        </w:tc>
        <w:tc>
          <w:tcPr>
            <w:tcW w:w="512" w:type="pct"/>
            <w:shd w:val="clear" w:color="auto" w:fill="FFFFFF"/>
            <w:vAlign w:val="center"/>
          </w:tcPr>
          <w:p w14:paraId="6147E277">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14:paraId="32FED875">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76B720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1D1D4D69">
            <w:pPr>
              <w:spacing w:line="0" w:lineRule="atLeast"/>
              <w:jc w:val="center"/>
              <w:rPr>
                <w:color w:val="auto"/>
                <w:kern w:val="0"/>
                <w:sz w:val="22"/>
                <w:szCs w:val="22"/>
                <w:highlight w:val="none"/>
              </w:rPr>
            </w:pPr>
          </w:p>
        </w:tc>
        <w:tc>
          <w:tcPr>
            <w:tcW w:w="301" w:type="pct"/>
            <w:vMerge w:val="continue"/>
            <w:shd w:val="clear" w:color="auto" w:fill="FFFFFF"/>
            <w:vAlign w:val="center"/>
          </w:tcPr>
          <w:p w14:paraId="19AF0F49">
            <w:pPr>
              <w:widowControl/>
              <w:spacing w:line="0" w:lineRule="atLeast"/>
              <w:jc w:val="center"/>
              <w:rPr>
                <w:color w:val="auto"/>
                <w:kern w:val="0"/>
                <w:sz w:val="22"/>
                <w:szCs w:val="22"/>
                <w:highlight w:val="none"/>
              </w:rPr>
            </w:pPr>
          </w:p>
        </w:tc>
        <w:tc>
          <w:tcPr>
            <w:tcW w:w="344" w:type="pct"/>
            <w:shd w:val="clear" w:color="auto" w:fill="FFFFFF"/>
            <w:vAlign w:val="center"/>
          </w:tcPr>
          <w:p w14:paraId="0930BDD5">
            <w:pPr>
              <w:widowControl/>
              <w:spacing w:line="0" w:lineRule="atLeast"/>
              <w:jc w:val="center"/>
              <w:rPr>
                <w:color w:val="auto"/>
                <w:kern w:val="0"/>
                <w:sz w:val="22"/>
                <w:szCs w:val="22"/>
                <w:highlight w:val="none"/>
              </w:rPr>
            </w:pPr>
            <w:r>
              <w:rPr>
                <w:color w:val="auto"/>
                <w:kern w:val="0"/>
                <w:sz w:val="22"/>
                <w:szCs w:val="22"/>
                <w:highlight w:val="none"/>
              </w:rPr>
              <w:t>立项程序</w:t>
            </w:r>
          </w:p>
          <w:p w14:paraId="2098D39F">
            <w:pPr>
              <w:widowControl/>
              <w:spacing w:line="0" w:lineRule="atLeast"/>
              <w:jc w:val="center"/>
              <w:rPr>
                <w:color w:val="auto"/>
                <w:kern w:val="0"/>
                <w:sz w:val="22"/>
                <w:szCs w:val="22"/>
                <w:highlight w:val="none"/>
              </w:rPr>
            </w:pPr>
            <w:r>
              <w:rPr>
                <w:color w:val="auto"/>
                <w:kern w:val="0"/>
                <w:sz w:val="22"/>
                <w:szCs w:val="22"/>
                <w:highlight w:val="none"/>
              </w:rPr>
              <w:t>规范性</w:t>
            </w:r>
          </w:p>
        </w:tc>
        <w:tc>
          <w:tcPr>
            <w:tcW w:w="927" w:type="pct"/>
            <w:shd w:val="clear" w:color="auto" w:fill="FFFFFF"/>
            <w:vAlign w:val="center"/>
          </w:tcPr>
          <w:p w14:paraId="52C3B3E9">
            <w:pPr>
              <w:widowControl/>
              <w:spacing w:line="0" w:lineRule="atLeast"/>
              <w:rPr>
                <w:color w:val="auto"/>
                <w:kern w:val="0"/>
                <w:sz w:val="22"/>
                <w:szCs w:val="22"/>
                <w:highlight w:val="none"/>
              </w:rPr>
            </w:pPr>
            <w:r>
              <w:rPr>
                <w:color w:val="auto"/>
                <w:kern w:val="0"/>
                <w:sz w:val="22"/>
                <w:szCs w:val="22"/>
                <w:highlight w:val="none"/>
              </w:rPr>
              <w:t>项目申请、设立过程是否符合相关要求，用以反映和考核项目立项的规范情况。</w:t>
            </w:r>
          </w:p>
        </w:tc>
        <w:tc>
          <w:tcPr>
            <w:tcW w:w="2048" w:type="pct"/>
            <w:shd w:val="clear" w:color="auto" w:fill="FFFFFF"/>
            <w:vAlign w:val="center"/>
          </w:tcPr>
          <w:p w14:paraId="045C46DA">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①项目是否按照规定的程序申请设立；</w:t>
            </w:r>
            <w:r>
              <w:rPr>
                <w:color w:val="auto"/>
                <w:kern w:val="0"/>
                <w:sz w:val="22"/>
                <w:szCs w:val="22"/>
                <w:highlight w:val="none"/>
              </w:rPr>
              <w:br w:type="textWrapping"/>
            </w:r>
            <w:r>
              <w:rPr>
                <w:color w:val="auto"/>
                <w:kern w:val="0"/>
                <w:sz w:val="22"/>
                <w:szCs w:val="22"/>
                <w:highlight w:val="none"/>
              </w:rPr>
              <w:t>②审批文件、材料是否符合相关要求；</w:t>
            </w:r>
            <w:r>
              <w:rPr>
                <w:color w:val="auto"/>
                <w:kern w:val="0"/>
                <w:sz w:val="22"/>
                <w:szCs w:val="22"/>
                <w:highlight w:val="none"/>
              </w:rPr>
              <w:br w:type="textWrapping"/>
            </w:r>
            <w:r>
              <w:rPr>
                <w:color w:val="auto"/>
                <w:kern w:val="0"/>
                <w:sz w:val="22"/>
                <w:szCs w:val="22"/>
                <w:highlight w:val="none"/>
              </w:rPr>
              <w:t>③事前是否已经过必要的可行性研究、专家论证、风险评估、绩效评估、集体决策。</w:t>
            </w:r>
          </w:p>
        </w:tc>
        <w:tc>
          <w:tcPr>
            <w:tcW w:w="512" w:type="pct"/>
            <w:shd w:val="clear" w:color="auto" w:fill="FFFFFF"/>
            <w:vAlign w:val="center"/>
          </w:tcPr>
          <w:p w14:paraId="26D66BEF">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auto" w:fill="FFFFFF"/>
            <w:vAlign w:val="center"/>
          </w:tcPr>
          <w:p w14:paraId="4FB7E3AA">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16AC2C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28" w:type="pct"/>
            <w:vMerge w:val="continue"/>
            <w:shd w:val="clear" w:color="auto" w:fill="FFFFFF"/>
            <w:vAlign w:val="center"/>
          </w:tcPr>
          <w:p w14:paraId="4643B130">
            <w:pPr>
              <w:spacing w:line="0" w:lineRule="atLeast"/>
              <w:jc w:val="center"/>
              <w:rPr>
                <w:color w:val="auto"/>
                <w:kern w:val="0"/>
                <w:sz w:val="22"/>
                <w:szCs w:val="22"/>
                <w:highlight w:val="none"/>
              </w:rPr>
            </w:pPr>
          </w:p>
        </w:tc>
        <w:tc>
          <w:tcPr>
            <w:tcW w:w="301" w:type="pct"/>
            <w:vMerge w:val="restart"/>
            <w:shd w:val="clear" w:color="auto" w:fill="FFFFFF"/>
            <w:vAlign w:val="center"/>
          </w:tcPr>
          <w:p w14:paraId="537AA2CC">
            <w:pPr>
              <w:widowControl/>
              <w:spacing w:line="0" w:lineRule="atLeast"/>
              <w:jc w:val="center"/>
              <w:rPr>
                <w:color w:val="auto"/>
                <w:kern w:val="0"/>
                <w:sz w:val="22"/>
                <w:szCs w:val="22"/>
                <w:highlight w:val="none"/>
              </w:rPr>
            </w:pPr>
            <w:r>
              <w:rPr>
                <w:color w:val="auto"/>
                <w:kern w:val="0"/>
                <w:sz w:val="22"/>
                <w:szCs w:val="22"/>
                <w:highlight w:val="none"/>
              </w:rPr>
              <w:t>绩效目标　</w:t>
            </w:r>
          </w:p>
        </w:tc>
        <w:tc>
          <w:tcPr>
            <w:tcW w:w="344" w:type="pct"/>
            <w:shd w:val="clear" w:color="auto" w:fill="FFFFFF"/>
            <w:vAlign w:val="center"/>
          </w:tcPr>
          <w:p w14:paraId="0BFEDB6F">
            <w:pPr>
              <w:widowControl/>
              <w:spacing w:line="0" w:lineRule="atLeast"/>
              <w:jc w:val="center"/>
              <w:rPr>
                <w:color w:val="auto"/>
                <w:kern w:val="0"/>
                <w:sz w:val="22"/>
                <w:szCs w:val="22"/>
                <w:highlight w:val="none"/>
              </w:rPr>
            </w:pPr>
            <w:r>
              <w:rPr>
                <w:color w:val="auto"/>
                <w:kern w:val="0"/>
                <w:sz w:val="22"/>
                <w:szCs w:val="22"/>
                <w:highlight w:val="none"/>
              </w:rPr>
              <w:t>绩效目标</w:t>
            </w:r>
          </w:p>
          <w:p w14:paraId="761F1675">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000000" w:fill="FFFFFF"/>
            <w:vAlign w:val="center"/>
          </w:tcPr>
          <w:p w14:paraId="727199B0">
            <w:pPr>
              <w:widowControl/>
              <w:spacing w:line="0" w:lineRule="atLeast"/>
              <w:rPr>
                <w:color w:val="auto"/>
                <w:kern w:val="0"/>
                <w:sz w:val="22"/>
                <w:szCs w:val="22"/>
                <w:highlight w:val="none"/>
              </w:rPr>
            </w:pPr>
            <w:r>
              <w:rPr>
                <w:color w:val="auto"/>
                <w:kern w:val="0"/>
                <w:sz w:val="22"/>
                <w:szCs w:val="22"/>
                <w:highlight w:val="none"/>
              </w:rPr>
              <w:t>项目所设定的绩效目标是否依据充分，是否符合客观实际，用以反映和考核项目绩效目标与项目实施的相符情况。</w:t>
            </w:r>
          </w:p>
        </w:tc>
        <w:tc>
          <w:tcPr>
            <w:tcW w:w="2048" w:type="pct"/>
            <w:shd w:val="clear" w:color="000000" w:fill="FFFFFF"/>
            <w:vAlign w:val="center"/>
          </w:tcPr>
          <w:p w14:paraId="5B7F85DE">
            <w:pPr>
              <w:widowControl/>
              <w:spacing w:line="0" w:lineRule="atLeast"/>
              <w:jc w:val="lef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（如未设定预算绩效目标，也可考核其他工作任务目标）</w:t>
            </w:r>
            <w:r>
              <w:rPr>
                <w:color w:val="auto"/>
                <w:kern w:val="0"/>
                <w:sz w:val="22"/>
                <w:szCs w:val="22"/>
                <w:highlight w:val="none"/>
              </w:rPr>
              <w:br w:type="textWrapping"/>
            </w:r>
            <w:r>
              <w:rPr>
                <w:color w:val="auto"/>
                <w:kern w:val="0"/>
                <w:sz w:val="22"/>
                <w:szCs w:val="22"/>
                <w:highlight w:val="none"/>
              </w:rPr>
              <w:t>①项目是否有绩效目标；</w:t>
            </w:r>
            <w:r>
              <w:rPr>
                <w:color w:val="auto"/>
                <w:kern w:val="0"/>
                <w:sz w:val="22"/>
                <w:szCs w:val="22"/>
                <w:highlight w:val="none"/>
              </w:rPr>
              <w:br w:type="textWrapping"/>
            </w:r>
            <w:r>
              <w:rPr>
                <w:color w:val="auto"/>
                <w:kern w:val="0"/>
                <w:sz w:val="22"/>
                <w:szCs w:val="22"/>
                <w:highlight w:val="none"/>
              </w:rPr>
              <w:t>②项目绩效目标与实际工作内容是否具有相关性；</w:t>
            </w:r>
            <w:r>
              <w:rPr>
                <w:color w:val="auto"/>
                <w:kern w:val="0"/>
                <w:sz w:val="22"/>
                <w:szCs w:val="22"/>
                <w:highlight w:val="none"/>
              </w:rPr>
              <w:br w:type="textWrapping"/>
            </w:r>
            <w:r>
              <w:rPr>
                <w:color w:val="auto"/>
                <w:kern w:val="0"/>
                <w:sz w:val="22"/>
                <w:szCs w:val="22"/>
                <w:highlight w:val="none"/>
              </w:rPr>
              <w:t>③项目预期产出效益和效果是否符合正常的业绩水平；</w:t>
            </w:r>
          </w:p>
          <w:p w14:paraId="49C57436">
            <w:pPr>
              <w:widowControl/>
              <w:spacing w:line="0" w:lineRule="atLeast"/>
              <w:jc w:val="left"/>
              <w:rPr>
                <w:color w:val="auto"/>
                <w:kern w:val="0"/>
                <w:sz w:val="22"/>
                <w:szCs w:val="22"/>
                <w:highlight w:val="none"/>
              </w:rPr>
            </w:pPr>
            <w:r>
              <w:rPr>
                <w:color w:val="auto"/>
                <w:kern w:val="0"/>
                <w:sz w:val="22"/>
                <w:szCs w:val="22"/>
                <w:highlight w:val="none"/>
              </w:rPr>
              <w:t>④是否与预算确定的项目投资额或资金量相匹配。</w:t>
            </w:r>
          </w:p>
        </w:tc>
        <w:tc>
          <w:tcPr>
            <w:tcW w:w="512" w:type="pct"/>
            <w:shd w:val="clear" w:color="000000" w:fill="FFFFFF"/>
            <w:vAlign w:val="center"/>
          </w:tcPr>
          <w:p w14:paraId="16359F1E">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14:paraId="6DE55E3F">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0AF7F9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28" w:type="pct"/>
            <w:vMerge w:val="continue"/>
            <w:shd w:val="clear" w:color="auto" w:fill="FFFFFF"/>
            <w:vAlign w:val="center"/>
          </w:tcPr>
          <w:p w14:paraId="3A15658E">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76DF1C91">
            <w:pPr>
              <w:widowControl/>
              <w:spacing w:line="0" w:lineRule="atLeast"/>
              <w:jc w:val="center"/>
              <w:rPr>
                <w:color w:val="auto"/>
                <w:kern w:val="0"/>
                <w:sz w:val="22"/>
                <w:szCs w:val="22"/>
                <w:highlight w:val="none"/>
              </w:rPr>
            </w:pPr>
          </w:p>
        </w:tc>
        <w:tc>
          <w:tcPr>
            <w:tcW w:w="344" w:type="pct"/>
            <w:shd w:val="clear" w:color="auto" w:fill="FFFFFF"/>
            <w:vAlign w:val="center"/>
          </w:tcPr>
          <w:p w14:paraId="01255022">
            <w:pPr>
              <w:widowControl/>
              <w:spacing w:line="0" w:lineRule="atLeast"/>
              <w:jc w:val="center"/>
              <w:rPr>
                <w:color w:val="auto"/>
                <w:kern w:val="0"/>
                <w:sz w:val="22"/>
                <w:szCs w:val="22"/>
                <w:highlight w:val="none"/>
              </w:rPr>
            </w:pPr>
            <w:r>
              <w:rPr>
                <w:color w:val="auto"/>
                <w:kern w:val="0"/>
                <w:sz w:val="22"/>
                <w:szCs w:val="22"/>
                <w:highlight w:val="none"/>
              </w:rPr>
              <w:t>绩效指标</w:t>
            </w:r>
          </w:p>
          <w:p w14:paraId="73293A19">
            <w:pPr>
              <w:widowControl/>
              <w:spacing w:line="0" w:lineRule="atLeast"/>
              <w:jc w:val="center"/>
              <w:rPr>
                <w:color w:val="auto"/>
                <w:kern w:val="0"/>
                <w:sz w:val="22"/>
                <w:szCs w:val="22"/>
                <w:highlight w:val="none"/>
              </w:rPr>
            </w:pPr>
            <w:r>
              <w:rPr>
                <w:color w:val="auto"/>
                <w:kern w:val="0"/>
                <w:sz w:val="22"/>
                <w:szCs w:val="22"/>
                <w:highlight w:val="none"/>
              </w:rPr>
              <w:t>明确性</w:t>
            </w:r>
          </w:p>
        </w:tc>
        <w:tc>
          <w:tcPr>
            <w:tcW w:w="927" w:type="pct"/>
            <w:shd w:val="clear" w:color="000000" w:fill="FFFFFF"/>
            <w:vAlign w:val="center"/>
          </w:tcPr>
          <w:p w14:paraId="72744D41">
            <w:pPr>
              <w:widowControl/>
              <w:spacing w:line="0" w:lineRule="atLeast"/>
              <w:rPr>
                <w:color w:val="auto"/>
                <w:kern w:val="0"/>
                <w:sz w:val="22"/>
                <w:szCs w:val="22"/>
                <w:highlight w:val="none"/>
              </w:rPr>
            </w:pPr>
            <w:r>
              <w:rPr>
                <w:color w:val="auto"/>
                <w:kern w:val="0"/>
                <w:sz w:val="22"/>
                <w:szCs w:val="22"/>
                <w:highlight w:val="none"/>
              </w:rPr>
              <w:t>依据绩效目标设定的绩效指标是否清晰、细化、可衡量等，用以反映和考核项目绩效目标的明细化情况。</w:t>
            </w:r>
          </w:p>
        </w:tc>
        <w:tc>
          <w:tcPr>
            <w:tcW w:w="2048" w:type="pct"/>
            <w:shd w:val="clear" w:color="000000" w:fill="FFFFFF"/>
            <w:vAlign w:val="center"/>
          </w:tcPr>
          <w:p w14:paraId="4A75E6E0">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①是否将项目绩效目标细化分解为具体的绩效指标；</w:t>
            </w:r>
            <w:r>
              <w:rPr>
                <w:color w:val="auto"/>
                <w:kern w:val="0"/>
                <w:sz w:val="22"/>
                <w:szCs w:val="22"/>
                <w:highlight w:val="none"/>
              </w:rPr>
              <w:br w:type="textWrapping"/>
            </w:r>
            <w:r>
              <w:rPr>
                <w:color w:val="auto"/>
                <w:kern w:val="0"/>
                <w:sz w:val="22"/>
                <w:szCs w:val="22"/>
                <w:highlight w:val="none"/>
              </w:rPr>
              <w:t>②是否通过清晰、可衡量的指标值予以体现；</w:t>
            </w:r>
            <w:r>
              <w:rPr>
                <w:color w:val="auto"/>
                <w:kern w:val="0"/>
                <w:sz w:val="22"/>
                <w:szCs w:val="22"/>
                <w:highlight w:val="none"/>
              </w:rPr>
              <w:br w:type="textWrapping"/>
            </w:r>
            <w:r>
              <w:rPr>
                <w:color w:val="auto"/>
                <w:kern w:val="0"/>
                <w:sz w:val="22"/>
                <w:szCs w:val="22"/>
                <w:highlight w:val="none"/>
              </w:rPr>
              <w:t>③是否与项目目标任务数或计划数相对应。</w:t>
            </w:r>
            <w:r>
              <w:rPr>
                <w:color w:val="auto"/>
                <w:kern w:val="0"/>
                <w:sz w:val="22"/>
                <w:szCs w:val="22"/>
                <w:highlight w:val="none"/>
              </w:rPr>
              <w:br w:type="textWrapping"/>
            </w:r>
          </w:p>
        </w:tc>
        <w:tc>
          <w:tcPr>
            <w:tcW w:w="512" w:type="pct"/>
            <w:shd w:val="clear" w:color="000000" w:fill="FFFFFF"/>
            <w:vAlign w:val="center"/>
          </w:tcPr>
          <w:p w14:paraId="01D68586">
            <w:pPr>
              <w:widowControl/>
              <w:spacing w:line="0" w:lineRule="atLeast"/>
              <w:jc w:val="center"/>
              <w:rPr>
                <w:b/>
                <w:bCs/>
                <w:color w:val="auto"/>
                <w:kern w:val="0"/>
                <w:sz w:val="22"/>
                <w:szCs w:val="22"/>
                <w:highlight w:val="none"/>
              </w:rPr>
            </w:pPr>
            <w:r>
              <w:rPr>
                <w:b/>
                <w:bCs/>
                <w:color w:val="auto"/>
                <w:kern w:val="0"/>
                <w:sz w:val="22"/>
                <w:szCs w:val="22"/>
                <w:highlight w:val="none"/>
              </w:rPr>
              <w:t>3</w:t>
            </w:r>
          </w:p>
        </w:tc>
        <w:tc>
          <w:tcPr>
            <w:tcW w:w="537" w:type="pct"/>
            <w:shd w:val="clear" w:color="000000" w:fill="FFFFFF"/>
            <w:vAlign w:val="center"/>
          </w:tcPr>
          <w:p w14:paraId="4921F049">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w:t>
            </w:r>
          </w:p>
        </w:tc>
      </w:tr>
      <w:tr w14:paraId="34A6C4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FFFFFF"/>
            <w:vAlign w:val="center"/>
          </w:tcPr>
          <w:p w14:paraId="2CD0B7B7">
            <w:pPr>
              <w:spacing w:line="0" w:lineRule="atLeast"/>
              <w:jc w:val="center"/>
              <w:rPr>
                <w:color w:val="auto"/>
                <w:kern w:val="0"/>
                <w:sz w:val="22"/>
                <w:szCs w:val="22"/>
                <w:highlight w:val="none"/>
              </w:rPr>
            </w:pPr>
          </w:p>
        </w:tc>
        <w:tc>
          <w:tcPr>
            <w:tcW w:w="301" w:type="pct"/>
            <w:vMerge w:val="restart"/>
            <w:shd w:val="clear" w:color="auto" w:fill="FFFFFF"/>
            <w:vAlign w:val="center"/>
          </w:tcPr>
          <w:p w14:paraId="43E8AB84">
            <w:pPr>
              <w:widowControl/>
              <w:spacing w:line="0" w:lineRule="atLeast"/>
              <w:jc w:val="center"/>
              <w:rPr>
                <w:color w:val="auto"/>
                <w:kern w:val="0"/>
                <w:sz w:val="22"/>
                <w:szCs w:val="22"/>
                <w:highlight w:val="none"/>
              </w:rPr>
            </w:pPr>
            <w:r>
              <w:rPr>
                <w:color w:val="auto"/>
                <w:kern w:val="0"/>
                <w:sz w:val="22"/>
                <w:szCs w:val="22"/>
                <w:highlight w:val="none"/>
              </w:rPr>
              <w:t>资金投入</w:t>
            </w:r>
          </w:p>
          <w:p w14:paraId="765A56B3">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4DE309E6">
            <w:pPr>
              <w:widowControl/>
              <w:spacing w:line="0" w:lineRule="atLeast"/>
              <w:jc w:val="center"/>
              <w:rPr>
                <w:color w:val="auto"/>
                <w:kern w:val="0"/>
                <w:sz w:val="22"/>
                <w:szCs w:val="22"/>
                <w:highlight w:val="none"/>
              </w:rPr>
            </w:pPr>
            <w:r>
              <w:rPr>
                <w:color w:val="auto"/>
                <w:kern w:val="0"/>
                <w:sz w:val="22"/>
                <w:szCs w:val="22"/>
                <w:highlight w:val="none"/>
              </w:rPr>
              <w:t>预算编制</w:t>
            </w:r>
          </w:p>
          <w:p w14:paraId="13D15352">
            <w:pPr>
              <w:widowControl/>
              <w:spacing w:line="0" w:lineRule="atLeast"/>
              <w:jc w:val="center"/>
              <w:rPr>
                <w:color w:val="auto"/>
                <w:kern w:val="0"/>
                <w:sz w:val="22"/>
                <w:szCs w:val="22"/>
                <w:highlight w:val="none"/>
              </w:rPr>
            </w:pPr>
            <w:r>
              <w:rPr>
                <w:color w:val="auto"/>
                <w:kern w:val="0"/>
                <w:sz w:val="22"/>
                <w:szCs w:val="22"/>
                <w:highlight w:val="none"/>
              </w:rPr>
              <w:t>科学性</w:t>
            </w:r>
          </w:p>
        </w:tc>
        <w:tc>
          <w:tcPr>
            <w:tcW w:w="927" w:type="pct"/>
            <w:shd w:val="clear" w:color="auto" w:fill="FFFFFF"/>
            <w:vAlign w:val="center"/>
          </w:tcPr>
          <w:p w14:paraId="4FCA0F27">
            <w:pPr>
              <w:widowControl/>
              <w:spacing w:line="0" w:lineRule="atLeast"/>
              <w:rPr>
                <w:color w:val="auto"/>
                <w:kern w:val="0"/>
                <w:sz w:val="22"/>
                <w:szCs w:val="22"/>
                <w:highlight w:val="none"/>
              </w:rPr>
            </w:pPr>
            <w:r>
              <w:rPr>
                <w:color w:val="auto"/>
                <w:kern w:val="0"/>
                <w:sz w:val="22"/>
                <w:szCs w:val="22"/>
                <w:highlight w:val="none"/>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30A2921D">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①预算编制是否经过科学论证；</w:t>
            </w:r>
            <w:r>
              <w:rPr>
                <w:color w:val="auto"/>
                <w:kern w:val="0"/>
                <w:sz w:val="22"/>
                <w:szCs w:val="22"/>
                <w:highlight w:val="none"/>
              </w:rPr>
              <w:br w:type="textWrapping"/>
            </w:r>
            <w:r>
              <w:rPr>
                <w:color w:val="auto"/>
                <w:kern w:val="0"/>
                <w:sz w:val="22"/>
                <w:szCs w:val="22"/>
                <w:highlight w:val="none"/>
              </w:rPr>
              <w:t>②预算内容与项目内容是否匹配；</w:t>
            </w:r>
            <w:r>
              <w:rPr>
                <w:color w:val="auto"/>
                <w:kern w:val="0"/>
                <w:sz w:val="22"/>
                <w:szCs w:val="22"/>
                <w:highlight w:val="none"/>
              </w:rPr>
              <w:br w:type="textWrapping"/>
            </w:r>
            <w:r>
              <w:rPr>
                <w:color w:val="auto"/>
                <w:kern w:val="0"/>
                <w:sz w:val="22"/>
                <w:szCs w:val="22"/>
                <w:highlight w:val="none"/>
              </w:rPr>
              <w:t>③预算额度测算依据是否充分，是否按照标准编制；</w:t>
            </w:r>
            <w:r>
              <w:rPr>
                <w:color w:val="auto"/>
                <w:kern w:val="0"/>
                <w:sz w:val="22"/>
                <w:szCs w:val="22"/>
                <w:highlight w:val="none"/>
              </w:rPr>
              <w:br w:type="textWrapping"/>
            </w:r>
            <w:r>
              <w:rPr>
                <w:color w:val="auto"/>
                <w:kern w:val="0"/>
                <w:sz w:val="22"/>
                <w:szCs w:val="22"/>
                <w:highlight w:val="none"/>
              </w:rPr>
              <w:t>④预算确定的项目投资额或资金量是否与工作任务相匹配。</w:t>
            </w:r>
          </w:p>
        </w:tc>
        <w:tc>
          <w:tcPr>
            <w:tcW w:w="512" w:type="pct"/>
            <w:shd w:val="clear" w:color="auto" w:fill="FFFFFF"/>
            <w:vAlign w:val="center"/>
          </w:tcPr>
          <w:p w14:paraId="5CB64634">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6E141F8C">
            <w:pPr>
              <w:widowControl/>
              <w:spacing w:line="0" w:lineRule="atLeast"/>
              <w:jc w:val="center"/>
              <w:rPr>
                <w:rFonts w:hint="eastAsia"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21842E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28" w:type="pct"/>
            <w:vMerge w:val="continue"/>
            <w:shd w:val="clear" w:color="auto" w:fill="FFFFFF"/>
            <w:vAlign w:val="center"/>
          </w:tcPr>
          <w:p w14:paraId="1BE85C0F">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3F688EDA">
            <w:pPr>
              <w:widowControl/>
              <w:spacing w:line="0" w:lineRule="atLeast"/>
              <w:jc w:val="center"/>
              <w:rPr>
                <w:color w:val="auto"/>
                <w:kern w:val="0"/>
                <w:sz w:val="22"/>
                <w:szCs w:val="22"/>
                <w:highlight w:val="none"/>
              </w:rPr>
            </w:pPr>
          </w:p>
        </w:tc>
        <w:tc>
          <w:tcPr>
            <w:tcW w:w="344" w:type="pct"/>
            <w:shd w:val="clear" w:color="auto" w:fill="FFFFFF"/>
            <w:vAlign w:val="center"/>
          </w:tcPr>
          <w:p w14:paraId="01334721">
            <w:pPr>
              <w:widowControl/>
              <w:spacing w:line="0" w:lineRule="atLeast"/>
              <w:jc w:val="center"/>
              <w:rPr>
                <w:color w:val="auto"/>
                <w:kern w:val="0"/>
                <w:sz w:val="22"/>
                <w:szCs w:val="22"/>
                <w:highlight w:val="none"/>
              </w:rPr>
            </w:pPr>
            <w:r>
              <w:rPr>
                <w:color w:val="auto"/>
                <w:kern w:val="0"/>
                <w:sz w:val="22"/>
                <w:szCs w:val="22"/>
                <w:highlight w:val="none"/>
              </w:rPr>
              <w:t>资金分配</w:t>
            </w:r>
          </w:p>
          <w:p w14:paraId="331C06B6">
            <w:pPr>
              <w:widowControl/>
              <w:spacing w:line="0" w:lineRule="atLeast"/>
              <w:jc w:val="center"/>
              <w:rPr>
                <w:color w:val="auto"/>
                <w:kern w:val="0"/>
                <w:sz w:val="22"/>
                <w:szCs w:val="22"/>
                <w:highlight w:val="none"/>
              </w:rPr>
            </w:pPr>
            <w:r>
              <w:rPr>
                <w:color w:val="auto"/>
                <w:kern w:val="0"/>
                <w:sz w:val="22"/>
                <w:szCs w:val="22"/>
                <w:highlight w:val="none"/>
              </w:rPr>
              <w:t>合理性</w:t>
            </w:r>
          </w:p>
        </w:tc>
        <w:tc>
          <w:tcPr>
            <w:tcW w:w="927" w:type="pct"/>
            <w:shd w:val="clear" w:color="auto" w:fill="FFFFFF"/>
            <w:vAlign w:val="center"/>
          </w:tcPr>
          <w:p w14:paraId="3981964F">
            <w:pPr>
              <w:widowControl/>
              <w:spacing w:line="0" w:lineRule="atLeast"/>
              <w:rPr>
                <w:color w:val="auto"/>
                <w:kern w:val="0"/>
                <w:sz w:val="22"/>
                <w:szCs w:val="22"/>
                <w:highlight w:val="none"/>
              </w:rPr>
            </w:pPr>
            <w:r>
              <w:rPr>
                <w:color w:val="auto"/>
                <w:kern w:val="0"/>
                <w:sz w:val="22"/>
                <w:szCs w:val="22"/>
                <w:highlight w:val="none"/>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B618BA1">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①预算资金分配依据是否充分；</w:t>
            </w:r>
            <w:r>
              <w:rPr>
                <w:color w:val="auto"/>
                <w:kern w:val="0"/>
                <w:sz w:val="22"/>
                <w:szCs w:val="22"/>
                <w:highlight w:val="none"/>
              </w:rPr>
              <w:br w:type="textWrapping"/>
            </w:r>
            <w:r>
              <w:rPr>
                <w:color w:val="auto"/>
                <w:kern w:val="0"/>
                <w:sz w:val="22"/>
                <w:szCs w:val="22"/>
                <w:highlight w:val="none"/>
              </w:rPr>
              <w:t>②资金分配额度是否合理，与项目单位或地方实际是否相适应。</w:t>
            </w:r>
          </w:p>
        </w:tc>
        <w:tc>
          <w:tcPr>
            <w:tcW w:w="512" w:type="pct"/>
            <w:shd w:val="clear" w:color="auto" w:fill="FFFFFF"/>
            <w:vAlign w:val="center"/>
          </w:tcPr>
          <w:p w14:paraId="41568FBE">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314535FD">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1A7B9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28" w:type="pct"/>
            <w:vMerge w:val="restart"/>
            <w:shd w:val="clear" w:color="auto" w:fill="FFFFFF"/>
            <w:vAlign w:val="center"/>
          </w:tcPr>
          <w:p w14:paraId="0DD5005F">
            <w:pPr>
              <w:spacing w:line="0" w:lineRule="atLeast"/>
              <w:jc w:val="center"/>
              <w:rPr>
                <w:color w:val="auto"/>
                <w:kern w:val="0"/>
                <w:sz w:val="22"/>
                <w:szCs w:val="22"/>
                <w:highlight w:val="none"/>
              </w:rPr>
            </w:pPr>
          </w:p>
          <w:p w14:paraId="4C546FC6">
            <w:pPr>
              <w:spacing w:line="0" w:lineRule="atLeast"/>
              <w:jc w:val="center"/>
              <w:rPr>
                <w:color w:val="auto"/>
                <w:kern w:val="0"/>
                <w:sz w:val="22"/>
                <w:szCs w:val="22"/>
                <w:highlight w:val="none"/>
              </w:rPr>
            </w:pPr>
          </w:p>
          <w:p w14:paraId="1D887CF3">
            <w:pPr>
              <w:spacing w:line="0" w:lineRule="atLeast"/>
              <w:jc w:val="center"/>
              <w:rPr>
                <w:color w:val="auto"/>
                <w:kern w:val="0"/>
                <w:sz w:val="22"/>
                <w:szCs w:val="22"/>
                <w:highlight w:val="none"/>
              </w:rPr>
            </w:pPr>
          </w:p>
          <w:p w14:paraId="57C2985E">
            <w:pPr>
              <w:spacing w:line="0" w:lineRule="atLeast"/>
              <w:jc w:val="center"/>
              <w:rPr>
                <w:color w:val="auto"/>
                <w:kern w:val="0"/>
                <w:sz w:val="22"/>
                <w:szCs w:val="22"/>
                <w:highlight w:val="none"/>
              </w:rPr>
            </w:pPr>
          </w:p>
          <w:p w14:paraId="4B0D8137">
            <w:pPr>
              <w:spacing w:line="0" w:lineRule="atLeast"/>
              <w:jc w:val="center"/>
              <w:rPr>
                <w:color w:val="auto"/>
                <w:kern w:val="0"/>
                <w:sz w:val="22"/>
                <w:szCs w:val="22"/>
                <w:highlight w:val="none"/>
              </w:rPr>
            </w:pPr>
          </w:p>
          <w:p w14:paraId="59551AC8">
            <w:pPr>
              <w:spacing w:line="0" w:lineRule="atLeast"/>
              <w:jc w:val="center"/>
              <w:rPr>
                <w:color w:val="auto"/>
                <w:kern w:val="0"/>
                <w:sz w:val="22"/>
                <w:szCs w:val="22"/>
                <w:highlight w:val="none"/>
              </w:rPr>
            </w:pPr>
          </w:p>
          <w:p w14:paraId="751CFF73">
            <w:pPr>
              <w:spacing w:line="0" w:lineRule="atLeast"/>
              <w:jc w:val="center"/>
              <w:rPr>
                <w:color w:val="auto"/>
                <w:kern w:val="0"/>
                <w:sz w:val="22"/>
                <w:szCs w:val="22"/>
                <w:highlight w:val="none"/>
              </w:rPr>
            </w:pPr>
          </w:p>
          <w:p w14:paraId="20789FE2">
            <w:pPr>
              <w:spacing w:line="0" w:lineRule="atLeast"/>
              <w:jc w:val="center"/>
              <w:rPr>
                <w:color w:val="auto"/>
                <w:kern w:val="0"/>
                <w:sz w:val="22"/>
                <w:szCs w:val="22"/>
                <w:highlight w:val="none"/>
              </w:rPr>
            </w:pPr>
          </w:p>
          <w:p w14:paraId="6709B45B">
            <w:pPr>
              <w:spacing w:line="0" w:lineRule="atLeast"/>
              <w:jc w:val="center"/>
              <w:rPr>
                <w:color w:val="auto"/>
                <w:kern w:val="0"/>
                <w:sz w:val="22"/>
                <w:szCs w:val="22"/>
                <w:highlight w:val="none"/>
              </w:rPr>
            </w:pPr>
          </w:p>
          <w:p w14:paraId="6F79F8A1">
            <w:pPr>
              <w:spacing w:line="0" w:lineRule="atLeast"/>
              <w:jc w:val="center"/>
              <w:rPr>
                <w:color w:val="auto"/>
                <w:kern w:val="0"/>
                <w:sz w:val="22"/>
                <w:szCs w:val="22"/>
                <w:highlight w:val="none"/>
              </w:rPr>
            </w:pPr>
          </w:p>
          <w:p w14:paraId="5EEEEAF7">
            <w:pPr>
              <w:spacing w:line="0" w:lineRule="atLeast"/>
              <w:jc w:val="center"/>
              <w:rPr>
                <w:color w:val="auto"/>
                <w:kern w:val="0"/>
                <w:sz w:val="22"/>
                <w:szCs w:val="22"/>
                <w:highlight w:val="none"/>
              </w:rPr>
            </w:pPr>
          </w:p>
          <w:p w14:paraId="0C6EA3EB">
            <w:pPr>
              <w:spacing w:line="0" w:lineRule="atLeast"/>
              <w:jc w:val="center"/>
              <w:rPr>
                <w:color w:val="auto"/>
                <w:kern w:val="0"/>
                <w:sz w:val="22"/>
                <w:szCs w:val="22"/>
                <w:highlight w:val="none"/>
              </w:rPr>
            </w:pPr>
          </w:p>
          <w:p w14:paraId="1664DCA4">
            <w:pPr>
              <w:spacing w:line="0" w:lineRule="atLeast"/>
              <w:jc w:val="center"/>
              <w:rPr>
                <w:color w:val="auto"/>
                <w:kern w:val="0"/>
                <w:sz w:val="22"/>
                <w:szCs w:val="22"/>
                <w:highlight w:val="none"/>
              </w:rPr>
            </w:pPr>
          </w:p>
          <w:p w14:paraId="0F2DC578">
            <w:pPr>
              <w:spacing w:line="0" w:lineRule="atLeast"/>
              <w:jc w:val="center"/>
              <w:rPr>
                <w:color w:val="auto"/>
                <w:kern w:val="0"/>
                <w:sz w:val="22"/>
                <w:szCs w:val="22"/>
                <w:highlight w:val="none"/>
              </w:rPr>
            </w:pPr>
          </w:p>
          <w:p w14:paraId="0E75BF04">
            <w:pPr>
              <w:spacing w:line="0" w:lineRule="atLeast"/>
              <w:jc w:val="center"/>
              <w:rPr>
                <w:color w:val="auto"/>
                <w:kern w:val="0"/>
                <w:sz w:val="22"/>
                <w:szCs w:val="22"/>
                <w:highlight w:val="none"/>
              </w:rPr>
            </w:pPr>
          </w:p>
          <w:p w14:paraId="46530DB9">
            <w:pPr>
              <w:spacing w:line="0" w:lineRule="atLeast"/>
              <w:jc w:val="center"/>
              <w:rPr>
                <w:color w:val="auto"/>
                <w:kern w:val="0"/>
                <w:sz w:val="22"/>
                <w:szCs w:val="22"/>
                <w:highlight w:val="none"/>
              </w:rPr>
            </w:pPr>
            <w:r>
              <w:rPr>
                <w:color w:val="auto"/>
                <w:kern w:val="0"/>
                <w:sz w:val="22"/>
                <w:szCs w:val="22"/>
                <w:highlight w:val="none"/>
              </w:rPr>
              <w:t>过程</w:t>
            </w:r>
          </w:p>
          <w:p w14:paraId="5D31564A">
            <w:pPr>
              <w:widowControl/>
              <w:spacing w:line="0" w:lineRule="atLeast"/>
              <w:jc w:val="center"/>
              <w:rPr>
                <w:color w:val="auto"/>
                <w:kern w:val="0"/>
                <w:sz w:val="22"/>
                <w:szCs w:val="22"/>
                <w:highlight w:val="none"/>
              </w:rPr>
            </w:pPr>
            <w:r>
              <w:rPr>
                <w:color w:val="auto"/>
                <w:kern w:val="0"/>
                <w:sz w:val="22"/>
                <w:szCs w:val="22"/>
                <w:highlight w:val="none"/>
              </w:rPr>
              <w:t>　　</w:t>
            </w:r>
          </w:p>
        </w:tc>
        <w:tc>
          <w:tcPr>
            <w:tcW w:w="301" w:type="pct"/>
            <w:vMerge w:val="restart"/>
            <w:shd w:val="clear" w:color="auto" w:fill="FFFFFF"/>
            <w:vAlign w:val="center"/>
          </w:tcPr>
          <w:p w14:paraId="217DC7A1">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5A46285E">
            <w:pPr>
              <w:widowControl/>
              <w:spacing w:line="0" w:lineRule="atLeast"/>
              <w:jc w:val="center"/>
              <w:rPr>
                <w:color w:val="auto"/>
                <w:kern w:val="0"/>
                <w:sz w:val="22"/>
                <w:szCs w:val="22"/>
                <w:highlight w:val="none"/>
              </w:rPr>
            </w:pPr>
            <w:r>
              <w:rPr>
                <w:color w:val="auto"/>
                <w:kern w:val="0"/>
                <w:sz w:val="22"/>
                <w:szCs w:val="22"/>
                <w:highlight w:val="none"/>
              </w:rPr>
              <w:t>资金到位率</w:t>
            </w:r>
          </w:p>
        </w:tc>
        <w:tc>
          <w:tcPr>
            <w:tcW w:w="927" w:type="pct"/>
            <w:shd w:val="clear" w:color="000000" w:fill="FFFFFF"/>
            <w:vAlign w:val="center"/>
          </w:tcPr>
          <w:p w14:paraId="56C5B6F5">
            <w:pPr>
              <w:widowControl/>
              <w:spacing w:line="0" w:lineRule="atLeast"/>
              <w:rPr>
                <w:color w:val="auto"/>
                <w:kern w:val="0"/>
                <w:sz w:val="22"/>
                <w:szCs w:val="22"/>
                <w:highlight w:val="none"/>
              </w:rPr>
            </w:pPr>
            <w:r>
              <w:rPr>
                <w:color w:val="auto"/>
                <w:kern w:val="0"/>
                <w:sz w:val="22"/>
                <w:szCs w:val="22"/>
                <w:highlight w:val="none"/>
              </w:rPr>
              <w:t>实际到位资金与预算资金的比率，用以反映和考核资金落实情况对项目实施的总体保障程度。</w:t>
            </w:r>
          </w:p>
        </w:tc>
        <w:tc>
          <w:tcPr>
            <w:tcW w:w="2048" w:type="pct"/>
            <w:shd w:val="clear" w:color="000000" w:fill="FFFFFF"/>
            <w:vAlign w:val="center"/>
          </w:tcPr>
          <w:p w14:paraId="629C26DA">
            <w:pPr>
              <w:widowControl/>
              <w:spacing w:line="0" w:lineRule="atLeast"/>
              <w:rPr>
                <w:color w:val="auto"/>
                <w:kern w:val="0"/>
                <w:sz w:val="22"/>
                <w:szCs w:val="22"/>
                <w:highlight w:val="none"/>
              </w:rPr>
            </w:pPr>
            <w:r>
              <w:rPr>
                <w:color w:val="auto"/>
                <w:kern w:val="0"/>
                <w:sz w:val="22"/>
                <w:szCs w:val="22"/>
                <w:highlight w:val="none"/>
              </w:rPr>
              <w:t>资金到位率=（实际到位资金/预算资金）×100%。</w:t>
            </w:r>
          </w:p>
          <w:p w14:paraId="54CEB83B">
            <w:pPr>
              <w:widowControl/>
              <w:spacing w:line="0" w:lineRule="atLeast"/>
              <w:rPr>
                <w:color w:val="auto"/>
                <w:kern w:val="0"/>
                <w:sz w:val="22"/>
                <w:szCs w:val="22"/>
                <w:highlight w:val="none"/>
              </w:rPr>
            </w:pPr>
            <w:r>
              <w:rPr>
                <w:color w:val="auto"/>
                <w:kern w:val="0"/>
                <w:sz w:val="22"/>
                <w:szCs w:val="22"/>
                <w:highlight w:val="none"/>
              </w:rPr>
              <w:t>实际到位资金：一定时期（本年度或项目期）内落实到具体项目的资金。</w:t>
            </w:r>
          </w:p>
          <w:p w14:paraId="066870C4">
            <w:pPr>
              <w:widowControl/>
              <w:spacing w:line="0" w:lineRule="atLeast"/>
              <w:rPr>
                <w:color w:val="auto"/>
                <w:kern w:val="0"/>
                <w:sz w:val="22"/>
                <w:szCs w:val="22"/>
                <w:highlight w:val="none"/>
              </w:rPr>
            </w:pPr>
            <w:r>
              <w:rPr>
                <w:color w:val="auto"/>
                <w:kern w:val="0"/>
                <w:sz w:val="22"/>
                <w:szCs w:val="22"/>
                <w:highlight w:val="none"/>
              </w:rPr>
              <w:t>预算资金：一定时期（本年度或项目期）内预算安排到具体项目的资金。</w:t>
            </w:r>
          </w:p>
        </w:tc>
        <w:tc>
          <w:tcPr>
            <w:tcW w:w="512" w:type="pct"/>
            <w:shd w:val="clear" w:color="000000" w:fill="FFFFFF"/>
            <w:vAlign w:val="center"/>
          </w:tcPr>
          <w:p w14:paraId="7F055ED9">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01803E10">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464E6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28" w:type="pct"/>
            <w:vMerge w:val="continue"/>
            <w:shd w:val="clear" w:color="auto" w:fill="FFFFFF"/>
            <w:vAlign w:val="center"/>
          </w:tcPr>
          <w:p w14:paraId="7FA5EB64">
            <w:pPr>
              <w:spacing w:line="0" w:lineRule="atLeast"/>
              <w:jc w:val="center"/>
              <w:rPr>
                <w:color w:val="auto"/>
                <w:kern w:val="0"/>
                <w:sz w:val="22"/>
                <w:szCs w:val="22"/>
                <w:highlight w:val="none"/>
              </w:rPr>
            </w:pPr>
          </w:p>
        </w:tc>
        <w:tc>
          <w:tcPr>
            <w:tcW w:w="301" w:type="pct"/>
            <w:vMerge w:val="continue"/>
            <w:shd w:val="clear" w:color="auto" w:fill="FFFFFF"/>
            <w:vAlign w:val="center"/>
          </w:tcPr>
          <w:p w14:paraId="1B6DB4A2">
            <w:pPr>
              <w:spacing w:line="0" w:lineRule="atLeast"/>
              <w:jc w:val="center"/>
              <w:rPr>
                <w:color w:val="auto"/>
                <w:kern w:val="0"/>
                <w:sz w:val="22"/>
                <w:szCs w:val="22"/>
                <w:highlight w:val="none"/>
              </w:rPr>
            </w:pPr>
          </w:p>
        </w:tc>
        <w:tc>
          <w:tcPr>
            <w:tcW w:w="344" w:type="pct"/>
            <w:shd w:val="clear" w:color="auto" w:fill="FFFFFF"/>
            <w:vAlign w:val="center"/>
          </w:tcPr>
          <w:p w14:paraId="32A6FF9C">
            <w:pPr>
              <w:widowControl/>
              <w:spacing w:line="0" w:lineRule="atLeast"/>
              <w:jc w:val="center"/>
              <w:rPr>
                <w:color w:val="auto"/>
                <w:kern w:val="0"/>
                <w:sz w:val="22"/>
                <w:szCs w:val="22"/>
                <w:highlight w:val="none"/>
              </w:rPr>
            </w:pPr>
            <w:r>
              <w:rPr>
                <w:color w:val="auto"/>
                <w:kern w:val="0"/>
                <w:sz w:val="22"/>
                <w:szCs w:val="22"/>
                <w:highlight w:val="none"/>
              </w:rPr>
              <w:t>预算执行率</w:t>
            </w:r>
          </w:p>
        </w:tc>
        <w:tc>
          <w:tcPr>
            <w:tcW w:w="927" w:type="pct"/>
            <w:shd w:val="clear" w:color="auto" w:fill="FFFFFF"/>
            <w:vAlign w:val="center"/>
          </w:tcPr>
          <w:p w14:paraId="33AC45A6">
            <w:pPr>
              <w:widowControl/>
              <w:spacing w:line="0" w:lineRule="atLeast"/>
              <w:rPr>
                <w:color w:val="auto"/>
                <w:kern w:val="0"/>
                <w:sz w:val="22"/>
                <w:szCs w:val="22"/>
                <w:highlight w:val="none"/>
              </w:rPr>
            </w:pPr>
            <w:r>
              <w:rPr>
                <w:color w:val="auto"/>
                <w:kern w:val="0"/>
                <w:sz w:val="22"/>
                <w:szCs w:val="22"/>
                <w:highlight w:val="none"/>
              </w:rPr>
              <w:t>项目预算资金是否按照计划执行，用以反映或考核项目预算执行情况。</w:t>
            </w:r>
          </w:p>
        </w:tc>
        <w:tc>
          <w:tcPr>
            <w:tcW w:w="2048" w:type="pct"/>
            <w:shd w:val="clear" w:color="auto" w:fill="FFFFFF"/>
            <w:vAlign w:val="center"/>
          </w:tcPr>
          <w:p w14:paraId="0A06CD4D">
            <w:pPr>
              <w:widowControl/>
              <w:spacing w:line="0" w:lineRule="atLeast"/>
              <w:rPr>
                <w:color w:val="auto"/>
                <w:kern w:val="0"/>
                <w:sz w:val="22"/>
                <w:szCs w:val="22"/>
                <w:highlight w:val="none"/>
              </w:rPr>
            </w:pPr>
            <w:r>
              <w:rPr>
                <w:color w:val="auto"/>
                <w:kern w:val="0"/>
                <w:sz w:val="22"/>
                <w:szCs w:val="22"/>
                <w:highlight w:val="none"/>
              </w:rPr>
              <w:t>预算执行率=（实际支出资金/实际到位资金）×100%。</w:t>
            </w:r>
            <w:r>
              <w:rPr>
                <w:color w:val="auto"/>
                <w:kern w:val="0"/>
                <w:sz w:val="22"/>
                <w:szCs w:val="22"/>
                <w:highlight w:val="none"/>
              </w:rPr>
              <w:br w:type="textWrapping"/>
            </w:r>
            <w:r>
              <w:rPr>
                <w:color w:val="auto"/>
                <w:kern w:val="0"/>
                <w:sz w:val="22"/>
                <w:szCs w:val="22"/>
                <w:highlight w:val="none"/>
              </w:rPr>
              <w:t>实际支出资金：一定时期（本年度或项目期）内项目实际拨付的资金。</w:t>
            </w:r>
          </w:p>
        </w:tc>
        <w:tc>
          <w:tcPr>
            <w:tcW w:w="512" w:type="pct"/>
            <w:shd w:val="clear" w:color="auto" w:fill="FFFFFF"/>
            <w:vAlign w:val="center"/>
          </w:tcPr>
          <w:p w14:paraId="35DF6A71">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auto" w:fill="FFFFFF"/>
            <w:vAlign w:val="center"/>
          </w:tcPr>
          <w:p w14:paraId="446D6C76">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3.99</w:t>
            </w:r>
          </w:p>
        </w:tc>
      </w:tr>
      <w:tr w14:paraId="06BE2E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305A92F6">
            <w:pPr>
              <w:spacing w:line="0" w:lineRule="atLeast"/>
              <w:jc w:val="center"/>
              <w:rPr>
                <w:color w:val="auto"/>
                <w:kern w:val="0"/>
                <w:sz w:val="22"/>
                <w:szCs w:val="22"/>
                <w:highlight w:val="none"/>
              </w:rPr>
            </w:pPr>
          </w:p>
        </w:tc>
        <w:tc>
          <w:tcPr>
            <w:tcW w:w="301" w:type="pct"/>
            <w:shd w:val="clear" w:color="auto" w:fill="FFFFFF"/>
            <w:vAlign w:val="center"/>
          </w:tcPr>
          <w:p w14:paraId="7D472C1D">
            <w:pPr>
              <w:widowControl/>
              <w:spacing w:line="0" w:lineRule="atLeast"/>
              <w:jc w:val="center"/>
              <w:rPr>
                <w:color w:val="auto"/>
                <w:kern w:val="0"/>
                <w:sz w:val="22"/>
                <w:szCs w:val="22"/>
                <w:highlight w:val="none"/>
              </w:rPr>
            </w:pPr>
            <w:r>
              <w:rPr>
                <w:color w:val="auto"/>
                <w:kern w:val="0"/>
                <w:sz w:val="22"/>
                <w:szCs w:val="22"/>
                <w:highlight w:val="none"/>
              </w:rPr>
              <w:t>资金管理</w:t>
            </w:r>
          </w:p>
        </w:tc>
        <w:tc>
          <w:tcPr>
            <w:tcW w:w="344" w:type="pct"/>
            <w:shd w:val="clear" w:color="auto" w:fill="FFFFFF"/>
            <w:vAlign w:val="center"/>
          </w:tcPr>
          <w:p w14:paraId="1DD83608">
            <w:pPr>
              <w:widowControl/>
              <w:spacing w:line="0" w:lineRule="atLeast"/>
              <w:jc w:val="center"/>
              <w:rPr>
                <w:color w:val="auto"/>
                <w:kern w:val="0"/>
                <w:sz w:val="22"/>
                <w:szCs w:val="22"/>
                <w:highlight w:val="none"/>
              </w:rPr>
            </w:pPr>
            <w:r>
              <w:rPr>
                <w:color w:val="auto"/>
                <w:kern w:val="0"/>
                <w:sz w:val="22"/>
                <w:szCs w:val="22"/>
                <w:highlight w:val="none"/>
              </w:rPr>
              <w:t>资金使用</w:t>
            </w:r>
          </w:p>
          <w:p w14:paraId="09D4999F">
            <w:pPr>
              <w:widowControl/>
              <w:spacing w:line="0" w:lineRule="atLeast"/>
              <w:jc w:val="center"/>
              <w:rPr>
                <w:color w:val="auto"/>
                <w:kern w:val="0"/>
                <w:sz w:val="22"/>
                <w:szCs w:val="22"/>
                <w:highlight w:val="none"/>
              </w:rPr>
            </w:pPr>
            <w:r>
              <w:rPr>
                <w:color w:val="auto"/>
                <w:kern w:val="0"/>
                <w:sz w:val="22"/>
                <w:szCs w:val="22"/>
                <w:highlight w:val="none"/>
              </w:rPr>
              <w:t>合规性</w:t>
            </w:r>
          </w:p>
        </w:tc>
        <w:tc>
          <w:tcPr>
            <w:tcW w:w="927" w:type="pct"/>
            <w:shd w:val="clear" w:color="000000" w:fill="FFFFFF"/>
            <w:vAlign w:val="center"/>
          </w:tcPr>
          <w:p w14:paraId="0FB59BC7">
            <w:pPr>
              <w:widowControl/>
              <w:spacing w:line="0" w:lineRule="atLeast"/>
              <w:rPr>
                <w:color w:val="auto"/>
                <w:kern w:val="0"/>
                <w:sz w:val="22"/>
                <w:szCs w:val="22"/>
                <w:highlight w:val="none"/>
              </w:rPr>
            </w:pPr>
            <w:r>
              <w:rPr>
                <w:color w:val="auto"/>
                <w:kern w:val="0"/>
                <w:sz w:val="22"/>
                <w:szCs w:val="22"/>
                <w:highlight w:val="none"/>
              </w:rPr>
              <w:t>项目资金使用是否符合相关的财务管理制度规定，用以反映和考核项目资金的规范运行情况。</w:t>
            </w:r>
          </w:p>
        </w:tc>
        <w:tc>
          <w:tcPr>
            <w:tcW w:w="2048" w:type="pct"/>
            <w:shd w:val="clear" w:color="000000" w:fill="FFFFFF"/>
            <w:vAlign w:val="center"/>
          </w:tcPr>
          <w:p w14:paraId="0CB3CB6B">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①是否符合国家财经法规和财务管理制度以及有关专项资金管理办法的规定；</w:t>
            </w:r>
            <w:r>
              <w:rPr>
                <w:color w:val="auto"/>
                <w:kern w:val="0"/>
                <w:sz w:val="22"/>
                <w:szCs w:val="22"/>
                <w:highlight w:val="none"/>
              </w:rPr>
              <w:br w:type="textWrapping"/>
            </w:r>
            <w:r>
              <w:rPr>
                <w:color w:val="auto"/>
                <w:kern w:val="0"/>
                <w:sz w:val="22"/>
                <w:szCs w:val="22"/>
                <w:highlight w:val="none"/>
              </w:rPr>
              <w:t>②资金的拨付是否有完整的审批程序和手续；</w:t>
            </w:r>
            <w:r>
              <w:rPr>
                <w:color w:val="auto"/>
                <w:kern w:val="0"/>
                <w:sz w:val="22"/>
                <w:szCs w:val="22"/>
                <w:highlight w:val="none"/>
              </w:rPr>
              <w:br w:type="textWrapping"/>
            </w:r>
            <w:r>
              <w:rPr>
                <w:color w:val="auto"/>
                <w:kern w:val="0"/>
                <w:sz w:val="22"/>
                <w:szCs w:val="22"/>
                <w:highlight w:val="none"/>
              </w:rPr>
              <w:t>③是否符合项目预算批复或合同规定的用途；</w:t>
            </w:r>
            <w:r>
              <w:rPr>
                <w:color w:val="auto"/>
                <w:kern w:val="0"/>
                <w:sz w:val="22"/>
                <w:szCs w:val="22"/>
                <w:highlight w:val="none"/>
              </w:rPr>
              <w:br w:type="textWrapping"/>
            </w:r>
            <w:r>
              <w:rPr>
                <w:color w:val="auto"/>
                <w:kern w:val="0"/>
                <w:sz w:val="22"/>
                <w:szCs w:val="22"/>
                <w:highlight w:val="none"/>
              </w:rPr>
              <w:t>④是否存在截留、挤占、挪用、虚列支出等情况。</w:t>
            </w:r>
          </w:p>
        </w:tc>
        <w:tc>
          <w:tcPr>
            <w:tcW w:w="512" w:type="pct"/>
            <w:shd w:val="clear" w:color="000000" w:fill="FFFFFF"/>
            <w:vAlign w:val="center"/>
          </w:tcPr>
          <w:p w14:paraId="0E54BF93">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198B4002">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4</w:t>
            </w:r>
          </w:p>
        </w:tc>
      </w:tr>
      <w:tr w14:paraId="4B4D1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28" w:type="pct"/>
            <w:vMerge w:val="continue"/>
            <w:shd w:val="clear" w:color="auto" w:fill="FFFFFF"/>
            <w:vAlign w:val="center"/>
          </w:tcPr>
          <w:p w14:paraId="0B7C8980">
            <w:pPr>
              <w:spacing w:line="0" w:lineRule="atLeast"/>
              <w:jc w:val="center"/>
              <w:rPr>
                <w:color w:val="auto"/>
                <w:kern w:val="0"/>
                <w:sz w:val="22"/>
                <w:szCs w:val="22"/>
                <w:highlight w:val="none"/>
              </w:rPr>
            </w:pPr>
          </w:p>
        </w:tc>
        <w:tc>
          <w:tcPr>
            <w:tcW w:w="301" w:type="pct"/>
            <w:vMerge w:val="restart"/>
            <w:shd w:val="clear" w:color="auto" w:fill="FFFFFF"/>
            <w:vAlign w:val="center"/>
          </w:tcPr>
          <w:p w14:paraId="514E1565">
            <w:pPr>
              <w:widowControl/>
              <w:spacing w:line="0" w:lineRule="atLeast"/>
              <w:jc w:val="center"/>
              <w:rPr>
                <w:color w:val="auto"/>
                <w:kern w:val="0"/>
                <w:sz w:val="22"/>
                <w:szCs w:val="22"/>
                <w:highlight w:val="none"/>
              </w:rPr>
            </w:pPr>
            <w:r>
              <w:rPr>
                <w:color w:val="auto"/>
                <w:kern w:val="0"/>
                <w:sz w:val="22"/>
                <w:szCs w:val="22"/>
                <w:highlight w:val="none"/>
              </w:rPr>
              <w:t>组织实施</w:t>
            </w:r>
          </w:p>
          <w:p w14:paraId="6A551BFE">
            <w:pPr>
              <w:spacing w:line="0" w:lineRule="atLeast"/>
              <w:jc w:val="center"/>
              <w:rPr>
                <w:color w:val="auto"/>
                <w:kern w:val="0"/>
                <w:sz w:val="22"/>
                <w:szCs w:val="22"/>
                <w:highlight w:val="none"/>
              </w:rPr>
            </w:pPr>
            <w:r>
              <w:rPr>
                <w:color w:val="auto"/>
                <w:kern w:val="0"/>
                <w:sz w:val="22"/>
                <w:szCs w:val="22"/>
                <w:highlight w:val="none"/>
              </w:rPr>
              <w:t>　</w:t>
            </w:r>
          </w:p>
        </w:tc>
        <w:tc>
          <w:tcPr>
            <w:tcW w:w="344" w:type="pct"/>
            <w:shd w:val="clear" w:color="auto" w:fill="FFFFFF"/>
            <w:vAlign w:val="center"/>
          </w:tcPr>
          <w:p w14:paraId="0F37020F">
            <w:pPr>
              <w:widowControl/>
              <w:spacing w:line="0" w:lineRule="atLeast"/>
              <w:jc w:val="center"/>
              <w:rPr>
                <w:color w:val="auto"/>
                <w:kern w:val="0"/>
                <w:sz w:val="22"/>
                <w:szCs w:val="22"/>
                <w:highlight w:val="none"/>
              </w:rPr>
            </w:pPr>
            <w:r>
              <w:rPr>
                <w:color w:val="auto"/>
                <w:kern w:val="0"/>
                <w:sz w:val="22"/>
                <w:szCs w:val="22"/>
                <w:highlight w:val="none"/>
              </w:rPr>
              <w:t>管理制度</w:t>
            </w:r>
          </w:p>
          <w:p w14:paraId="40726281">
            <w:pPr>
              <w:widowControl/>
              <w:spacing w:line="0" w:lineRule="atLeast"/>
              <w:jc w:val="center"/>
              <w:rPr>
                <w:color w:val="auto"/>
                <w:kern w:val="0"/>
                <w:sz w:val="22"/>
                <w:szCs w:val="22"/>
                <w:highlight w:val="none"/>
              </w:rPr>
            </w:pPr>
            <w:r>
              <w:rPr>
                <w:color w:val="auto"/>
                <w:kern w:val="0"/>
                <w:sz w:val="22"/>
                <w:szCs w:val="22"/>
                <w:highlight w:val="none"/>
              </w:rPr>
              <w:t>健全性</w:t>
            </w:r>
          </w:p>
        </w:tc>
        <w:tc>
          <w:tcPr>
            <w:tcW w:w="927" w:type="pct"/>
            <w:shd w:val="clear" w:color="000000" w:fill="FFFFFF"/>
            <w:vAlign w:val="center"/>
          </w:tcPr>
          <w:p w14:paraId="1EC9C52F">
            <w:pPr>
              <w:widowControl/>
              <w:spacing w:line="0" w:lineRule="atLeast"/>
              <w:rPr>
                <w:color w:val="auto"/>
                <w:kern w:val="0"/>
                <w:sz w:val="22"/>
                <w:szCs w:val="22"/>
                <w:highlight w:val="none"/>
              </w:rPr>
            </w:pPr>
            <w:r>
              <w:rPr>
                <w:color w:val="auto"/>
                <w:kern w:val="0"/>
                <w:sz w:val="22"/>
                <w:szCs w:val="22"/>
                <w:highlight w:val="none"/>
              </w:rPr>
              <w:t>项目实施单位的财务和业务管理制度是否健全，用以反映和考核财务和业务管理制度对项目顺利实施的保障情况。</w:t>
            </w:r>
          </w:p>
        </w:tc>
        <w:tc>
          <w:tcPr>
            <w:tcW w:w="2048" w:type="pct"/>
            <w:shd w:val="clear" w:color="000000" w:fill="FFFFFF"/>
            <w:vAlign w:val="center"/>
          </w:tcPr>
          <w:p w14:paraId="458FAFBA">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①是否已制定或具有相应的财务和业务管理制度；</w:t>
            </w:r>
            <w:r>
              <w:rPr>
                <w:color w:val="auto"/>
                <w:kern w:val="0"/>
                <w:sz w:val="22"/>
                <w:szCs w:val="22"/>
                <w:highlight w:val="none"/>
              </w:rPr>
              <w:br w:type="textWrapping"/>
            </w:r>
            <w:r>
              <w:rPr>
                <w:color w:val="auto"/>
                <w:kern w:val="0"/>
                <w:sz w:val="22"/>
                <w:szCs w:val="22"/>
                <w:highlight w:val="none"/>
              </w:rPr>
              <w:t>②财务和业务管理制度是否合法、合规、完整。</w:t>
            </w:r>
          </w:p>
        </w:tc>
        <w:tc>
          <w:tcPr>
            <w:tcW w:w="512" w:type="pct"/>
            <w:shd w:val="clear" w:color="000000" w:fill="FFFFFF"/>
            <w:vAlign w:val="center"/>
          </w:tcPr>
          <w:p w14:paraId="475EB5E7">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0D110552">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4B97E1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28" w:type="pct"/>
            <w:vMerge w:val="continue"/>
            <w:shd w:val="clear" w:color="auto" w:fill="FFFFFF"/>
            <w:vAlign w:val="center"/>
          </w:tcPr>
          <w:p w14:paraId="4F61DA1D">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65FA41B0">
            <w:pPr>
              <w:widowControl/>
              <w:spacing w:line="0" w:lineRule="atLeast"/>
              <w:jc w:val="center"/>
              <w:rPr>
                <w:color w:val="auto"/>
                <w:kern w:val="0"/>
                <w:sz w:val="22"/>
                <w:szCs w:val="22"/>
                <w:highlight w:val="none"/>
              </w:rPr>
            </w:pPr>
          </w:p>
        </w:tc>
        <w:tc>
          <w:tcPr>
            <w:tcW w:w="344" w:type="pct"/>
            <w:shd w:val="clear" w:color="auto" w:fill="FFFFFF"/>
            <w:vAlign w:val="center"/>
          </w:tcPr>
          <w:p w14:paraId="4BFAAA3D">
            <w:pPr>
              <w:widowControl/>
              <w:spacing w:line="0" w:lineRule="atLeast"/>
              <w:jc w:val="center"/>
              <w:rPr>
                <w:color w:val="auto"/>
                <w:kern w:val="0"/>
                <w:sz w:val="22"/>
                <w:szCs w:val="22"/>
                <w:highlight w:val="none"/>
              </w:rPr>
            </w:pPr>
            <w:r>
              <w:rPr>
                <w:color w:val="auto"/>
                <w:kern w:val="0"/>
                <w:sz w:val="22"/>
                <w:szCs w:val="22"/>
                <w:highlight w:val="none"/>
              </w:rPr>
              <w:t>制度执行</w:t>
            </w:r>
          </w:p>
          <w:p w14:paraId="60D36649">
            <w:pPr>
              <w:widowControl/>
              <w:spacing w:line="0" w:lineRule="atLeast"/>
              <w:jc w:val="center"/>
              <w:rPr>
                <w:color w:val="auto"/>
                <w:kern w:val="0"/>
                <w:sz w:val="22"/>
                <w:szCs w:val="22"/>
                <w:highlight w:val="none"/>
              </w:rPr>
            </w:pPr>
            <w:r>
              <w:rPr>
                <w:color w:val="auto"/>
                <w:kern w:val="0"/>
                <w:sz w:val="22"/>
                <w:szCs w:val="22"/>
                <w:highlight w:val="none"/>
              </w:rPr>
              <w:t>有效性</w:t>
            </w:r>
          </w:p>
        </w:tc>
        <w:tc>
          <w:tcPr>
            <w:tcW w:w="927" w:type="pct"/>
            <w:shd w:val="clear" w:color="000000" w:fill="FFFFFF"/>
            <w:vAlign w:val="center"/>
          </w:tcPr>
          <w:p w14:paraId="332C9EFF">
            <w:pPr>
              <w:widowControl/>
              <w:spacing w:line="0" w:lineRule="atLeast"/>
              <w:rPr>
                <w:color w:val="auto"/>
                <w:kern w:val="0"/>
                <w:sz w:val="22"/>
                <w:szCs w:val="22"/>
                <w:highlight w:val="none"/>
              </w:rPr>
            </w:pPr>
            <w:r>
              <w:rPr>
                <w:color w:val="auto"/>
                <w:kern w:val="0"/>
                <w:sz w:val="22"/>
                <w:szCs w:val="22"/>
                <w:highlight w:val="none"/>
              </w:rPr>
              <w:t>项目实施是否符合相关管理规定，用以反映和考核相关管理制度的有效执行情况。</w:t>
            </w:r>
          </w:p>
        </w:tc>
        <w:tc>
          <w:tcPr>
            <w:tcW w:w="2048" w:type="pct"/>
            <w:shd w:val="clear" w:color="000000" w:fill="FFFFFF"/>
            <w:vAlign w:val="center"/>
          </w:tcPr>
          <w:p w14:paraId="6FFF7EDE">
            <w:pPr>
              <w:widowControl/>
              <w:spacing w:line="0" w:lineRule="atLeast"/>
              <w:rPr>
                <w:color w:val="auto"/>
                <w:kern w:val="0"/>
                <w:sz w:val="22"/>
                <w:szCs w:val="22"/>
                <w:highlight w:val="none"/>
              </w:rPr>
            </w:pPr>
            <w:r>
              <w:rPr>
                <w:color w:val="auto"/>
                <w:kern w:val="0"/>
                <w:sz w:val="22"/>
                <w:szCs w:val="22"/>
                <w:highlight w:val="none"/>
              </w:rPr>
              <w:t>评价要点：</w:t>
            </w:r>
            <w:r>
              <w:rPr>
                <w:color w:val="auto"/>
                <w:kern w:val="0"/>
                <w:sz w:val="22"/>
                <w:szCs w:val="22"/>
                <w:highlight w:val="none"/>
              </w:rPr>
              <w:br w:type="textWrapping"/>
            </w:r>
            <w:r>
              <w:rPr>
                <w:color w:val="auto"/>
                <w:kern w:val="0"/>
                <w:sz w:val="22"/>
                <w:szCs w:val="22"/>
                <w:highlight w:val="none"/>
              </w:rPr>
              <w:t>①是否遵守相关法律法规和相关管理规定；</w:t>
            </w:r>
            <w:r>
              <w:rPr>
                <w:color w:val="auto"/>
                <w:kern w:val="0"/>
                <w:sz w:val="22"/>
                <w:szCs w:val="22"/>
                <w:highlight w:val="none"/>
              </w:rPr>
              <w:br w:type="textWrapping"/>
            </w:r>
            <w:r>
              <w:rPr>
                <w:color w:val="auto"/>
                <w:kern w:val="0"/>
                <w:sz w:val="22"/>
                <w:szCs w:val="22"/>
                <w:highlight w:val="none"/>
              </w:rPr>
              <w:t>②项目调整及支出调整手续是否完备；</w:t>
            </w:r>
            <w:r>
              <w:rPr>
                <w:color w:val="auto"/>
                <w:kern w:val="0"/>
                <w:sz w:val="22"/>
                <w:szCs w:val="22"/>
                <w:highlight w:val="none"/>
              </w:rPr>
              <w:br w:type="textWrapping"/>
            </w:r>
            <w:r>
              <w:rPr>
                <w:color w:val="auto"/>
                <w:kern w:val="0"/>
                <w:sz w:val="22"/>
                <w:szCs w:val="22"/>
                <w:highlight w:val="none"/>
              </w:rPr>
              <w:t>③项目合同书、验收报告、技术鉴定等资料是否齐全并及时归档；</w:t>
            </w:r>
            <w:r>
              <w:rPr>
                <w:color w:val="auto"/>
                <w:kern w:val="0"/>
                <w:sz w:val="22"/>
                <w:szCs w:val="22"/>
                <w:highlight w:val="none"/>
              </w:rPr>
              <w:br w:type="textWrapping"/>
            </w:r>
            <w:r>
              <w:rPr>
                <w:color w:val="auto"/>
                <w:kern w:val="0"/>
                <w:sz w:val="22"/>
                <w:szCs w:val="22"/>
                <w:highlight w:val="none"/>
              </w:rPr>
              <w:t>④项目实施的人员条件、场地设备、信息支撑等是否落实到位。</w:t>
            </w:r>
          </w:p>
        </w:tc>
        <w:tc>
          <w:tcPr>
            <w:tcW w:w="512" w:type="pct"/>
            <w:shd w:val="clear" w:color="000000" w:fill="FFFFFF"/>
            <w:vAlign w:val="center"/>
          </w:tcPr>
          <w:p w14:paraId="5EF8C526">
            <w:pPr>
              <w:widowControl/>
              <w:spacing w:line="0" w:lineRule="atLeast"/>
              <w:jc w:val="center"/>
              <w:rPr>
                <w:b/>
                <w:bCs/>
                <w:color w:val="auto"/>
                <w:kern w:val="0"/>
                <w:sz w:val="22"/>
                <w:szCs w:val="22"/>
                <w:highlight w:val="none"/>
              </w:rPr>
            </w:pPr>
            <w:r>
              <w:rPr>
                <w:b/>
                <w:bCs/>
                <w:color w:val="auto"/>
                <w:kern w:val="0"/>
                <w:sz w:val="22"/>
                <w:szCs w:val="22"/>
                <w:highlight w:val="none"/>
              </w:rPr>
              <w:t>4</w:t>
            </w:r>
          </w:p>
        </w:tc>
        <w:tc>
          <w:tcPr>
            <w:tcW w:w="537" w:type="pct"/>
            <w:shd w:val="clear" w:color="000000" w:fill="FFFFFF"/>
            <w:vAlign w:val="center"/>
          </w:tcPr>
          <w:p w14:paraId="48231601">
            <w:pPr>
              <w:widowControl/>
              <w:spacing w:line="0" w:lineRule="atLeast"/>
              <w:jc w:val="center"/>
              <w:rPr>
                <w:rFonts w:hint="eastAsia" w:eastAsia="宋体"/>
                <w:b/>
                <w:bCs/>
                <w:color w:val="auto"/>
                <w:kern w:val="0"/>
                <w:sz w:val="22"/>
                <w:szCs w:val="22"/>
                <w:highlight w:val="none"/>
                <w:lang w:eastAsia="zh-CN"/>
              </w:rPr>
            </w:pPr>
            <w:r>
              <w:rPr>
                <w:rFonts w:hint="eastAsia"/>
                <w:b/>
                <w:bCs/>
                <w:color w:val="auto"/>
                <w:kern w:val="0"/>
                <w:sz w:val="22"/>
                <w:szCs w:val="22"/>
                <w:highlight w:val="none"/>
                <w:lang w:val="en-US" w:eastAsia="zh-CN"/>
              </w:rPr>
              <w:t>4</w:t>
            </w:r>
          </w:p>
        </w:tc>
      </w:tr>
      <w:tr w14:paraId="5DCD5E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28" w:type="pct"/>
            <w:vMerge w:val="restart"/>
            <w:shd w:val="clear" w:color="auto" w:fill="FFFFFF"/>
            <w:vAlign w:val="center"/>
          </w:tcPr>
          <w:p w14:paraId="0CA71323">
            <w:pPr>
              <w:widowControl/>
              <w:spacing w:line="0" w:lineRule="atLeast"/>
              <w:jc w:val="center"/>
              <w:rPr>
                <w:color w:val="auto"/>
                <w:kern w:val="0"/>
                <w:sz w:val="22"/>
                <w:szCs w:val="22"/>
                <w:highlight w:val="none"/>
              </w:rPr>
            </w:pPr>
            <w:r>
              <w:rPr>
                <w:color w:val="auto"/>
                <w:kern w:val="0"/>
                <w:sz w:val="22"/>
                <w:szCs w:val="22"/>
                <w:highlight w:val="none"/>
              </w:rPr>
              <w:t>产出</w:t>
            </w:r>
          </w:p>
        </w:tc>
        <w:tc>
          <w:tcPr>
            <w:tcW w:w="301" w:type="pct"/>
            <w:shd w:val="clear" w:color="auto" w:fill="FFFFFF"/>
            <w:vAlign w:val="center"/>
          </w:tcPr>
          <w:p w14:paraId="4A5BCD54">
            <w:pPr>
              <w:widowControl/>
              <w:spacing w:line="0" w:lineRule="atLeast"/>
              <w:jc w:val="center"/>
              <w:rPr>
                <w:color w:val="auto"/>
                <w:kern w:val="0"/>
                <w:sz w:val="22"/>
                <w:szCs w:val="22"/>
                <w:highlight w:val="none"/>
              </w:rPr>
            </w:pPr>
            <w:r>
              <w:rPr>
                <w:color w:val="auto"/>
                <w:kern w:val="0"/>
                <w:sz w:val="22"/>
                <w:szCs w:val="22"/>
                <w:highlight w:val="none"/>
              </w:rPr>
              <w:t>产出数量</w:t>
            </w:r>
          </w:p>
        </w:tc>
        <w:tc>
          <w:tcPr>
            <w:tcW w:w="344" w:type="pct"/>
            <w:shd w:val="clear" w:color="auto" w:fill="FFFFFF"/>
            <w:vAlign w:val="center"/>
          </w:tcPr>
          <w:p w14:paraId="3F901309">
            <w:pPr>
              <w:widowControl/>
              <w:spacing w:line="0" w:lineRule="atLeast"/>
              <w:jc w:val="center"/>
              <w:rPr>
                <w:color w:val="auto"/>
                <w:kern w:val="0"/>
                <w:sz w:val="22"/>
                <w:szCs w:val="22"/>
                <w:highlight w:val="none"/>
              </w:rPr>
            </w:pPr>
            <w:r>
              <w:rPr>
                <w:color w:val="auto"/>
                <w:kern w:val="0"/>
                <w:sz w:val="22"/>
                <w:szCs w:val="22"/>
                <w:highlight w:val="none"/>
              </w:rPr>
              <w:t>实际完成率</w:t>
            </w:r>
          </w:p>
        </w:tc>
        <w:tc>
          <w:tcPr>
            <w:tcW w:w="927" w:type="pct"/>
            <w:shd w:val="clear" w:color="000000" w:fill="FFFFFF"/>
            <w:vAlign w:val="center"/>
          </w:tcPr>
          <w:p w14:paraId="1A60496C">
            <w:pPr>
              <w:widowControl/>
              <w:spacing w:line="0" w:lineRule="atLeast"/>
              <w:rPr>
                <w:color w:val="auto"/>
                <w:kern w:val="0"/>
                <w:sz w:val="22"/>
                <w:szCs w:val="22"/>
                <w:highlight w:val="none"/>
              </w:rPr>
            </w:pPr>
            <w:r>
              <w:rPr>
                <w:color w:val="auto"/>
                <w:kern w:val="0"/>
                <w:sz w:val="22"/>
                <w:szCs w:val="22"/>
                <w:highlight w:val="none"/>
              </w:rPr>
              <w:t>项目实施的实际产出数与计划产出数的比率，用以反映和考核项目产出数量目标的实现程度。</w:t>
            </w:r>
          </w:p>
        </w:tc>
        <w:tc>
          <w:tcPr>
            <w:tcW w:w="2048" w:type="pct"/>
            <w:shd w:val="clear" w:color="000000" w:fill="FFFFFF"/>
            <w:vAlign w:val="center"/>
          </w:tcPr>
          <w:p w14:paraId="317A3E0B">
            <w:pPr>
              <w:widowControl/>
              <w:spacing w:line="0" w:lineRule="atLeast"/>
              <w:rPr>
                <w:color w:val="auto"/>
                <w:kern w:val="0"/>
                <w:sz w:val="22"/>
                <w:szCs w:val="22"/>
                <w:highlight w:val="none"/>
              </w:rPr>
            </w:pPr>
            <w:r>
              <w:rPr>
                <w:color w:val="auto"/>
                <w:kern w:val="0"/>
                <w:sz w:val="22"/>
                <w:szCs w:val="22"/>
                <w:highlight w:val="none"/>
              </w:rPr>
              <w:t>实际完成率=（实际产出数/计划产出数）×100%。</w:t>
            </w:r>
            <w:r>
              <w:rPr>
                <w:color w:val="auto"/>
                <w:kern w:val="0"/>
                <w:sz w:val="22"/>
                <w:szCs w:val="22"/>
                <w:highlight w:val="none"/>
              </w:rPr>
              <w:br w:type="textWrapping"/>
            </w:r>
            <w:r>
              <w:rPr>
                <w:color w:val="auto"/>
                <w:kern w:val="0"/>
                <w:sz w:val="22"/>
                <w:szCs w:val="22"/>
                <w:highlight w:val="none"/>
              </w:rPr>
              <w:t>实际产出数：一定时期（本年度或项目期）内项目实际产出的产品或提供的服务数量。</w:t>
            </w:r>
            <w:r>
              <w:rPr>
                <w:color w:val="auto"/>
                <w:kern w:val="0"/>
                <w:sz w:val="22"/>
                <w:szCs w:val="22"/>
                <w:highlight w:val="none"/>
              </w:rPr>
              <w:br w:type="textWrapping"/>
            </w:r>
            <w:r>
              <w:rPr>
                <w:color w:val="auto"/>
                <w:kern w:val="0"/>
                <w:sz w:val="22"/>
                <w:szCs w:val="22"/>
                <w:highlight w:val="none"/>
              </w:rPr>
              <w:t>计划产出数：项目绩效目标确定的在一定时期（本年度或项目期）内计划产出的产品或提供的服务数量。</w:t>
            </w:r>
          </w:p>
        </w:tc>
        <w:tc>
          <w:tcPr>
            <w:tcW w:w="512" w:type="pct"/>
            <w:shd w:val="clear" w:color="000000" w:fill="FFFFFF"/>
            <w:vAlign w:val="center"/>
          </w:tcPr>
          <w:p w14:paraId="134A6E7B">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69A5F7C9">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06082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FFFFFF"/>
            <w:vAlign w:val="center"/>
          </w:tcPr>
          <w:p w14:paraId="07ED243A">
            <w:pPr>
              <w:widowControl/>
              <w:spacing w:line="0" w:lineRule="atLeast"/>
              <w:jc w:val="center"/>
              <w:rPr>
                <w:color w:val="auto"/>
                <w:kern w:val="0"/>
                <w:sz w:val="22"/>
                <w:szCs w:val="22"/>
                <w:highlight w:val="none"/>
              </w:rPr>
            </w:pPr>
          </w:p>
        </w:tc>
        <w:tc>
          <w:tcPr>
            <w:tcW w:w="301" w:type="pct"/>
            <w:shd w:val="clear" w:color="auto" w:fill="FFFFFF"/>
            <w:vAlign w:val="center"/>
          </w:tcPr>
          <w:p w14:paraId="0F4CCD4C">
            <w:pPr>
              <w:widowControl/>
              <w:spacing w:line="0" w:lineRule="atLeast"/>
              <w:jc w:val="center"/>
              <w:rPr>
                <w:color w:val="auto"/>
                <w:kern w:val="0"/>
                <w:sz w:val="22"/>
                <w:szCs w:val="22"/>
                <w:highlight w:val="none"/>
              </w:rPr>
            </w:pPr>
            <w:r>
              <w:rPr>
                <w:color w:val="auto"/>
                <w:kern w:val="0"/>
                <w:sz w:val="22"/>
                <w:szCs w:val="22"/>
                <w:highlight w:val="none"/>
              </w:rPr>
              <w:t>产出质量</w:t>
            </w:r>
          </w:p>
        </w:tc>
        <w:tc>
          <w:tcPr>
            <w:tcW w:w="344" w:type="pct"/>
            <w:shd w:val="clear" w:color="auto" w:fill="FFFFFF"/>
            <w:vAlign w:val="center"/>
          </w:tcPr>
          <w:p w14:paraId="30DB013E">
            <w:pPr>
              <w:widowControl/>
              <w:spacing w:line="0" w:lineRule="atLeast"/>
              <w:jc w:val="center"/>
              <w:rPr>
                <w:color w:val="auto"/>
                <w:kern w:val="0"/>
                <w:sz w:val="22"/>
                <w:szCs w:val="22"/>
                <w:highlight w:val="none"/>
              </w:rPr>
            </w:pPr>
            <w:r>
              <w:rPr>
                <w:color w:val="auto"/>
                <w:kern w:val="0"/>
                <w:sz w:val="22"/>
                <w:szCs w:val="22"/>
                <w:highlight w:val="none"/>
              </w:rPr>
              <w:t>质量达标率</w:t>
            </w:r>
          </w:p>
        </w:tc>
        <w:tc>
          <w:tcPr>
            <w:tcW w:w="927" w:type="pct"/>
            <w:shd w:val="clear" w:color="000000" w:fill="FFFFFF"/>
            <w:vAlign w:val="center"/>
          </w:tcPr>
          <w:p w14:paraId="15A39C3C">
            <w:pPr>
              <w:widowControl/>
              <w:spacing w:line="0" w:lineRule="atLeast"/>
              <w:rPr>
                <w:color w:val="auto"/>
                <w:kern w:val="0"/>
                <w:sz w:val="22"/>
                <w:szCs w:val="22"/>
                <w:highlight w:val="none"/>
              </w:rPr>
            </w:pPr>
            <w:r>
              <w:rPr>
                <w:color w:val="auto"/>
                <w:kern w:val="0"/>
                <w:sz w:val="22"/>
                <w:szCs w:val="22"/>
                <w:highlight w:val="none"/>
              </w:rPr>
              <w:t>项目完成的质量达标产出数与实际产出数的比率，用以反映和考核项目产出质量目标的实现程度。</w:t>
            </w:r>
          </w:p>
        </w:tc>
        <w:tc>
          <w:tcPr>
            <w:tcW w:w="2048" w:type="pct"/>
            <w:shd w:val="clear" w:color="000000" w:fill="FFFFFF"/>
            <w:vAlign w:val="center"/>
          </w:tcPr>
          <w:p w14:paraId="08FE4D6A">
            <w:pPr>
              <w:widowControl/>
              <w:spacing w:line="0" w:lineRule="atLeast"/>
              <w:rPr>
                <w:color w:val="auto"/>
                <w:kern w:val="0"/>
                <w:sz w:val="22"/>
                <w:szCs w:val="22"/>
                <w:highlight w:val="none"/>
              </w:rPr>
            </w:pPr>
            <w:r>
              <w:rPr>
                <w:color w:val="auto"/>
                <w:kern w:val="0"/>
                <w:sz w:val="22"/>
                <w:szCs w:val="22"/>
                <w:highlight w:val="none"/>
              </w:rPr>
              <w:t>质量达标率=（质量达标产出数/实际产出数）×100%。</w:t>
            </w:r>
          </w:p>
          <w:p w14:paraId="0D4F6917">
            <w:pPr>
              <w:widowControl/>
              <w:spacing w:line="0" w:lineRule="atLeast"/>
              <w:rPr>
                <w:color w:val="auto"/>
                <w:kern w:val="0"/>
                <w:sz w:val="22"/>
                <w:szCs w:val="22"/>
                <w:highlight w:val="none"/>
              </w:rPr>
            </w:pPr>
            <w:r>
              <w:rPr>
                <w:color w:val="auto"/>
                <w:kern w:val="0"/>
                <w:sz w:val="22"/>
                <w:szCs w:val="22"/>
                <w:highlight w:val="none"/>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7A23B8CD">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451B2FFA">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5EF8C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FFFFFF"/>
            <w:vAlign w:val="center"/>
          </w:tcPr>
          <w:p w14:paraId="4A4198B0">
            <w:pPr>
              <w:spacing w:line="0" w:lineRule="atLeast"/>
              <w:jc w:val="center"/>
              <w:rPr>
                <w:color w:val="auto"/>
                <w:kern w:val="0"/>
                <w:sz w:val="22"/>
                <w:szCs w:val="22"/>
                <w:highlight w:val="none"/>
              </w:rPr>
            </w:pPr>
          </w:p>
        </w:tc>
        <w:tc>
          <w:tcPr>
            <w:tcW w:w="301" w:type="pct"/>
            <w:shd w:val="clear" w:color="auto" w:fill="FFFFFF"/>
            <w:vAlign w:val="center"/>
          </w:tcPr>
          <w:p w14:paraId="2DD94E12">
            <w:pPr>
              <w:spacing w:line="0" w:lineRule="atLeast"/>
              <w:jc w:val="center"/>
              <w:rPr>
                <w:color w:val="auto"/>
                <w:kern w:val="0"/>
                <w:sz w:val="22"/>
                <w:szCs w:val="22"/>
                <w:highlight w:val="none"/>
              </w:rPr>
            </w:pPr>
            <w:r>
              <w:rPr>
                <w:color w:val="auto"/>
                <w:kern w:val="0"/>
                <w:sz w:val="22"/>
                <w:szCs w:val="22"/>
                <w:highlight w:val="none"/>
              </w:rPr>
              <w:t>产出时效</w:t>
            </w:r>
          </w:p>
        </w:tc>
        <w:tc>
          <w:tcPr>
            <w:tcW w:w="344" w:type="pct"/>
            <w:shd w:val="clear" w:color="auto" w:fill="FFFFFF"/>
            <w:vAlign w:val="center"/>
          </w:tcPr>
          <w:p w14:paraId="7EEE8FFD">
            <w:pPr>
              <w:widowControl/>
              <w:spacing w:line="0" w:lineRule="atLeast"/>
              <w:jc w:val="center"/>
              <w:rPr>
                <w:color w:val="auto"/>
                <w:kern w:val="0"/>
                <w:sz w:val="22"/>
                <w:szCs w:val="22"/>
                <w:highlight w:val="none"/>
              </w:rPr>
            </w:pPr>
            <w:r>
              <w:rPr>
                <w:color w:val="auto"/>
                <w:kern w:val="0"/>
                <w:sz w:val="22"/>
                <w:szCs w:val="22"/>
                <w:highlight w:val="none"/>
              </w:rPr>
              <w:t>完成及时性</w:t>
            </w:r>
          </w:p>
        </w:tc>
        <w:tc>
          <w:tcPr>
            <w:tcW w:w="927" w:type="pct"/>
            <w:shd w:val="clear" w:color="000000" w:fill="FFFFFF"/>
            <w:vAlign w:val="center"/>
          </w:tcPr>
          <w:p w14:paraId="38C3EDE6">
            <w:pPr>
              <w:widowControl/>
              <w:spacing w:line="0" w:lineRule="atLeast"/>
              <w:rPr>
                <w:color w:val="auto"/>
                <w:kern w:val="0"/>
                <w:sz w:val="22"/>
                <w:szCs w:val="22"/>
                <w:highlight w:val="none"/>
              </w:rPr>
            </w:pPr>
            <w:r>
              <w:rPr>
                <w:color w:val="auto"/>
                <w:kern w:val="0"/>
                <w:sz w:val="22"/>
                <w:szCs w:val="22"/>
                <w:highlight w:val="none"/>
              </w:rPr>
              <w:t>项目实际完成时间与计划完成时间的比较，用以反映和考核项目产出时效目标的实现程度。</w:t>
            </w:r>
          </w:p>
        </w:tc>
        <w:tc>
          <w:tcPr>
            <w:tcW w:w="2048" w:type="pct"/>
            <w:shd w:val="clear" w:color="000000" w:fill="FFFFFF"/>
            <w:vAlign w:val="center"/>
          </w:tcPr>
          <w:p w14:paraId="46643F14">
            <w:pPr>
              <w:widowControl/>
              <w:spacing w:line="0" w:lineRule="atLeast"/>
              <w:rPr>
                <w:color w:val="auto"/>
                <w:kern w:val="0"/>
                <w:sz w:val="22"/>
                <w:szCs w:val="22"/>
                <w:highlight w:val="none"/>
              </w:rPr>
            </w:pPr>
            <w:r>
              <w:rPr>
                <w:color w:val="auto"/>
                <w:kern w:val="0"/>
                <w:sz w:val="22"/>
                <w:szCs w:val="22"/>
                <w:highlight w:val="none"/>
              </w:rPr>
              <w:t>实际完成时间：项目实施单位完成该项目实际所耗用的时间。</w:t>
            </w:r>
            <w:r>
              <w:rPr>
                <w:color w:val="auto"/>
                <w:kern w:val="0"/>
                <w:sz w:val="22"/>
                <w:szCs w:val="22"/>
                <w:highlight w:val="none"/>
              </w:rPr>
              <w:br w:type="textWrapping"/>
            </w:r>
            <w:r>
              <w:rPr>
                <w:color w:val="auto"/>
                <w:kern w:val="0"/>
                <w:sz w:val="22"/>
                <w:szCs w:val="22"/>
                <w:highlight w:val="none"/>
              </w:rPr>
              <w:t>计划完成时间：按照项目实施计划或相关规定完成该项目所需的时间。</w:t>
            </w:r>
          </w:p>
        </w:tc>
        <w:tc>
          <w:tcPr>
            <w:tcW w:w="512" w:type="pct"/>
            <w:shd w:val="clear" w:color="000000" w:fill="FFFFFF"/>
            <w:vAlign w:val="center"/>
          </w:tcPr>
          <w:p w14:paraId="34A89946">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56222AE7">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58CD93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FFFFFF"/>
            <w:vAlign w:val="center"/>
          </w:tcPr>
          <w:p w14:paraId="066773F8">
            <w:pPr>
              <w:widowControl/>
              <w:spacing w:line="0" w:lineRule="atLeast"/>
              <w:jc w:val="center"/>
              <w:rPr>
                <w:color w:val="auto"/>
                <w:kern w:val="0"/>
                <w:sz w:val="22"/>
                <w:szCs w:val="22"/>
                <w:highlight w:val="none"/>
              </w:rPr>
            </w:pPr>
          </w:p>
        </w:tc>
        <w:tc>
          <w:tcPr>
            <w:tcW w:w="301" w:type="pct"/>
            <w:shd w:val="clear" w:color="auto" w:fill="FFFFFF"/>
            <w:vAlign w:val="center"/>
          </w:tcPr>
          <w:p w14:paraId="22C264FB">
            <w:pPr>
              <w:widowControl/>
              <w:spacing w:line="0" w:lineRule="atLeast"/>
              <w:jc w:val="center"/>
              <w:rPr>
                <w:color w:val="auto"/>
                <w:kern w:val="0"/>
                <w:sz w:val="22"/>
                <w:szCs w:val="22"/>
                <w:highlight w:val="none"/>
              </w:rPr>
            </w:pPr>
            <w:r>
              <w:rPr>
                <w:color w:val="auto"/>
                <w:kern w:val="0"/>
                <w:sz w:val="22"/>
                <w:szCs w:val="22"/>
                <w:highlight w:val="none"/>
              </w:rPr>
              <w:t>产出成本</w:t>
            </w:r>
          </w:p>
        </w:tc>
        <w:tc>
          <w:tcPr>
            <w:tcW w:w="344" w:type="pct"/>
            <w:shd w:val="clear" w:color="auto" w:fill="FFFFFF"/>
            <w:vAlign w:val="center"/>
          </w:tcPr>
          <w:p w14:paraId="0D1C50BC">
            <w:pPr>
              <w:widowControl/>
              <w:spacing w:line="0" w:lineRule="atLeast"/>
              <w:jc w:val="center"/>
              <w:rPr>
                <w:color w:val="auto"/>
                <w:kern w:val="0"/>
                <w:sz w:val="22"/>
                <w:szCs w:val="22"/>
                <w:highlight w:val="none"/>
              </w:rPr>
            </w:pPr>
            <w:r>
              <w:rPr>
                <w:color w:val="auto"/>
                <w:kern w:val="0"/>
                <w:sz w:val="22"/>
                <w:szCs w:val="22"/>
                <w:highlight w:val="none"/>
              </w:rPr>
              <w:t>成本节约率</w:t>
            </w:r>
          </w:p>
        </w:tc>
        <w:tc>
          <w:tcPr>
            <w:tcW w:w="927" w:type="pct"/>
            <w:shd w:val="clear" w:color="000000" w:fill="FFFFFF"/>
            <w:vAlign w:val="center"/>
          </w:tcPr>
          <w:p w14:paraId="054BD503">
            <w:pPr>
              <w:widowControl/>
              <w:spacing w:line="0" w:lineRule="atLeast"/>
              <w:rPr>
                <w:color w:val="auto"/>
                <w:kern w:val="0"/>
                <w:sz w:val="22"/>
                <w:szCs w:val="22"/>
                <w:highlight w:val="none"/>
              </w:rPr>
            </w:pPr>
            <w:r>
              <w:rPr>
                <w:color w:val="auto"/>
                <w:kern w:val="0"/>
                <w:sz w:val="22"/>
                <w:szCs w:val="22"/>
                <w:highlight w:val="none"/>
              </w:rPr>
              <w:t>完成项目计划工作目标的实际节约成本与计划成本的比率，用以反映和考核项目的成本节约程度。</w:t>
            </w:r>
          </w:p>
        </w:tc>
        <w:tc>
          <w:tcPr>
            <w:tcW w:w="2048" w:type="pct"/>
            <w:shd w:val="clear" w:color="000000" w:fill="FFFFFF"/>
            <w:vAlign w:val="center"/>
          </w:tcPr>
          <w:p w14:paraId="0F85D583">
            <w:pPr>
              <w:widowControl/>
              <w:spacing w:line="0" w:lineRule="atLeast"/>
              <w:rPr>
                <w:color w:val="auto"/>
                <w:kern w:val="0"/>
                <w:sz w:val="22"/>
                <w:szCs w:val="22"/>
                <w:highlight w:val="none"/>
              </w:rPr>
            </w:pPr>
            <w:r>
              <w:rPr>
                <w:color w:val="auto"/>
                <w:kern w:val="0"/>
                <w:sz w:val="22"/>
                <w:szCs w:val="22"/>
                <w:highlight w:val="none"/>
              </w:rPr>
              <w:br w:type="textWrapping"/>
            </w:r>
            <w:r>
              <w:rPr>
                <w:color w:val="auto"/>
                <w:kern w:val="0"/>
                <w:sz w:val="22"/>
                <w:szCs w:val="22"/>
                <w:highlight w:val="none"/>
              </w:rPr>
              <w:t>成本节约率=[（计划成本-实际成本）/计划成本]×100%。</w:t>
            </w:r>
            <w:r>
              <w:rPr>
                <w:color w:val="auto"/>
                <w:kern w:val="0"/>
                <w:sz w:val="22"/>
                <w:szCs w:val="22"/>
                <w:highlight w:val="none"/>
              </w:rPr>
              <w:br w:type="textWrapping"/>
            </w:r>
            <w:r>
              <w:rPr>
                <w:color w:val="auto"/>
                <w:kern w:val="0"/>
                <w:sz w:val="22"/>
                <w:szCs w:val="22"/>
                <w:highlight w:val="none"/>
              </w:rPr>
              <w:t>实际成本：项目实施单位如期、保质、保量完成既定工作目标实际所耗费的支出。</w:t>
            </w:r>
            <w:r>
              <w:rPr>
                <w:color w:val="auto"/>
                <w:kern w:val="0"/>
                <w:sz w:val="22"/>
                <w:szCs w:val="22"/>
                <w:highlight w:val="none"/>
              </w:rPr>
              <w:br w:type="textWrapping"/>
            </w:r>
            <w:r>
              <w:rPr>
                <w:color w:val="auto"/>
                <w:kern w:val="0"/>
                <w:sz w:val="22"/>
                <w:szCs w:val="22"/>
                <w:highlight w:val="none"/>
              </w:rPr>
              <w:t>计划成本：项目实施单位为完成工作目标计划安排的支出，一般以项目预算为参考。</w:t>
            </w:r>
          </w:p>
        </w:tc>
        <w:tc>
          <w:tcPr>
            <w:tcW w:w="512" w:type="pct"/>
            <w:shd w:val="clear" w:color="000000" w:fill="FFFFFF"/>
            <w:vAlign w:val="center"/>
          </w:tcPr>
          <w:p w14:paraId="5370AE6C">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47438A2B">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9.99</w:t>
            </w:r>
          </w:p>
        </w:tc>
      </w:tr>
      <w:tr w14:paraId="41436D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28" w:type="pct"/>
            <w:vMerge w:val="restart"/>
            <w:shd w:val="clear" w:color="auto" w:fill="FFFFFF"/>
            <w:vAlign w:val="center"/>
          </w:tcPr>
          <w:p w14:paraId="3703AD88">
            <w:pPr>
              <w:widowControl/>
              <w:spacing w:line="0" w:lineRule="atLeast"/>
              <w:jc w:val="center"/>
              <w:rPr>
                <w:color w:val="auto"/>
                <w:kern w:val="0"/>
                <w:sz w:val="22"/>
                <w:szCs w:val="22"/>
                <w:highlight w:val="none"/>
              </w:rPr>
            </w:pPr>
            <w:r>
              <w:rPr>
                <w:color w:val="auto"/>
                <w:kern w:val="0"/>
                <w:sz w:val="22"/>
                <w:szCs w:val="22"/>
                <w:highlight w:val="none"/>
              </w:rPr>
              <w:t>效益　</w:t>
            </w:r>
          </w:p>
        </w:tc>
        <w:tc>
          <w:tcPr>
            <w:tcW w:w="301" w:type="pct"/>
            <w:vMerge w:val="restart"/>
            <w:shd w:val="clear" w:color="auto" w:fill="FFFFFF"/>
            <w:vAlign w:val="center"/>
          </w:tcPr>
          <w:p w14:paraId="14F8BEA4">
            <w:pPr>
              <w:widowControl/>
              <w:spacing w:line="0" w:lineRule="atLeast"/>
              <w:jc w:val="center"/>
              <w:rPr>
                <w:color w:val="auto"/>
                <w:kern w:val="0"/>
                <w:sz w:val="22"/>
                <w:szCs w:val="22"/>
                <w:highlight w:val="none"/>
              </w:rPr>
            </w:pPr>
            <w:r>
              <w:rPr>
                <w:color w:val="auto"/>
                <w:kern w:val="0"/>
                <w:sz w:val="22"/>
                <w:szCs w:val="22"/>
                <w:highlight w:val="none"/>
              </w:rPr>
              <w:t>项目效益　</w:t>
            </w:r>
          </w:p>
        </w:tc>
        <w:tc>
          <w:tcPr>
            <w:tcW w:w="344" w:type="pct"/>
            <w:shd w:val="clear" w:color="auto" w:fill="FFFFFF"/>
            <w:vAlign w:val="center"/>
          </w:tcPr>
          <w:p w14:paraId="50EA58A6">
            <w:pPr>
              <w:widowControl/>
              <w:spacing w:line="0" w:lineRule="atLeast"/>
              <w:jc w:val="center"/>
              <w:rPr>
                <w:color w:val="auto"/>
                <w:kern w:val="0"/>
                <w:sz w:val="22"/>
                <w:szCs w:val="22"/>
                <w:highlight w:val="none"/>
              </w:rPr>
            </w:pPr>
            <w:r>
              <w:rPr>
                <w:color w:val="auto"/>
                <w:kern w:val="0"/>
                <w:sz w:val="22"/>
                <w:szCs w:val="22"/>
                <w:highlight w:val="none"/>
              </w:rPr>
              <w:t>实施效益</w:t>
            </w:r>
          </w:p>
        </w:tc>
        <w:tc>
          <w:tcPr>
            <w:tcW w:w="927" w:type="pct"/>
            <w:shd w:val="clear" w:color="auto" w:fill="FFFFFF"/>
            <w:vAlign w:val="center"/>
          </w:tcPr>
          <w:p w14:paraId="661EB0D4">
            <w:pPr>
              <w:widowControl/>
              <w:spacing w:line="0" w:lineRule="atLeast"/>
              <w:jc w:val="left"/>
              <w:rPr>
                <w:color w:val="auto"/>
                <w:kern w:val="0"/>
                <w:sz w:val="22"/>
                <w:szCs w:val="22"/>
                <w:highlight w:val="none"/>
              </w:rPr>
            </w:pPr>
            <w:r>
              <w:rPr>
                <w:color w:val="auto"/>
                <w:kern w:val="0"/>
                <w:sz w:val="22"/>
                <w:szCs w:val="22"/>
                <w:highlight w:val="none"/>
              </w:rPr>
              <w:t>项目实施所产生的效益。</w:t>
            </w:r>
          </w:p>
        </w:tc>
        <w:tc>
          <w:tcPr>
            <w:tcW w:w="2048" w:type="pct"/>
            <w:shd w:val="clear" w:color="auto" w:fill="FFFFFF"/>
            <w:vAlign w:val="center"/>
          </w:tcPr>
          <w:p w14:paraId="63F8B3F4">
            <w:pPr>
              <w:widowControl/>
              <w:spacing w:line="0" w:lineRule="atLeast"/>
              <w:rPr>
                <w:color w:val="auto"/>
                <w:kern w:val="0"/>
                <w:sz w:val="22"/>
                <w:szCs w:val="22"/>
                <w:highlight w:val="none"/>
              </w:rPr>
            </w:pPr>
            <w:r>
              <w:rPr>
                <w:color w:val="auto"/>
                <w:kern w:val="0"/>
                <w:sz w:val="22"/>
                <w:szCs w:val="22"/>
                <w:highlight w:val="none"/>
              </w:rPr>
              <w:t>项目实施所产生的社会效益、经济效益、生态效益、可持续影响等。可根据项目实际情况有选择地设置和细化。</w:t>
            </w:r>
          </w:p>
        </w:tc>
        <w:tc>
          <w:tcPr>
            <w:tcW w:w="512" w:type="pct"/>
            <w:shd w:val="clear" w:color="auto" w:fill="FFFFFF"/>
            <w:vAlign w:val="center"/>
          </w:tcPr>
          <w:p w14:paraId="07F2A77D">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auto" w:fill="FFFFFF"/>
            <w:vAlign w:val="center"/>
          </w:tcPr>
          <w:p w14:paraId="339F1716">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r w14:paraId="796A20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FFFFFF"/>
            <w:vAlign w:val="center"/>
          </w:tcPr>
          <w:p w14:paraId="149C29E7">
            <w:pPr>
              <w:widowControl/>
              <w:spacing w:line="0" w:lineRule="atLeast"/>
              <w:jc w:val="center"/>
              <w:rPr>
                <w:color w:val="auto"/>
                <w:kern w:val="0"/>
                <w:sz w:val="22"/>
                <w:szCs w:val="22"/>
                <w:highlight w:val="none"/>
              </w:rPr>
            </w:pPr>
          </w:p>
        </w:tc>
        <w:tc>
          <w:tcPr>
            <w:tcW w:w="301" w:type="pct"/>
            <w:vMerge w:val="continue"/>
            <w:shd w:val="clear" w:color="auto" w:fill="FFFFFF"/>
            <w:vAlign w:val="center"/>
          </w:tcPr>
          <w:p w14:paraId="34A284C9">
            <w:pPr>
              <w:widowControl/>
              <w:spacing w:line="0" w:lineRule="atLeast"/>
              <w:jc w:val="center"/>
              <w:rPr>
                <w:color w:val="auto"/>
                <w:kern w:val="0"/>
                <w:sz w:val="22"/>
                <w:szCs w:val="22"/>
                <w:highlight w:val="none"/>
              </w:rPr>
            </w:pPr>
          </w:p>
        </w:tc>
        <w:tc>
          <w:tcPr>
            <w:tcW w:w="344" w:type="pct"/>
            <w:shd w:val="clear" w:color="auto" w:fill="FFFFFF"/>
            <w:vAlign w:val="center"/>
          </w:tcPr>
          <w:p w14:paraId="54552829">
            <w:pPr>
              <w:widowControl/>
              <w:spacing w:line="0" w:lineRule="atLeast"/>
              <w:jc w:val="center"/>
              <w:rPr>
                <w:color w:val="auto"/>
                <w:kern w:val="0"/>
                <w:sz w:val="22"/>
                <w:szCs w:val="22"/>
                <w:highlight w:val="none"/>
              </w:rPr>
            </w:pPr>
            <w:r>
              <w:rPr>
                <w:color w:val="auto"/>
                <w:kern w:val="0"/>
                <w:sz w:val="22"/>
                <w:szCs w:val="22"/>
                <w:highlight w:val="none"/>
              </w:rPr>
              <w:t>满意度</w:t>
            </w:r>
          </w:p>
        </w:tc>
        <w:tc>
          <w:tcPr>
            <w:tcW w:w="927" w:type="pct"/>
            <w:shd w:val="clear" w:color="000000" w:fill="FFFFFF"/>
            <w:vAlign w:val="center"/>
          </w:tcPr>
          <w:p w14:paraId="0F3627EA">
            <w:pPr>
              <w:widowControl/>
              <w:spacing w:line="0" w:lineRule="atLeast"/>
              <w:rPr>
                <w:color w:val="auto"/>
                <w:kern w:val="0"/>
                <w:sz w:val="22"/>
                <w:szCs w:val="22"/>
                <w:highlight w:val="none"/>
              </w:rPr>
            </w:pPr>
            <w:r>
              <w:rPr>
                <w:color w:val="auto"/>
                <w:kern w:val="0"/>
                <w:sz w:val="22"/>
                <w:szCs w:val="22"/>
                <w:highlight w:val="none"/>
              </w:rPr>
              <w:t>社会公众或服务对象对项目实施效果的满意程度。</w:t>
            </w:r>
          </w:p>
        </w:tc>
        <w:tc>
          <w:tcPr>
            <w:tcW w:w="2048" w:type="pct"/>
            <w:shd w:val="clear" w:color="000000" w:fill="FFFFFF"/>
            <w:vAlign w:val="center"/>
          </w:tcPr>
          <w:p w14:paraId="7A28436E">
            <w:pPr>
              <w:widowControl/>
              <w:spacing w:line="0" w:lineRule="atLeast"/>
              <w:rPr>
                <w:color w:val="auto"/>
                <w:kern w:val="0"/>
                <w:sz w:val="22"/>
                <w:szCs w:val="22"/>
                <w:highlight w:val="none"/>
              </w:rPr>
            </w:pPr>
            <w:r>
              <w:rPr>
                <w:color w:val="auto"/>
                <w:kern w:val="0"/>
                <w:sz w:val="22"/>
                <w:szCs w:val="22"/>
                <w:highlight w:val="none"/>
              </w:rPr>
              <w:t>社会公众或服务对象是指因该项目实施而受到影响的部门（单位）、群体或个人。一般采取社会调查的方式。</w:t>
            </w:r>
          </w:p>
        </w:tc>
        <w:tc>
          <w:tcPr>
            <w:tcW w:w="512" w:type="pct"/>
            <w:shd w:val="clear" w:color="000000" w:fill="FFFFFF"/>
            <w:vAlign w:val="center"/>
          </w:tcPr>
          <w:p w14:paraId="1EBE5B62">
            <w:pPr>
              <w:widowControl/>
              <w:spacing w:line="0" w:lineRule="atLeast"/>
              <w:jc w:val="center"/>
              <w:rPr>
                <w:b/>
                <w:bCs/>
                <w:color w:val="auto"/>
                <w:kern w:val="0"/>
                <w:sz w:val="22"/>
                <w:szCs w:val="22"/>
                <w:highlight w:val="none"/>
              </w:rPr>
            </w:pPr>
            <w:r>
              <w:rPr>
                <w:b/>
                <w:bCs/>
                <w:color w:val="auto"/>
                <w:kern w:val="0"/>
                <w:sz w:val="22"/>
                <w:szCs w:val="22"/>
                <w:highlight w:val="none"/>
              </w:rPr>
              <w:t>10</w:t>
            </w:r>
          </w:p>
        </w:tc>
        <w:tc>
          <w:tcPr>
            <w:tcW w:w="537" w:type="pct"/>
            <w:shd w:val="clear" w:color="000000" w:fill="FFFFFF"/>
            <w:vAlign w:val="center"/>
          </w:tcPr>
          <w:p w14:paraId="001CF96A">
            <w:pPr>
              <w:widowControl/>
              <w:spacing w:line="0" w:lineRule="atLeast"/>
              <w:jc w:val="center"/>
              <w:rPr>
                <w:rFonts w:hint="default" w:eastAsia="宋体"/>
                <w:b/>
                <w:bCs/>
                <w:color w:val="auto"/>
                <w:kern w:val="0"/>
                <w:sz w:val="22"/>
                <w:szCs w:val="22"/>
                <w:highlight w:val="none"/>
                <w:lang w:val="en-US" w:eastAsia="zh-CN"/>
              </w:rPr>
            </w:pPr>
            <w:r>
              <w:rPr>
                <w:rFonts w:hint="eastAsia"/>
                <w:b/>
                <w:bCs/>
                <w:color w:val="auto"/>
                <w:kern w:val="0"/>
                <w:sz w:val="22"/>
                <w:szCs w:val="22"/>
                <w:highlight w:val="none"/>
                <w:lang w:val="en-US" w:eastAsia="zh-CN"/>
              </w:rPr>
              <w:t>10</w:t>
            </w:r>
          </w:p>
        </w:tc>
      </w:tr>
    </w:tbl>
    <w:p w14:paraId="2B47342B">
      <w:pPr>
        <w:rPr>
          <w:color w:val="auto"/>
          <w:highlight w:val="none"/>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楷体_GB2312">
    <w:altName w:val="楷体"/>
    <w:panose1 w:val="00000000000000000000"/>
    <w:charset w:val="86"/>
    <w:family w:val="auto"/>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6EC3428">
        <w:pPr>
          <w:pStyle w:val="8"/>
          <w:jc w:val="center"/>
        </w:pPr>
        <w:r>
          <w:fldChar w:fldCharType="begin"/>
        </w:r>
        <w:r>
          <w:instrText xml:space="preserve">PAGE   \* MERGEFORMAT</w:instrText>
        </w:r>
        <w:r>
          <w:fldChar w:fldCharType="separate"/>
        </w:r>
        <w:r>
          <w:rPr>
            <w:lang w:val="zh-CN"/>
          </w:rPr>
          <w:t>13</w:t>
        </w:r>
        <w:r>
          <w:fldChar w:fldCharType="end"/>
        </w:r>
      </w:p>
    </w:sdtContent>
  </w:sdt>
  <w:p w14:paraId="395BA106">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E83853AE"/>
    <w:multiLevelType w:val="singleLevel"/>
    <w:tmpl w:val="E83853AE"/>
    <w:lvl w:ilvl="0" w:tentative="0">
      <w:start w:val="2"/>
      <w:numFmt w:val="decimal"/>
      <w:suff w:val="nothing"/>
      <w:lvlText w:val="%1、"/>
      <w:lvlJc w:val="left"/>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0"/>
  </w:num>
  <w:num w:numId="3">
    <w:abstractNumId w:val="4"/>
  </w:num>
  <w:num w:numId="4">
    <w:abstractNumId w:val="3"/>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FF6C4049"/>
    <w:rsid w:val="006F7242"/>
    <w:rsid w:val="007B168A"/>
    <w:rsid w:val="008B2CFE"/>
    <w:rsid w:val="00F26FF6"/>
    <w:rsid w:val="07397B77"/>
    <w:rsid w:val="081F0D84"/>
    <w:rsid w:val="0E2826F4"/>
    <w:rsid w:val="13471461"/>
    <w:rsid w:val="13B90F01"/>
    <w:rsid w:val="181066D2"/>
    <w:rsid w:val="1C671E73"/>
    <w:rsid w:val="204745AE"/>
    <w:rsid w:val="2136724D"/>
    <w:rsid w:val="215F39E6"/>
    <w:rsid w:val="28EF48E4"/>
    <w:rsid w:val="2A06253E"/>
    <w:rsid w:val="2FB56378"/>
    <w:rsid w:val="33FE79B6"/>
    <w:rsid w:val="38CA40DD"/>
    <w:rsid w:val="395F2B56"/>
    <w:rsid w:val="3BECE841"/>
    <w:rsid w:val="3FF7797D"/>
    <w:rsid w:val="425B2B46"/>
    <w:rsid w:val="441B2960"/>
    <w:rsid w:val="5BFF6039"/>
    <w:rsid w:val="5D76A616"/>
    <w:rsid w:val="5D7F20B9"/>
    <w:rsid w:val="5DAC7D0E"/>
    <w:rsid w:val="5E5F1000"/>
    <w:rsid w:val="5F711CA7"/>
    <w:rsid w:val="5F98B5AF"/>
    <w:rsid w:val="5FFE8511"/>
    <w:rsid w:val="5FFEACE2"/>
    <w:rsid w:val="63D0156C"/>
    <w:rsid w:val="643EE26D"/>
    <w:rsid w:val="6C0233D3"/>
    <w:rsid w:val="6D572E2F"/>
    <w:rsid w:val="6F5C41AC"/>
    <w:rsid w:val="6FAF6C78"/>
    <w:rsid w:val="7317C656"/>
    <w:rsid w:val="734ED73F"/>
    <w:rsid w:val="74621149"/>
    <w:rsid w:val="74977C4C"/>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autoRedefine/>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autoRedefine/>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autoRedefine/>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autoRedefine/>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autoRedefine/>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9629</Words>
  <Characters>10185</Characters>
  <Lines>58</Lines>
  <Paragraphs>16</Paragraphs>
  <TotalTime>5</TotalTime>
  <ScaleCrop>false</ScaleCrop>
  <LinksUpToDate>false</LinksUpToDate>
  <CharactersWithSpaces>10230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静待星空</cp:lastModifiedBy>
  <dcterms:modified xsi:type="dcterms:W3CDTF">2024-09-27T10:01:32Z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DEB37354E36D40D48F20A3DAB18895C3</vt:lpwstr>
  </property>
</Properties>
</file>