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sz w:val="32"/>
          <w:szCs w:val="32"/>
        </w:rPr>
      </w:pPr>
    </w:p>
    <w:p>
      <w:pPr>
        <w:jc w:val="center"/>
        <w:rPr>
          <w:rFonts w:hint="eastAsia" w:ascii="方正小标宋_GBK" w:hAnsi="宋体" w:eastAsia="方正小标宋_GBK"/>
          <w:sz w:val="44"/>
          <w:szCs w:val="44"/>
        </w:rPr>
      </w:pP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奇台县自然资源局2023年度部门决算</w:t>
      </w: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公开说明</w:t>
      </w:r>
    </w:p>
    <w:p>
      <w:pPr>
        <w:rPr>
          <w:rFonts w:hint="eastAsia" w:ascii="方正小标宋_GBK" w:hAnsi="宋体" w:eastAsia="方正小标宋_GBK"/>
          <w:sz w:val="44"/>
          <w:szCs w:val="44"/>
        </w:rPr>
      </w:pPr>
      <w:r>
        <w:rPr>
          <w:rFonts w:hint="eastAsia" w:ascii="方正小标宋_GBK" w:hAnsi="宋体" w:eastAsia="方正小标宋_GBK"/>
          <w:sz w:val="44"/>
          <w:szCs w:val="44"/>
        </w:rPr>
        <w:br w:type="page"/>
      </w:r>
    </w:p>
    <w:p>
      <w:pPr>
        <w:jc w:val="center"/>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pPr>
        <w:pStyle w:val="6"/>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r>
        <w:rPr>
          <w:rFonts w:hint="eastAsia" w:ascii="仿宋_GB2312" w:hAnsi="仿宋_GB2312" w:eastAsia="仿宋_GB2312" w:cs="仿宋_GB2312"/>
          <w:sz w:val="32"/>
          <w:szCs w:val="32"/>
        </w:rPr>
        <w:fldChar w:fldCharType="end"/>
      </w:r>
    </w:p>
    <w:p>
      <w:pPr>
        <w:rPr>
          <w:rFonts w:ascii="仿宋_GB2312" w:eastAsia="仿宋_GB2312"/>
          <w:sz w:val="32"/>
          <w:szCs w:val="32"/>
        </w:rPr>
      </w:pPr>
      <w:r>
        <w:rPr>
          <w:rFonts w:hint="eastAsia" w:ascii="仿宋_GB2312" w:eastAsia="仿宋_GB2312"/>
          <w:sz w:val="32"/>
          <w:szCs w:val="32"/>
        </w:rPr>
        <w:br w:type="page"/>
      </w:r>
    </w:p>
    <w:p>
      <w:pPr>
        <w:jc w:val="center"/>
        <w:outlineLvl w:val="0"/>
        <w:rPr>
          <w:rFonts w:hint="eastAsia" w:ascii="黑体" w:hAnsi="黑体" w:eastAsia="黑体"/>
          <w:sz w:val="32"/>
          <w:szCs w:val="32"/>
        </w:rPr>
      </w:pPr>
      <w:bookmarkStart w:id="0" w:name="_Toc24028"/>
      <w:bookmarkStart w:id="1" w:name="_Toc32314"/>
      <w:r>
        <w:rPr>
          <w:rFonts w:hint="eastAsia" w:ascii="黑体" w:hAnsi="黑体" w:eastAsia="黑体"/>
          <w:sz w:val="32"/>
          <w:szCs w:val="32"/>
        </w:rPr>
        <w:t>第一部分 单位概况</w:t>
      </w:r>
      <w:bookmarkEnd w:id="0"/>
      <w:bookmarkEnd w:id="1"/>
    </w:p>
    <w:p>
      <w:pPr>
        <w:ind w:firstLine="640" w:firstLineChars="200"/>
        <w:outlineLvl w:val="1"/>
        <w:rPr>
          <w:rFonts w:hint="eastAsia" w:ascii="黑体" w:hAnsi="黑体" w:eastAsia="黑体" w:cs="宋体"/>
          <w:bCs/>
          <w:kern w:val="0"/>
          <w:sz w:val="32"/>
          <w:szCs w:val="32"/>
        </w:rPr>
      </w:pPr>
      <w:bookmarkStart w:id="2" w:name="_Toc30738"/>
      <w:bookmarkStart w:id="3" w:name="_Toc30567"/>
      <w:r>
        <w:rPr>
          <w:rFonts w:hint="eastAsia" w:ascii="黑体" w:hAnsi="黑体" w:eastAsia="黑体" w:cs="宋体"/>
          <w:bCs/>
          <w:kern w:val="0"/>
          <w:sz w:val="32"/>
          <w:szCs w:val="32"/>
        </w:rPr>
        <w:t>一、主要职能</w:t>
      </w:r>
      <w:bookmarkEnd w:id="2"/>
      <w:bookmarkEnd w:id="3"/>
    </w:p>
    <w:p>
      <w:pPr>
        <w:ind w:firstLine="640" w:firstLineChars="200"/>
        <w:rPr>
          <w:rFonts w:ascii="仿宋_GB2312" w:eastAsia="仿宋_GB2312"/>
          <w:sz w:val="32"/>
          <w:szCs w:val="32"/>
        </w:rPr>
      </w:pPr>
      <w:r>
        <w:rPr>
          <w:rFonts w:hint="eastAsia" w:ascii="仿宋_GB2312" w:eastAsia="仿宋_GB2312"/>
          <w:sz w:val="32"/>
          <w:szCs w:val="32"/>
        </w:rPr>
        <w:t>（一）履行全民所有土地、矿产、等自然资源资产所有者职责和所有国土空间用途管制职责。贯彻执行自然资源、国土空间规划、城乡规划和测绘地理信息等法律法规。</w:t>
      </w:r>
    </w:p>
    <w:p>
      <w:pPr>
        <w:ind w:firstLine="640" w:firstLineChars="200"/>
        <w:rPr>
          <w:rFonts w:ascii="仿宋_GB2312" w:eastAsia="仿宋_GB2312"/>
          <w:sz w:val="32"/>
          <w:szCs w:val="32"/>
        </w:rPr>
      </w:pPr>
      <w:r>
        <w:rPr>
          <w:rFonts w:hint="eastAsia" w:ascii="仿宋_GB2312" w:eastAsia="仿宋_GB2312"/>
          <w:sz w:val="32"/>
          <w:szCs w:val="32"/>
        </w:rPr>
        <w:t>（二）负责自然资源调查监测评价。实施自然资源基础调查、专项调查和监测。负责自然资源调查监测评价成果的监督管理和信息发布。</w:t>
      </w:r>
    </w:p>
    <w:p>
      <w:pPr>
        <w:ind w:firstLine="640" w:firstLineChars="200"/>
        <w:rPr>
          <w:rFonts w:ascii="仿宋_GB2312" w:eastAsia="仿宋_GB2312"/>
          <w:sz w:val="32"/>
          <w:szCs w:val="32"/>
        </w:rPr>
      </w:pPr>
      <w:r>
        <w:rPr>
          <w:rFonts w:hint="eastAsia" w:ascii="仿宋_GB2312" w:eastAsia="仿宋_GB2312"/>
          <w:sz w:val="32"/>
          <w:szCs w:val="32"/>
        </w:rPr>
        <w:t>（三）负责自然资源统一确权登记工作。建立健全自然资源和不动产登记信息管理基础平台。负责全县自然资源和不动产登记资料收集、整理、共享、汇交管理等。组织协调有关部门调查、调处县域内土地、草场、矿山、等权属纠纷。</w:t>
      </w:r>
    </w:p>
    <w:p>
      <w:pPr>
        <w:ind w:firstLine="640" w:firstLineChars="200"/>
        <w:rPr>
          <w:rFonts w:ascii="仿宋_GB2312" w:eastAsia="仿宋_GB2312"/>
          <w:sz w:val="32"/>
          <w:szCs w:val="32"/>
        </w:rPr>
      </w:pPr>
      <w:r>
        <w:rPr>
          <w:rFonts w:hint="eastAsia" w:ascii="仿宋_GB2312" w:eastAsia="仿宋_GB2312"/>
          <w:sz w:val="32"/>
          <w:szCs w:val="32"/>
        </w:rPr>
        <w:t>（四）负责自然资源资产有偿使用工作。编制全县全民所有自然资源资产负债表，拟订考核标准。贯彻执行国家全民所有自然资源资产划拨、出让、租赁、作价出资和土地储备政策并拟订有关措施，合理配置全县全民所有自然资源资产。负责全县自然资源资产价值评估管理，依法收缴相关资产收益。</w:t>
      </w:r>
    </w:p>
    <w:p>
      <w:pPr>
        <w:ind w:firstLine="640" w:firstLineChars="200"/>
        <w:rPr>
          <w:rFonts w:ascii="仿宋_GB2312" w:eastAsia="仿宋_GB2312"/>
          <w:sz w:val="32"/>
          <w:szCs w:val="32"/>
        </w:rPr>
      </w:pPr>
      <w:r>
        <w:rPr>
          <w:rFonts w:hint="eastAsia" w:ascii="仿宋_GB2312" w:eastAsia="仿宋_GB2312"/>
          <w:sz w:val="32"/>
          <w:szCs w:val="32"/>
        </w:rPr>
        <w:t>（五）负责自然资源的合理开发利用。研究拟订全县自然资源发展规划，按照自然资源开发利用标准组织实施，建立政府公示自然资源价格体系，组织开展自然资源分等定级价格评估，指导节约集约利用。负责全县自然资源市场监管。</w:t>
      </w:r>
    </w:p>
    <w:p>
      <w:pPr>
        <w:ind w:firstLine="640" w:firstLineChars="200"/>
        <w:rPr>
          <w:rFonts w:ascii="仿宋_GB2312" w:eastAsia="仿宋_GB2312"/>
          <w:sz w:val="32"/>
          <w:szCs w:val="32"/>
        </w:rPr>
      </w:pPr>
      <w:r>
        <w:rPr>
          <w:rFonts w:hint="eastAsia" w:ascii="仿宋_GB2312" w:eastAsia="仿宋_GB2312"/>
          <w:sz w:val="32"/>
          <w:szCs w:val="32"/>
        </w:rPr>
        <w:t>（六）负责建立空间规划体系并组织实施。推进全县主体功能区战略和制度，组织编制并监督实施国土空间规划和相关专项规划。开展全县国土空间开发适宜性评价，建立国土空间规划实施监测、评估和预警体系。组织划定全县生态保护红线、永久基本农田、城镇开发边界等控制线，构建节约资源和保护环境的生产、生活、生态空间布局。建立健全县国土空间用途管制制度。负责全县土地等国土空间用途转用工作及土地征收征用管理。</w:t>
      </w:r>
    </w:p>
    <w:p>
      <w:pPr>
        <w:ind w:firstLine="640" w:firstLineChars="200"/>
        <w:rPr>
          <w:rFonts w:ascii="仿宋_GB2312" w:eastAsia="仿宋_GB2312"/>
          <w:sz w:val="32"/>
          <w:szCs w:val="32"/>
        </w:rPr>
      </w:pPr>
      <w:r>
        <w:rPr>
          <w:rFonts w:hint="eastAsia" w:ascii="仿宋_GB2312" w:eastAsia="仿宋_GB2312"/>
          <w:sz w:val="32"/>
          <w:szCs w:val="32"/>
        </w:rPr>
        <w:t>（七）负责组织编制全县城镇体系规划、总体规划、控制性详细规划、修建性详细规划、分区规划以及各类专项规划；负责编制全县域乡（镇）总体规划、村庄建设规划；负责权限内规划许可工作；指导城镇地下空间开发利用的规划管理工作。负责城乡规划审核、实施、修改工作。负责组织各类规划实施情况的检查和各类建设项目的规划监督管理。负责全县城乡规划的行政执法管理。</w:t>
      </w:r>
    </w:p>
    <w:p>
      <w:pPr>
        <w:ind w:firstLine="640" w:firstLineChars="200"/>
        <w:rPr>
          <w:rFonts w:ascii="仿宋_GB2312" w:eastAsia="仿宋_GB2312"/>
          <w:sz w:val="32"/>
          <w:szCs w:val="32"/>
        </w:rPr>
      </w:pPr>
      <w:r>
        <w:rPr>
          <w:rFonts w:hint="eastAsia" w:ascii="仿宋_GB2312" w:eastAsia="仿宋_GB2312"/>
          <w:sz w:val="32"/>
          <w:szCs w:val="32"/>
        </w:rPr>
        <w:t>（八）负责统筹国土空间生态修复。牵头组织编制全县国土空间生态修复规划并实施有关生态修复重大工程。负责全县国土空间综合整治、土地整理复垦、矿山地质环境恢复治理等工作。</w:t>
      </w:r>
    </w:p>
    <w:p>
      <w:pPr>
        <w:ind w:firstLine="640" w:firstLineChars="200"/>
        <w:rPr>
          <w:rFonts w:ascii="仿宋_GB2312" w:eastAsia="仿宋_GB2312"/>
          <w:sz w:val="32"/>
          <w:szCs w:val="32"/>
        </w:rPr>
      </w:pPr>
      <w:r>
        <w:rPr>
          <w:rFonts w:hint="eastAsia" w:ascii="仿宋_GB2312" w:eastAsia="仿宋_GB2312"/>
          <w:sz w:val="32"/>
          <w:szCs w:val="32"/>
        </w:rPr>
        <w:t>（九）贯彻落实最严格的耕地保护制度。组织实施耕地保护责任目标考核和永久基本农田特殊保护。落实土地占补平衡制度和占用耕地补偿制度。</w:t>
      </w:r>
    </w:p>
    <w:p>
      <w:pPr>
        <w:ind w:firstLine="640" w:firstLineChars="200"/>
        <w:rPr>
          <w:rFonts w:ascii="仿宋_GB2312" w:eastAsia="仿宋_GB2312"/>
          <w:sz w:val="32"/>
          <w:szCs w:val="32"/>
        </w:rPr>
      </w:pPr>
      <w:r>
        <w:rPr>
          <w:rFonts w:hint="eastAsia" w:ascii="仿宋_GB2312" w:eastAsia="仿宋_GB2312"/>
          <w:sz w:val="32"/>
          <w:szCs w:val="32"/>
        </w:rPr>
        <w:t>（十）负责矿产资源管理工作。负责县矿产资源储量管理及压覆矿产资源审查。监督指导全县矿产资源合理利用和保护。负责地质资料汇交、保管和利用。承担全县保护性开采的特定矿种、优势矿产的调控及相关管理工作。</w:t>
      </w:r>
    </w:p>
    <w:p>
      <w:pPr>
        <w:ind w:firstLine="640" w:firstLineChars="200"/>
        <w:rPr>
          <w:rFonts w:ascii="仿宋_GB2312" w:eastAsia="仿宋_GB2312"/>
          <w:sz w:val="32"/>
          <w:szCs w:val="32"/>
        </w:rPr>
      </w:pPr>
      <w:r>
        <w:rPr>
          <w:rFonts w:hint="eastAsia" w:ascii="仿宋_GB2312" w:eastAsia="仿宋_GB2312"/>
          <w:sz w:val="32"/>
          <w:szCs w:val="32"/>
        </w:rPr>
        <w:t>（十一）负责管理全县地质勘查工作。负责对县域内实施的地质勘查工作进行监督检查。负责全县地质灾害预防和治理，监督管理地下水过量开采引发的地面沉降等地质问题。负责全县古生物化石的监督管理。</w:t>
      </w:r>
    </w:p>
    <w:p>
      <w:pPr>
        <w:ind w:firstLine="640" w:firstLineChars="200"/>
        <w:rPr>
          <w:rFonts w:ascii="仿宋_GB2312" w:eastAsia="仿宋_GB2312"/>
          <w:sz w:val="32"/>
          <w:szCs w:val="32"/>
        </w:rPr>
      </w:pPr>
      <w:r>
        <w:rPr>
          <w:rFonts w:hint="eastAsia" w:ascii="仿宋_GB2312" w:eastAsia="仿宋_GB2312"/>
          <w:sz w:val="32"/>
          <w:szCs w:val="32"/>
        </w:rPr>
        <w:t>（十二）负责落实综合防灾减灾规划相关要求，负责行业安全生产相关工作，组织编制全县地质灾害防治规划、执行防护标准并组织实施。组织协调和监督全县地质灾害调查评价及隐患的普查、详查、排查、指导开展群测群防、专业监测和预报预警等工作，指导开展地质灾害工程治理工作。承担全县地质灾害应急救援的技术支撑工作。</w:t>
      </w:r>
    </w:p>
    <w:p>
      <w:pPr>
        <w:ind w:firstLine="640" w:firstLineChars="200"/>
        <w:rPr>
          <w:rFonts w:ascii="仿宋_GB2312" w:eastAsia="仿宋_GB2312"/>
          <w:sz w:val="32"/>
          <w:szCs w:val="32"/>
        </w:rPr>
      </w:pPr>
      <w:r>
        <w:rPr>
          <w:rFonts w:hint="eastAsia" w:ascii="仿宋_GB2312" w:eastAsia="仿宋_GB2312"/>
          <w:sz w:val="32"/>
          <w:szCs w:val="32"/>
        </w:rPr>
        <w:t>（十三）负责测绘地理信息管理工作。负责县基础测绘和测绘行业管理。负责县测绘资质资格与信用管理，监督管理县地理信息安全和市场秩序。负责县地理信息公共服务管理。负责县测量标志保护。</w:t>
      </w:r>
    </w:p>
    <w:p>
      <w:pPr>
        <w:ind w:firstLine="640" w:firstLineChars="200"/>
        <w:rPr>
          <w:rFonts w:ascii="仿宋_GB2312" w:eastAsia="仿宋_GB2312"/>
          <w:sz w:val="32"/>
          <w:szCs w:val="32"/>
        </w:rPr>
      </w:pPr>
      <w:r>
        <w:rPr>
          <w:rFonts w:hint="eastAsia" w:ascii="仿宋_GB2312" w:eastAsia="仿宋_GB2312"/>
          <w:sz w:val="32"/>
          <w:szCs w:val="32"/>
        </w:rPr>
        <w:t>（十四）监督检查各乡（镇）执行和遵守自然资源法律法规的情况，依法调查处理县国土空间规划和自然资源违法案件。</w:t>
      </w:r>
    </w:p>
    <w:p>
      <w:pPr>
        <w:ind w:firstLine="640" w:firstLineChars="200"/>
        <w:outlineLvl w:val="1"/>
        <w:rPr>
          <w:rFonts w:hint="eastAsia"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pPr>
        <w:ind w:firstLine="640" w:firstLineChars="200"/>
        <w:rPr>
          <w:rFonts w:hint="eastAsia" w:ascii="仿宋_GB2312" w:hAnsi="仿宋_GB2312" w:eastAsia="仿宋_GB2312" w:cs="仿宋_GB2312"/>
          <w:b/>
          <w:sz w:val="32"/>
          <w:szCs w:val="32"/>
        </w:rPr>
      </w:pPr>
      <w:r>
        <w:rPr>
          <w:rFonts w:hint="eastAsia" w:ascii="仿宋_GB2312" w:eastAsia="仿宋_GB2312"/>
          <w:sz w:val="32"/>
          <w:szCs w:val="32"/>
        </w:rPr>
        <w:t>奇台县自然资源局2023年度，实有人数</w:t>
      </w:r>
      <w:r>
        <w:rPr>
          <w:rFonts w:hint="eastAsia" w:ascii="仿宋_GB2312" w:eastAsia="仿宋_GB2312"/>
          <w:sz w:val="32"/>
          <w:szCs w:val="32"/>
          <w:lang w:val="zh-CN"/>
        </w:rPr>
        <w:t>109</w:t>
      </w:r>
      <w:r>
        <w:rPr>
          <w:rFonts w:hint="eastAsia" w:ascii="仿宋_GB2312" w:eastAsia="仿宋_GB2312"/>
          <w:sz w:val="32"/>
          <w:szCs w:val="32"/>
        </w:rPr>
        <w:t>人，其中：在职人员</w:t>
      </w:r>
      <w:r>
        <w:rPr>
          <w:rFonts w:hint="eastAsia" w:ascii="仿宋_GB2312" w:eastAsia="仿宋_GB2312"/>
          <w:sz w:val="32"/>
          <w:szCs w:val="32"/>
          <w:lang w:val="zh-CN"/>
        </w:rPr>
        <w:t>65</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44</w:t>
      </w:r>
      <w:r>
        <w:rPr>
          <w:rFonts w:hint="eastAsia" w:ascii="仿宋_GB2312" w:eastAsia="仿宋_GB2312"/>
          <w:sz w:val="32"/>
          <w:szCs w:val="32"/>
        </w:rPr>
        <w:t>人。</w:t>
      </w:r>
    </w:p>
    <w:p>
      <w:pPr>
        <w:ind w:firstLine="640" w:firstLineChars="200"/>
        <w:rPr>
          <w:rFonts w:hint="eastAsia" w:ascii="仿宋_GB2312" w:hAnsi="宋体" w:eastAsia="仿宋_GB2312" w:cs="宋体"/>
          <w:kern w:val="0"/>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8</w:t>
      </w:r>
      <w:r>
        <w:rPr>
          <w:rFonts w:hint="eastAsia" w:ascii="仿宋_GB2312" w:hAnsi="黑体" w:eastAsia="仿宋_GB2312" w:cs="宋体"/>
          <w:bCs/>
          <w:kern w:val="0"/>
          <w:sz w:val="32"/>
          <w:szCs w:val="32"/>
        </w:rPr>
        <w:t>个处室，分别是：</w:t>
      </w:r>
      <w:r>
        <w:rPr>
          <w:rFonts w:hint="eastAsia" w:ascii="仿宋_GB2312" w:eastAsia="仿宋_GB2312" w:cs="仿宋_GB2312"/>
          <w:kern w:val="0"/>
          <w:sz w:val="32"/>
          <w:szCs w:val="32"/>
        </w:rPr>
        <w:t>行政办公室、开发利用科、国土空间规划科、耕地保护与用途管制科、矿产资源局、确权科、不动产证中心、规划执法大队</w:t>
      </w:r>
      <w:r>
        <w:rPr>
          <w:rFonts w:hint="eastAsia" w:ascii="仿宋_GB2312" w:hAnsi="宋体" w:eastAsia="仿宋_GB2312" w:cs="宋体"/>
          <w:kern w:val="0"/>
          <w:sz w:val="32"/>
          <w:szCs w:val="32"/>
        </w:rPr>
        <w:t>。</w:t>
      </w:r>
    </w:p>
    <w:p>
      <w:pPr>
        <w:jc w:val="center"/>
        <w:outlineLvl w:val="0"/>
        <w:rPr>
          <w:rFonts w:hint="eastAsia" w:ascii="黑体" w:hAnsi="黑体" w:eastAsia="黑体"/>
          <w:sz w:val="32"/>
          <w:szCs w:val="32"/>
        </w:rPr>
      </w:pPr>
      <w:bookmarkStart w:id="6" w:name="_Toc3092"/>
      <w:bookmarkStart w:id="7" w:name="_Toc29374"/>
      <w:r>
        <w:rPr>
          <w:rFonts w:hint="eastAsia" w:ascii="黑体" w:hAnsi="黑体" w:eastAsia="黑体"/>
          <w:sz w:val="32"/>
          <w:szCs w:val="32"/>
        </w:rPr>
        <w:t>第二部分 部门决算情况说明</w:t>
      </w:r>
      <w:bookmarkEnd w:id="6"/>
      <w:bookmarkEnd w:id="7"/>
    </w:p>
    <w:p>
      <w:pPr>
        <w:ind w:firstLine="640" w:firstLineChars="200"/>
        <w:outlineLvl w:val="1"/>
        <w:rPr>
          <w:rFonts w:hint="eastAsia" w:ascii="黑体" w:hAnsi="黑体" w:eastAsia="黑体" w:cs="宋体"/>
          <w:bCs/>
          <w:kern w:val="0"/>
          <w:sz w:val="32"/>
          <w:szCs w:val="32"/>
        </w:rPr>
      </w:pPr>
      <w:bookmarkStart w:id="8" w:name="_Toc12566"/>
      <w:bookmarkStart w:id="9" w:name="_Toc25314"/>
      <w:r>
        <w:rPr>
          <w:rFonts w:hint="eastAsia" w:ascii="黑体" w:hAnsi="黑体" w:eastAsia="黑体" w:cs="宋体"/>
          <w:bCs/>
          <w:kern w:val="0"/>
          <w:sz w:val="32"/>
          <w:szCs w:val="32"/>
        </w:rPr>
        <w:t>一、收入支出决算总体情况说明</w:t>
      </w:r>
      <w:bookmarkEnd w:id="8"/>
      <w:bookmarkEnd w:id="9"/>
    </w:p>
    <w:p>
      <w:pPr>
        <w:ind w:firstLine="640" w:firstLineChars="200"/>
        <w:jc w:val="left"/>
        <w:rPr>
          <w:rFonts w:ascii="仿宋_GB2312" w:eastAsia="仿宋_GB2312"/>
          <w:sz w:val="32"/>
          <w:szCs w:val="32"/>
        </w:rPr>
      </w:pPr>
      <w:r>
        <w:rPr>
          <w:rFonts w:hint="eastAsia" w:ascii="仿宋_GB2312" w:eastAsia="仿宋_GB2312"/>
          <w:sz w:val="32"/>
          <w:szCs w:val="32"/>
        </w:rPr>
        <w:t>2023年度收入总计3,094.80万元，其中：本年收入合计3,094.80万元，使用非财政拨款结余0.00万元，年初结转和结余0.00万元。</w:t>
      </w:r>
    </w:p>
    <w:p>
      <w:pPr>
        <w:ind w:firstLine="640" w:firstLineChars="200"/>
        <w:jc w:val="left"/>
        <w:rPr>
          <w:rFonts w:ascii="仿宋_GB2312" w:eastAsia="仿宋_GB2312"/>
          <w:sz w:val="32"/>
          <w:szCs w:val="32"/>
        </w:rPr>
      </w:pPr>
      <w:r>
        <w:rPr>
          <w:rFonts w:hint="eastAsia" w:ascii="仿宋_GB2312" w:eastAsia="仿宋_GB2312"/>
          <w:sz w:val="32"/>
          <w:szCs w:val="32"/>
        </w:rPr>
        <w:t>2023年度支出总计3,094.80万元，其中：本年支出合计3,094.80万元，结余分配0.00万元，年末结转和结余0.00万元。</w:t>
      </w:r>
    </w:p>
    <w:p>
      <w:pPr>
        <w:ind w:firstLine="640" w:firstLineChars="200"/>
        <w:jc w:val="left"/>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减少12,172.30万元</w:t>
      </w:r>
      <w:r>
        <w:rPr>
          <w:rFonts w:hint="eastAsia" w:ascii="仿宋_GB2312" w:eastAsia="仿宋_GB2312"/>
          <w:sz w:val="32"/>
          <w:szCs w:val="32"/>
        </w:rPr>
        <w:t>，下降79.73%，主要原因是：</w:t>
      </w:r>
      <w:r>
        <w:rPr>
          <w:rFonts w:hint="eastAsia" w:ascii="仿宋_GB2312" w:hAnsi="仿宋_GB2312" w:eastAsia="仿宋_GB2312" w:cs="仿宋_GB2312"/>
          <w:sz w:val="32"/>
          <w:szCs w:val="32"/>
        </w:rPr>
        <w:t>本年</w:t>
      </w:r>
      <w:r>
        <w:rPr>
          <w:rFonts w:hint="eastAsia" w:ascii="仿宋_GB2312" w:hAnsi="仿宋_GB2312" w:eastAsia="仿宋_GB2312" w:cs="仿宋_GB2312"/>
          <w:sz w:val="32"/>
          <w:szCs w:val="32"/>
          <w:lang w:val="zh-CN"/>
        </w:rPr>
        <w:t>奇台硅化木-恐龙国家地质公园地质遗迹保护等项目经费减少</w:t>
      </w:r>
      <w:r>
        <w:rPr>
          <w:rFonts w:hint="eastAsia" w:ascii="仿宋_GB2312" w:eastAsia="仿宋_GB2312"/>
          <w:sz w:val="32"/>
          <w:szCs w:val="32"/>
        </w:rPr>
        <w:t>。</w:t>
      </w:r>
    </w:p>
    <w:p>
      <w:pPr>
        <w:ind w:firstLine="640" w:firstLineChars="200"/>
        <w:jc w:val="left"/>
        <w:outlineLvl w:val="1"/>
        <w:rPr>
          <w:rFonts w:hint="eastAsia"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pPr>
        <w:ind w:firstLine="640" w:firstLineChars="200"/>
        <w:jc w:val="left"/>
        <w:rPr>
          <w:rFonts w:ascii="仿宋_GB2312" w:eastAsia="仿宋_GB2312"/>
          <w:sz w:val="32"/>
          <w:szCs w:val="32"/>
        </w:rPr>
      </w:pPr>
      <w:r>
        <w:rPr>
          <w:rFonts w:hint="eastAsia" w:ascii="仿宋_GB2312" w:eastAsia="仿宋_GB2312"/>
          <w:sz w:val="32"/>
          <w:szCs w:val="32"/>
        </w:rPr>
        <w:t>本年收入3,094.80万元，其中：财政拨款收入</w:t>
      </w:r>
      <w:r>
        <w:rPr>
          <w:rFonts w:hint="eastAsia" w:ascii="仿宋_GB2312" w:eastAsia="仿宋_GB2312"/>
          <w:sz w:val="32"/>
          <w:szCs w:val="32"/>
          <w:lang w:val="zh-CN"/>
        </w:rPr>
        <w:t>2,778.81</w:t>
      </w:r>
      <w:r>
        <w:rPr>
          <w:rFonts w:hint="eastAsia" w:ascii="仿宋_GB2312" w:eastAsia="仿宋_GB2312"/>
          <w:sz w:val="32"/>
          <w:szCs w:val="32"/>
        </w:rPr>
        <w:t>万元，占</w:t>
      </w:r>
      <w:r>
        <w:rPr>
          <w:rFonts w:hint="eastAsia" w:ascii="仿宋_GB2312" w:eastAsia="仿宋_GB2312"/>
          <w:sz w:val="32"/>
          <w:szCs w:val="32"/>
          <w:lang w:val="zh-CN"/>
        </w:rPr>
        <w:t>89.79%</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315.99</w:t>
      </w:r>
      <w:r>
        <w:rPr>
          <w:rFonts w:hint="eastAsia" w:ascii="仿宋_GB2312" w:eastAsia="仿宋_GB2312"/>
          <w:sz w:val="32"/>
          <w:szCs w:val="32"/>
        </w:rPr>
        <w:t>万元，占</w:t>
      </w:r>
      <w:r>
        <w:rPr>
          <w:rFonts w:hint="eastAsia" w:ascii="仿宋_GB2312" w:eastAsia="仿宋_GB2312"/>
          <w:sz w:val="32"/>
          <w:szCs w:val="32"/>
          <w:lang w:val="zh-CN"/>
        </w:rPr>
        <w:t>10.21%</w:t>
      </w:r>
      <w:r>
        <w:rPr>
          <w:rFonts w:hint="eastAsia" w:ascii="仿宋_GB2312" w:eastAsia="仿宋_GB2312"/>
          <w:sz w:val="32"/>
          <w:szCs w:val="32"/>
        </w:rPr>
        <w:t>。</w:t>
      </w:r>
    </w:p>
    <w:p>
      <w:pPr>
        <w:ind w:firstLine="640" w:firstLineChars="200"/>
        <w:jc w:val="left"/>
        <w:outlineLvl w:val="1"/>
        <w:rPr>
          <w:rFonts w:hint="eastAsia" w:ascii="黑体" w:hAnsi="黑体" w:eastAsia="黑体" w:cs="宋体"/>
          <w:bCs/>
          <w:kern w:val="0"/>
          <w:sz w:val="32"/>
          <w:szCs w:val="32"/>
        </w:rPr>
      </w:pPr>
      <w:bookmarkStart w:id="12" w:name="_Toc13201"/>
      <w:bookmarkStart w:id="13" w:name="_Toc27961"/>
      <w:r>
        <w:rPr>
          <w:rFonts w:hint="eastAsia" w:ascii="黑体" w:hAnsi="黑体" w:eastAsia="黑体" w:cs="宋体"/>
          <w:bCs/>
          <w:kern w:val="0"/>
          <w:sz w:val="32"/>
          <w:szCs w:val="32"/>
        </w:rPr>
        <w:t>三、支出决算情况说明</w:t>
      </w:r>
      <w:bookmarkEnd w:id="12"/>
      <w:bookmarkEnd w:id="13"/>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本年支出3,094.80万元，其中：基本支出1,138.78万元，占36.80%；项目支出1,956.02万元，占63.20%；上缴上级支出0.00万元，占0.00%；经营支出0.00万元，占0.00%；对附属单位补助支出0.00万元，占0.00%。</w:t>
      </w:r>
    </w:p>
    <w:p>
      <w:pPr>
        <w:ind w:firstLine="640" w:firstLineChars="200"/>
        <w:jc w:val="left"/>
        <w:outlineLvl w:val="1"/>
        <w:rPr>
          <w:rFonts w:hint="eastAsia"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pPr>
        <w:ind w:firstLine="640" w:firstLineChars="200"/>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2,778.81</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万元，本年财政拨款收入</w:t>
      </w:r>
      <w:r>
        <w:rPr>
          <w:rFonts w:hint="eastAsia" w:ascii="仿宋_GB2312" w:eastAsia="仿宋_GB2312"/>
          <w:sz w:val="32"/>
          <w:szCs w:val="32"/>
          <w:lang w:val="zh-CN"/>
        </w:rPr>
        <w:t>2,778.81</w:t>
      </w:r>
      <w:r>
        <w:rPr>
          <w:rFonts w:hint="eastAsia" w:ascii="仿宋_GB2312" w:eastAsia="仿宋_GB2312"/>
          <w:sz w:val="32"/>
          <w:szCs w:val="32"/>
        </w:rPr>
        <w:t>万元。财政拨款支出总计</w:t>
      </w:r>
      <w:r>
        <w:rPr>
          <w:rFonts w:hint="eastAsia" w:ascii="仿宋_GB2312" w:eastAsia="仿宋_GB2312"/>
          <w:sz w:val="32"/>
          <w:szCs w:val="32"/>
          <w:lang w:val="zh-CN"/>
        </w:rPr>
        <w:t>2,778.81</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万元，本年财政拨款支出</w:t>
      </w:r>
      <w:r>
        <w:rPr>
          <w:rFonts w:hint="eastAsia" w:ascii="仿宋_GB2312" w:eastAsia="仿宋_GB2312"/>
          <w:sz w:val="32"/>
          <w:szCs w:val="32"/>
          <w:lang w:val="zh-CN"/>
        </w:rPr>
        <w:t>2,778.81</w:t>
      </w:r>
      <w:r>
        <w:rPr>
          <w:rFonts w:hint="eastAsia" w:ascii="仿宋_GB2312" w:eastAsia="仿宋_GB2312"/>
          <w:sz w:val="32"/>
          <w:szCs w:val="32"/>
        </w:rPr>
        <w:t>万元。</w:t>
      </w:r>
    </w:p>
    <w:p>
      <w:pPr>
        <w:ind w:firstLine="640" w:firstLineChars="200"/>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减少12,488.29万元</w:t>
      </w:r>
      <w:r>
        <w:rPr>
          <w:rFonts w:hint="eastAsia" w:ascii="仿宋_GB2312" w:eastAsia="仿宋_GB2312"/>
          <w:sz w:val="32"/>
          <w:szCs w:val="32"/>
        </w:rPr>
        <w:t>，下降81.80%,主要原因是：</w:t>
      </w:r>
      <w:r>
        <w:rPr>
          <w:rFonts w:hint="eastAsia" w:ascii="仿宋_GB2312" w:hAnsi="仿宋_GB2312" w:eastAsia="仿宋_GB2312" w:cs="仿宋_GB2312"/>
          <w:sz w:val="32"/>
          <w:szCs w:val="32"/>
        </w:rPr>
        <w:t>本年</w:t>
      </w:r>
      <w:r>
        <w:rPr>
          <w:rFonts w:hint="eastAsia" w:ascii="仿宋_GB2312" w:hAnsi="仿宋_GB2312" w:eastAsia="仿宋_GB2312" w:cs="仿宋_GB2312"/>
          <w:sz w:val="32"/>
          <w:szCs w:val="32"/>
          <w:lang w:val="zh-CN"/>
        </w:rPr>
        <w:t>奇台硅化木-恐龙国家地质公园地质遗迹保护等项目经费减少</w:t>
      </w:r>
      <w:r>
        <w:rPr>
          <w:rFonts w:hint="eastAsia" w:ascii="仿宋_GB2312" w:eastAsia="仿宋_GB2312"/>
          <w:sz w:val="32"/>
          <w:szCs w:val="32"/>
        </w:rPr>
        <w:t>。与年初预算相比，年初预算数</w:t>
      </w:r>
      <w:r>
        <w:rPr>
          <w:rFonts w:hint="eastAsia" w:ascii="仿宋_GB2312" w:eastAsia="仿宋_GB2312"/>
          <w:sz w:val="32"/>
          <w:szCs w:val="32"/>
          <w:lang w:val="zh-CN"/>
        </w:rPr>
        <w:t>1,208.10</w:t>
      </w:r>
      <w:r>
        <w:rPr>
          <w:rFonts w:hint="eastAsia" w:ascii="仿宋_GB2312" w:eastAsia="仿宋_GB2312"/>
          <w:sz w:val="32"/>
          <w:szCs w:val="32"/>
        </w:rPr>
        <w:t>万元，决算数</w:t>
      </w:r>
      <w:r>
        <w:rPr>
          <w:rFonts w:hint="eastAsia" w:ascii="仿宋_GB2312" w:eastAsia="仿宋_GB2312"/>
          <w:sz w:val="32"/>
          <w:szCs w:val="32"/>
          <w:lang w:val="zh-CN"/>
        </w:rPr>
        <w:t>2,778.81</w:t>
      </w:r>
      <w:r>
        <w:rPr>
          <w:rFonts w:hint="eastAsia" w:ascii="仿宋_GB2312" w:eastAsia="仿宋_GB2312"/>
          <w:sz w:val="32"/>
          <w:szCs w:val="32"/>
        </w:rPr>
        <w:t>万元，预决算差异率130.01%，主要原因是：</w:t>
      </w:r>
      <w:r>
        <w:rPr>
          <w:rFonts w:hint="eastAsia" w:ascii="仿宋_GB2312" w:hAnsi="仿宋_GB2312" w:eastAsia="仿宋_GB2312" w:cs="仿宋_GB2312"/>
          <w:sz w:val="32"/>
          <w:szCs w:val="32"/>
        </w:rPr>
        <w:t>年中追加</w:t>
      </w:r>
      <w:r>
        <w:rPr>
          <w:rFonts w:hint="eastAsia" w:ascii="仿宋_GB2312" w:hAnsi="仿宋_GB2312" w:eastAsia="仿宋_GB2312" w:cs="仿宋_GB2312"/>
          <w:sz w:val="32"/>
          <w:szCs w:val="32"/>
          <w:lang w:val="zh-CN"/>
        </w:rPr>
        <w:t>集体土地所有权确权更新交汇项目经费、综合整治、矿山地质环境恢复治理项目经费</w:t>
      </w:r>
      <w:r>
        <w:rPr>
          <w:rFonts w:hint="eastAsia" w:ascii="仿宋_GB2312" w:eastAsia="仿宋_GB2312"/>
          <w:sz w:val="32"/>
          <w:szCs w:val="32"/>
        </w:rPr>
        <w:t>。</w:t>
      </w:r>
    </w:p>
    <w:p>
      <w:pPr>
        <w:ind w:firstLine="640" w:firstLineChars="200"/>
        <w:jc w:val="left"/>
        <w:outlineLvl w:val="1"/>
        <w:rPr>
          <w:rFonts w:hint="eastAsia" w:ascii="黑体" w:hAnsi="黑体" w:eastAsia="黑体" w:cs="宋体"/>
          <w:bCs/>
          <w:kern w:val="0"/>
          <w:sz w:val="32"/>
          <w:szCs w:val="32"/>
        </w:rPr>
      </w:pPr>
      <w:bookmarkStart w:id="16" w:name="_Toc13833"/>
      <w:bookmarkStart w:id="17" w:name="_Toc20360"/>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（一）一般公共预算财政拨款支出决算总体情况</w:t>
      </w:r>
    </w:p>
    <w:p>
      <w:pPr>
        <w:ind w:firstLine="640" w:firstLineChars="200"/>
        <w:rPr>
          <w:rFonts w:ascii="仿宋_GB2312" w:eastAsia="仿宋_GB2312"/>
          <w:sz w:val="32"/>
          <w:szCs w:val="32"/>
        </w:rPr>
      </w:pPr>
      <w:r>
        <w:rPr>
          <w:rFonts w:hint="eastAsia" w:ascii="仿宋_GB2312" w:eastAsia="仿宋_GB2312"/>
          <w:sz w:val="32"/>
          <w:szCs w:val="32"/>
        </w:rPr>
        <w:t>2023年度一般公共预算财政拨款支出2,778.81万元，占本年支出合计的</w:t>
      </w:r>
      <w:r>
        <w:rPr>
          <w:rFonts w:hint="eastAsia" w:ascii="仿宋_GB2312" w:eastAsia="仿宋_GB2312"/>
          <w:sz w:val="32"/>
          <w:szCs w:val="32"/>
          <w:lang w:val="zh-CN"/>
        </w:rPr>
        <w:t>89.79%</w:t>
      </w:r>
      <w:r>
        <w:rPr>
          <w:rFonts w:hint="eastAsia" w:ascii="仿宋_GB2312" w:eastAsia="仿宋_GB2312"/>
          <w:sz w:val="32"/>
          <w:szCs w:val="32"/>
        </w:rPr>
        <w:t>。与上年相比，</w:t>
      </w:r>
      <w:r>
        <w:rPr>
          <w:rFonts w:hint="eastAsia" w:ascii="仿宋_GB2312" w:eastAsia="仿宋_GB2312"/>
          <w:sz w:val="32"/>
          <w:szCs w:val="32"/>
          <w:lang w:val="zh-CN"/>
        </w:rPr>
        <w:t>减少11,943.04万元</w:t>
      </w:r>
      <w:r>
        <w:rPr>
          <w:rFonts w:hint="eastAsia" w:ascii="仿宋_GB2312" w:eastAsia="仿宋_GB2312"/>
          <w:sz w:val="32"/>
          <w:szCs w:val="32"/>
        </w:rPr>
        <w:t>，下降81.12%,主要原因是：</w:t>
      </w:r>
      <w:r>
        <w:rPr>
          <w:rFonts w:hint="eastAsia" w:ascii="仿宋_GB2312" w:hAnsi="仿宋_GB2312" w:eastAsia="仿宋_GB2312" w:cs="仿宋_GB2312"/>
          <w:sz w:val="32"/>
          <w:szCs w:val="32"/>
        </w:rPr>
        <w:t>本年</w:t>
      </w:r>
      <w:r>
        <w:rPr>
          <w:rFonts w:hint="eastAsia" w:ascii="仿宋_GB2312" w:hAnsi="仿宋_GB2312" w:eastAsia="仿宋_GB2312" w:cs="仿宋_GB2312"/>
          <w:sz w:val="32"/>
          <w:szCs w:val="32"/>
          <w:lang w:val="zh-CN"/>
        </w:rPr>
        <w:t>奇台硅化木-恐龙国家地质公园地质遗迹保护等项目经费减少</w:t>
      </w:r>
      <w:r>
        <w:rPr>
          <w:rFonts w:hint="eastAsia" w:ascii="仿宋_GB2312" w:eastAsia="仿宋_GB2312"/>
          <w:sz w:val="32"/>
          <w:szCs w:val="32"/>
        </w:rPr>
        <w:t>。与年初预算相比，年初预算数</w:t>
      </w:r>
      <w:r>
        <w:rPr>
          <w:rFonts w:hint="eastAsia" w:ascii="仿宋_GB2312" w:eastAsia="仿宋_GB2312"/>
          <w:sz w:val="32"/>
          <w:szCs w:val="32"/>
          <w:lang w:val="zh-CN"/>
        </w:rPr>
        <w:t>1,208.10</w:t>
      </w:r>
      <w:r>
        <w:rPr>
          <w:rFonts w:hint="eastAsia" w:ascii="仿宋_GB2312" w:eastAsia="仿宋_GB2312"/>
          <w:sz w:val="32"/>
          <w:szCs w:val="32"/>
        </w:rPr>
        <w:t>万元，决算数</w:t>
      </w:r>
      <w:r>
        <w:rPr>
          <w:rFonts w:hint="eastAsia" w:ascii="仿宋_GB2312" w:eastAsia="仿宋_GB2312"/>
          <w:sz w:val="32"/>
          <w:szCs w:val="32"/>
          <w:lang w:val="zh-CN"/>
        </w:rPr>
        <w:t>2,778.81</w:t>
      </w:r>
      <w:r>
        <w:rPr>
          <w:rFonts w:hint="eastAsia" w:ascii="仿宋_GB2312" w:eastAsia="仿宋_GB2312"/>
          <w:sz w:val="32"/>
          <w:szCs w:val="32"/>
        </w:rPr>
        <w:t>万元，预决算差异率</w:t>
      </w:r>
      <w:r>
        <w:rPr>
          <w:rFonts w:hint="eastAsia" w:ascii="仿宋_GB2312" w:eastAsia="仿宋_GB2312"/>
          <w:sz w:val="32"/>
          <w:szCs w:val="32"/>
          <w:lang w:val="zh-CN"/>
        </w:rPr>
        <w:t>130.01%</w:t>
      </w:r>
      <w:r>
        <w:rPr>
          <w:rFonts w:hint="eastAsia" w:ascii="仿宋_GB2312" w:eastAsia="仿宋_GB2312"/>
          <w:sz w:val="32"/>
          <w:szCs w:val="32"/>
        </w:rPr>
        <w:t>，主要原因是：</w:t>
      </w:r>
      <w:r>
        <w:rPr>
          <w:rFonts w:hint="eastAsia" w:ascii="仿宋_GB2312" w:hAnsi="仿宋_GB2312" w:eastAsia="仿宋_GB2312" w:cs="仿宋_GB2312"/>
          <w:sz w:val="32"/>
          <w:szCs w:val="32"/>
        </w:rPr>
        <w:t>年中追加</w:t>
      </w:r>
      <w:r>
        <w:rPr>
          <w:rFonts w:hint="eastAsia" w:ascii="仿宋_GB2312" w:hAnsi="仿宋_GB2312" w:eastAsia="仿宋_GB2312" w:cs="仿宋_GB2312"/>
          <w:sz w:val="32"/>
          <w:szCs w:val="32"/>
          <w:lang w:val="zh-CN"/>
        </w:rPr>
        <w:t>集体土地所有权确权更新交汇项目经费、综合整治、矿山地质环境恢复治理项目经费</w:t>
      </w:r>
      <w:r>
        <w:rPr>
          <w:rFonts w:hint="eastAsia" w:ascii="仿宋_GB2312" w:eastAsia="仿宋_GB2312"/>
          <w:sz w:val="32"/>
          <w:szCs w:val="32"/>
        </w:rPr>
        <w:t>。</w:t>
      </w:r>
    </w:p>
    <w:p>
      <w:pPr>
        <w:numPr>
          <w:ilvl w:val="0"/>
          <w:numId w:val="1"/>
        </w:num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一般公共预算财政拨款支出决算结构情况</w:t>
      </w:r>
    </w:p>
    <w:p>
      <w:pPr>
        <w:pStyle w:val="8"/>
        <w:widowControl/>
        <w:spacing w:before="0" w:beforeAutospacing="0" w:after="0" w:afterAutospacing="0"/>
        <w:ind w:firstLine="640" w:firstLineChars="200"/>
        <w:rPr>
          <w:rFonts w:ascii="仿宋_GB2312" w:eastAsia="仿宋_GB2312"/>
          <w:kern w:val="2"/>
          <w:sz w:val="32"/>
          <w:szCs w:val="32"/>
          <w:lang w:val="zh-CN"/>
        </w:rPr>
      </w:pPr>
      <w:r>
        <w:rPr>
          <w:rFonts w:ascii="仿宋_GB2312" w:eastAsia="仿宋_GB2312"/>
          <w:kern w:val="2"/>
          <w:sz w:val="32"/>
          <w:szCs w:val="32"/>
          <w:lang w:val="zh-CN"/>
        </w:rPr>
        <w:t>1.社会保障和就业支出（类）</w:t>
      </w:r>
      <w:r>
        <w:rPr>
          <w:rFonts w:hint="eastAsia" w:ascii="仿宋_GB2312" w:eastAsia="仿宋_GB2312"/>
          <w:kern w:val="2"/>
          <w:sz w:val="32"/>
          <w:szCs w:val="32"/>
          <w:lang w:val="zh-CN"/>
        </w:rPr>
        <w:t>168.87</w:t>
      </w:r>
      <w:r>
        <w:rPr>
          <w:rFonts w:ascii="仿宋_GB2312" w:eastAsia="仿宋_GB2312"/>
          <w:kern w:val="2"/>
          <w:sz w:val="32"/>
          <w:szCs w:val="32"/>
          <w:lang w:val="zh-CN"/>
        </w:rPr>
        <w:t>万元，占</w:t>
      </w:r>
      <w:r>
        <w:rPr>
          <w:rFonts w:hint="eastAsia" w:ascii="仿宋_GB2312" w:eastAsia="仿宋_GB2312"/>
          <w:kern w:val="2"/>
          <w:sz w:val="32"/>
          <w:szCs w:val="32"/>
          <w:lang w:val="zh-CN"/>
        </w:rPr>
        <w:t>6.08%</w:t>
      </w:r>
      <w:r>
        <w:rPr>
          <w:rFonts w:ascii="仿宋_GB2312" w:eastAsia="仿宋_GB2312"/>
          <w:kern w:val="2"/>
          <w:sz w:val="32"/>
          <w:szCs w:val="32"/>
          <w:lang w:val="zh-CN"/>
        </w:rPr>
        <w:t>；</w:t>
      </w:r>
    </w:p>
    <w:p>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2</w:t>
      </w:r>
      <w:r>
        <w:rPr>
          <w:rFonts w:ascii="仿宋_GB2312" w:eastAsia="仿宋_GB2312"/>
          <w:kern w:val="2"/>
          <w:sz w:val="32"/>
          <w:szCs w:val="32"/>
          <w:lang w:val="zh-CN"/>
        </w:rPr>
        <w:t>.卫生健康支出（类）</w:t>
      </w:r>
      <w:r>
        <w:rPr>
          <w:rFonts w:hint="eastAsia" w:ascii="仿宋_GB2312" w:eastAsia="仿宋_GB2312"/>
          <w:kern w:val="2"/>
          <w:sz w:val="32"/>
          <w:szCs w:val="32"/>
          <w:lang w:val="zh-CN"/>
        </w:rPr>
        <w:t>49.03</w:t>
      </w:r>
      <w:r>
        <w:rPr>
          <w:rFonts w:ascii="仿宋_GB2312" w:eastAsia="仿宋_GB2312"/>
          <w:kern w:val="2"/>
          <w:sz w:val="32"/>
          <w:szCs w:val="32"/>
          <w:lang w:val="zh-CN"/>
        </w:rPr>
        <w:t>万元，占</w:t>
      </w:r>
      <w:r>
        <w:rPr>
          <w:rFonts w:hint="eastAsia" w:ascii="仿宋_GB2312" w:eastAsia="仿宋_GB2312"/>
          <w:kern w:val="2"/>
          <w:sz w:val="32"/>
          <w:szCs w:val="32"/>
          <w:lang w:val="zh-CN"/>
        </w:rPr>
        <w:t>1.76%</w:t>
      </w:r>
      <w:r>
        <w:rPr>
          <w:rFonts w:ascii="仿宋_GB2312" w:eastAsia="仿宋_GB2312"/>
          <w:kern w:val="2"/>
          <w:sz w:val="32"/>
          <w:szCs w:val="32"/>
          <w:lang w:val="zh-CN"/>
        </w:rPr>
        <w:t>；</w:t>
      </w:r>
    </w:p>
    <w:p>
      <w:pPr>
        <w:pStyle w:val="8"/>
        <w:widowControl/>
        <w:spacing w:before="0" w:beforeAutospacing="0" w:after="0" w:afterAutospacing="0"/>
        <w:ind w:firstLine="640" w:firstLineChars="200"/>
        <w:rPr>
          <w:rFonts w:hint="eastAsia" w:ascii="仿宋_GB2312" w:hAnsi="仿宋_GB2312" w:eastAsia="仿宋_GB2312" w:cs="仿宋_GB2312"/>
          <w:kern w:val="2"/>
          <w:sz w:val="32"/>
          <w:szCs w:val="32"/>
          <w:lang w:val="zh-CN"/>
        </w:rPr>
      </w:pPr>
      <w:r>
        <w:rPr>
          <w:rFonts w:hint="eastAsia" w:ascii="仿宋_GB2312" w:hAnsi="仿宋_GB2312" w:eastAsia="仿宋_GB2312" w:cs="仿宋_GB2312"/>
          <w:kern w:val="2"/>
          <w:sz w:val="32"/>
          <w:szCs w:val="32"/>
          <w:lang w:val="zh-CN"/>
        </w:rPr>
        <w:t>3.城乡社区支出（类）23.37万元，占 0.84%；</w:t>
      </w:r>
    </w:p>
    <w:p>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hAnsi="仿宋_GB2312" w:eastAsia="仿宋_GB2312" w:cs="仿宋_GB2312"/>
          <w:kern w:val="2"/>
          <w:sz w:val="32"/>
          <w:szCs w:val="32"/>
          <w:lang w:val="zh-CN"/>
        </w:rPr>
        <w:t>4.农林水支出（类）274.13万元，占</w:t>
      </w:r>
      <w:r>
        <w:rPr>
          <w:rFonts w:hint="eastAsia" w:ascii="仿宋_GB2312" w:eastAsia="仿宋_GB2312"/>
          <w:kern w:val="2"/>
          <w:sz w:val="32"/>
          <w:szCs w:val="32"/>
          <w:lang w:val="zh-CN"/>
        </w:rPr>
        <w:t>9.87%</w:t>
      </w:r>
      <w:r>
        <w:rPr>
          <w:rFonts w:ascii="仿宋_GB2312" w:eastAsia="仿宋_GB2312"/>
          <w:kern w:val="2"/>
          <w:sz w:val="32"/>
          <w:szCs w:val="32"/>
          <w:lang w:val="zh-CN"/>
        </w:rPr>
        <w:t>；</w:t>
      </w:r>
    </w:p>
    <w:p>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5</w:t>
      </w:r>
      <w:r>
        <w:rPr>
          <w:rFonts w:ascii="仿宋_GB2312" w:eastAsia="仿宋_GB2312"/>
          <w:kern w:val="2"/>
          <w:sz w:val="32"/>
          <w:szCs w:val="32"/>
          <w:lang w:val="zh-CN"/>
        </w:rPr>
        <w:t>.资源勘探信息等支出（类）</w:t>
      </w:r>
      <w:r>
        <w:rPr>
          <w:rFonts w:hint="eastAsia" w:ascii="仿宋_GB2312" w:eastAsia="仿宋_GB2312"/>
          <w:kern w:val="2"/>
          <w:sz w:val="32"/>
          <w:szCs w:val="32"/>
          <w:lang w:val="zh-CN"/>
        </w:rPr>
        <w:t>634.01</w:t>
      </w:r>
      <w:r>
        <w:rPr>
          <w:rFonts w:ascii="仿宋_GB2312" w:eastAsia="仿宋_GB2312"/>
          <w:kern w:val="2"/>
          <w:sz w:val="32"/>
          <w:szCs w:val="32"/>
          <w:lang w:val="zh-CN"/>
        </w:rPr>
        <w:t>万元，占</w:t>
      </w:r>
      <w:r>
        <w:rPr>
          <w:rFonts w:hint="eastAsia" w:ascii="仿宋_GB2312" w:eastAsia="仿宋_GB2312"/>
          <w:kern w:val="2"/>
          <w:sz w:val="32"/>
          <w:szCs w:val="32"/>
          <w:lang w:val="zh-CN"/>
        </w:rPr>
        <w:t>22.82%</w:t>
      </w:r>
      <w:r>
        <w:rPr>
          <w:rFonts w:ascii="仿宋_GB2312" w:eastAsia="仿宋_GB2312"/>
          <w:kern w:val="2"/>
          <w:sz w:val="32"/>
          <w:szCs w:val="32"/>
          <w:lang w:val="zh-CN"/>
        </w:rPr>
        <w:t>；</w:t>
      </w:r>
    </w:p>
    <w:p>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6</w:t>
      </w:r>
      <w:r>
        <w:rPr>
          <w:rFonts w:ascii="仿宋_GB2312" w:eastAsia="仿宋_GB2312"/>
          <w:kern w:val="2"/>
          <w:sz w:val="32"/>
          <w:szCs w:val="32"/>
          <w:lang w:val="zh-CN"/>
        </w:rPr>
        <w:t>.自然资源海洋气象等支出（类）</w:t>
      </w:r>
      <w:r>
        <w:rPr>
          <w:rFonts w:hint="eastAsia" w:ascii="仿宋_GB2312" w:eastAsia="仿宋_GB2312"/>
          <w:kern w:val="2"/>
          <w:sz w:val="32"/>
          <w:szCs w:val="32"/>
          <w:lang w:val="zh-CN"/>
        </w:rPr>
        <w:t>1,537.79</w:t>
      </w:r>
      <w:r>
        <w:rPr>
          <w:rFonts w:ascii="仿宋_GB2312" w:eastAsia="仿宋_GB2312"/>
          <w:kern w:val="2"/>
          <w:sz w:val="32"/>
          <w:szCs w:val="32"/>
          <w:lang w:val="zh-CN"/>
        </w:rPr>
        <w:t>万元，占</w:t>
      </w:r>
      <w:r>
        <w:rPr>
          <w:rFonts w:hint="eastAsia" w:ascii="仿宋_GB2312" w:eastAsia="仿宋_GB2312"/>
          <w:kern w:val="2"/>
          <w:sz w:val="32"/>
          <w:szCs w:val="32"/>
          <w:lang w:val="zh-CN"/>
        </w:rPr>
        <w:t>55.34%</w:t>
      </w:r>
      <w:r>
        <w:rPr>
          <w:rFonts w:ascii="仿宋_GB2312" w:eastAsia="仿宋_GB2312"/>
          <w:kern w:val="2"/>
          <w:sz w:val="32"/>
          <w:szCs w:val="32"/>
          <w:lang w:val="zh-CN"/>
        </w:rPr>
        <w:t>；</w:t>
      </w:r>
    </w:p>
    <w:p>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7</w:t>
      </w:r>
      <w:r>
        <w:rPr>
          <w:rFonts w:ascii="仿宋_GB2312" w:eastAsia="仿宋_GB2312"/>
          <w:kern w:val="2"/>
          <w:sz w:val="32"/>
          <w:szCs w:val="32"/>
          <w:lang w:val="zh-CN"/>
        </w:rPr>
        <w:t>.住房保障支出（类）</w:t>
      </w:r>
      <w:r>
        <w:rPr>
          <w:rFonts w:hint="eastAsia" w:ascii="仿宋_GB2312" w:eastAsia="仿宋_GB2312"/>
          <w:kern w:val="2"/>
          <w:sz w:val="32"/>
          <w:szCs w:val="32"/>
          <w:lang w:val="zh-CN"/>
        </w:rPr>
        <w:t>79.10</w:t>
      </w:r>
      <w:r>
        <w:rPr>
          <w:rFonts w:ascii="仿宋_GB2312" w:eastAsia="仿宋_GB2312"/>
          <w:kern w:val="2"/>
          <w:sz w:val="32"/>
          <w:szCs w:val="32"/>
          <w:lang w:val="zh-CN"/>
        </w:rPr>
        <w:t>万元，占</w:t>
      </w:r>
      <w:r>
        <w:rPr>
          <w:rFonts w:hint="eastAsia" w:ascii="仿宋_GB2312" w:eastAsia="仿宋_GB2312"/>
          <w:kern w:val="2"/>
          <w:sz w:val="32"/>
          <w:szCs w:val="32"/>
          <w:lang w:val="zh-CN"/>
        </w:rPr>
        <w:t>2.85%</w:t>
      </w:r>
      <w:r>
        <w:rPr>
          <w:rFonts w:ascii="仿宋_GB2312" w:eastAsia="仿宋_GB2312"/>
          <w:kern w:val="2"/>
          <w:sz w:val="32"/>
          <w:szCs w:val="32"/>
          <w:lang w:val="zh-CN"/>
        </w:rPr>
        <w:t>；</w:t>
      </w:r>
    </w:p>
    <w:p>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8</w:t>
      </w:r>
      <w:r>
        <w:rPr>
          <w:rFonts w:ascii="仿宋_GB2312" w:eastAsia="仿宋_GB2312"/>
          <w:kern w:val="2"/>
          <w:sz w:val="32"/>
          <w:szCs w:val="32"/>
          <w:lang w:val="zh-CN"/>
        </w:rPr>
        <w:t>.其他支出（类）</w:t>
      </w:r>
      <w:r>
        <w:rPr>
          <w:rFonts w:hint="eastAsia" w:ascii="仿宋_GB2312" w:eastAsia="仿宋_GB2312"/>
          <w:kern w:val="2"/>
          <w:sz w:val="32"/>
          <w:szCs w:val="32"/>
          <w:lang w:val="zh-CN"/>
        </w:rPr>
        <w:t>12.51</w:t>
      </w:r>
      <w:r>
        <w:rPr>
          <w:rFonts w:ascii="仿宋_GB2312" w:eastAsia="仿宋_GB2312"/>
          <w:kern w:val="2"/>
          <w:sz w:val="32"/>
          <w:szCs w:val="32"/>
          <w:lang w:val="zh-CN"/>
        </w:rPr>
        <w:t>万元，占</w:t>
      </w:r>
      <w:r>
        <w:rPr>
          <w:rFonts w:hint="eastAsia" w:ascii="仿宋_GB2312" w:eastAsia="仿宋_GB2312"/>
          <w:kern w:val="2"/>
          <w:sz w:val="32"/>
          <w:szCs w:val="32"/>
          <w:lang w:val="zh-CN"/>
        </w:rPr>
        <w:t>0.45%。</w:t>
      </w:r>
    </w:p>
    <w:p>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（三）一般公共预算财政拨款支出决算具体情况</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1.卫生健康支出（类）行政事业单位医疗（款）其他行政事业单位医疗支出（项）:支出决算数为0.63万元，比上年决算减少0.51万元，下降44.74%，主要原因是：</w:t>
      </w:r>
      <w:r>
        <w:rPr>
          <w:rFonts w:hint="eastAsia" w:ascii="仿宋_GB2312" w:hAnsi="仿宋_GB2312" w:eastAsia="仿宋_GB2312" w:cs="仿宋_GB2312"/>
          <w:sz w:val="32"/>
          <w:szCs w:val="32"/>
          <w:lang w:val="zh-CN"/>
        </w:rPr>
        <w:t>单位本年职工医疗缴费较上年减少。</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2.卫生健康支出（类）行政事业单位医疗（款）行政单位医疗（项）:支出决算数为43.35万元，比上年决算增加1.25万元，增长2.97%，主要原因是：</w:t>
      </w:r>
      <w:r>
        <w:rPr>
          <w:rFonts w:hint="eastAsia" w:ascii="仿宋_GB2312" w:hAnsi="仿宋_GB2312" w:eastAsia="仿宋_GB2312" w:cs="仿宋_GB2312"/>
          <w:sz w:val="32"/>
          <w:szCs w:val="32"/>
          <w:lang w:val="zh-CN"/>
        </w:rPr>
        <w:t>单位本年行政医疗缴费基数上调，相应医疗缴费增加。</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3.卫生健康支出（类）行政事业单位医疗（款）公务员医疗补助（项）:支出决算数为5.05万元，比上年决算减少7.03万元，下降58.20%，主要原因是：</w:t>
      </w:r>
      <w:r>
        <w:rPr>
          <w:rFonts w:hint="eastAsia" w:ascii="仿宋_GB2312" w:hAnsi="仿宋_GB2312" w:eastAsia="仿宋_GB2312" w:cs="仿宋_GB2312"/>
          <w:sz w:val="32"/>
          <w:szCs w:val="32"/>
          <w:lang w:val="zh-CN"/>
        </w:rPr>
        <w:t>单位本年公务员医疗缴费基数下调，相应公务员医疗缴费减少。</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4.住房保障支出（类）住房改革支出（款）住房公积金（项）:支出决算数为79.10万元，比上年决算减少35.27万元，下降30.84%，主要原因是：</w:t>
      </w:r>
      <w:r>
        <w:rPr>
          <w:rFonts w:hint="eastAsia" w:ascii="仿宋_GB2312" w:hAnsi="仿宋_GB2312" w:eastAsia="仿宋_GB2312" w:cs="仿宋_GB2312"/>
          <w:sz w:val="32"/>
          <w:szCs w:val="32"/>
          <w:lang w:val="zh-CN"/>
        </w:rPr>
        <w:t>单位本年人员经费减少，相应人员公积金缴费减少。</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5.社会保障和就业支出（类）抚恤（款）死亡抚恤（项）:支出决算数为29.26万元，比上年决算增加11.35万元，增长63.37%，主要原因是：单位本年</w:t>
      </w:r>
      <w:r>
        <w:rPr>
          <w:rFonts w:hint="eastAsia" w:ascii="仿宋_GB2312" w:hAnsi="仿宋_GB2312" w:eastAsia="仿宋_GB2312" w:cs="仿宋_GB2312"/>
          <w:sz w:val="32"/>
          <w:szCs w:val="32"/>
          <w:lang w:val="zh-CN"/>
        </w:rPr>
        <w:t>人员丧葬费、抚恤金较上年增加。</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6.资源勘探工业信息等支出（类）支持中小企业发展和管理支出（款）其他支持中小企业发展和管理支出（项）:支出决算数为634.01万元，比上年决算增加24.84万元，增长4.08%，主要原因是：单位本年</w:t>
      </w:r>
      <w:r>
        <w:rPr>
          <w:rFonts w:hint="eastAsia" w:ascii="仿宋_GB2312" w:hAnsi="仿宋_GB2312" w:eastAsia="仿宋_GB2312" w:cs="仿宋_GB2312"/>
          <w:sz w:val="32"/>
          <w:szCs w:val="32"/>
          <w:lang w:val="zh-CN"/>
        </w:rPr>
        <w:t>综合整治、矿山地质环境恢复治理项目经费增加。</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7.自然资源海洋气象等支出（类）自然资源事务（款）事业运行（项）:支出决算数为507.23万元，比上年决算减少358.25万元，下降41.39%，主要原因是：</w:t>
      </w:r>
      <w:r>
        <w:rPr>
          <w:rFonts w:hint="eastAsia" w:ascii="仿宋_GB2312" w:hAnsi="仿宋_GB2312" w:eastAsia="仿宋_GB2312" w:cs="仿宋_GB2312"/>
          <w:sz w:val="32"/>
          <w:szCs w:val="32"/>
          <w:lang w:val="zh-CN"/>
        </w:rPr>
        <w:t>单位本年人员减少，相应人员工资、津贴补贴、奖金等人员经费减少。</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8.社会保障和就业支出（类）行政事业单位养老支出（款）行政单位离退休（项）:支出决算数为19.77万元，比上年决算增加19.77万元，增长100%，主要原因是：</w:t>
      </w:r>
      <w:r>
        <w:rPr>
          <w:rFonts w:hint="eastAsia" w:ascii="仿宋_GB2312" w:hAnsi="仿宋_GB2312" w:eastAsia="仿宋_GB2312" w:cs="仿宋_GB2312"/>
          <w:sz w:val="32"/>
          <w:szCs w:val="32"/>
          <w:lang w:val="zh-CN"/>
        </w:rPr>
        <w:t>单位本年退休人员交通补助、取暖费增加。</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9.社会保障和就业支出（类）行政事业单位养老支出（款）机关事业单位职业年金缴费支出（项）:支出决算数为35.42万元，比上年决算增加11.54万元，增长48.32%，主要原因是：</w:t>
      </w:r>
      <w:r>
        <w:rPr>
          <w:rFonts w:hint="eastAsia" w:ascii="仿宋_GB2312" w:hAnsi="仿宋_GB2312" w:eastAsia="仿宋_GB2312" w:cs="仿宋_GB2312"/>
          <w:sz w:val="32"/>
          <w:szCs w:val="32"/>
          <w:lang w:val="zh-CN"/>
        </w:rPr>
        <w:t>单位本年补缴以前年度职业年金费用。</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10.社会保障和就业支出（类）行政事业单位养老支出（款）机关事业单位基本养老保险缴费支出（项）:支出决算数为84.43万元，比上年决算减少55.92万元，下降39.84%，主要原因是：</w:t>
      </w:r>
      <w:r>
        <w:rPr>
          <w:rFonts w:hint="eastAsia" w:ascii="仿宋_GB2312" w:hAnsi="仿宋_GB2312" w:eastAsia="仿宋_GB2312" w:cs="仿宋_GB2312"/>
          <w:sz w:val="32"/>
          <w:szCs w:val="32"/>
          <w:lang w:val="zh-CN"/>
        </w:rPr>
        <w:t>单位本年人员经费减少，相应人员养老保险缴费减少。</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11.农林水支出（类）农业农村（款）农业生产发展（项）:支出决算数为171.66万元，比上年决算增加171.66万元，增长100%，主要原因是：单位本年</w:t>
      </w:r>
      <w:r>
        <w:rPr>
          <w:rFonts w:hint="eastAsia" w:ascii="仿宋_GB2312" w:hAnsi="仿宋_GB2312" w:eastAsia="仿宋_GB2312" w:cs="仿宋_GB2312"/>
          <w:sz w:val="32"/>
          <w:szCs w:val="32"/>
          <w:lang w:val="zh-CN"/>
        </w:rPr>
        <w:t>农村地籍调查及计提建设用地使用权确权登记项目经费增加。</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12.农林水支出（类）农业农村（款）其他农业农村支出（项）:支出决算数为102.47万元，比上年决算增加102.47万元，增长100%，主要原因是：单位本年</w:t>
      </w:r>
      <w:r>
        <w:rPr>
          <w:rFonts w:hint="eastAsia" w:ascii="仿宋_GB2312" w:hAnsi="仿宋_GB2312" w:eastAsia="仿宋_GB2312" w:cs="仿宋_GB2312"/>
          <w:sz w:val="32"/>
          <w:szCs w:val="32"/>
          <w:lang w:val="zh-CN"/>
        </w:rPr>
        <w:t>乔仁乡征地补偿项目经费增加。</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13.自然资源海洋气象等支出（类）自然资源事务（款）自然资源规划及管理（项）:支出决算数为300.00万元，比上年决算增加300.00万元，增长100%，主要原因是：单位本年</w:t>
      </w:r>
      <w:r>
        <w:rPr>
          <w:rFonts w:hint="eastAsia" w:ascii="仿宋_GB2312" w:hAnsi="仿宋_GB2312" w:eastAsia="仿宋_GB2312" w:cs="仿宋_GB2312"/>
          <w:sz w:val="32"/>
          <w:szCs w:val="32"/>
          <w:lang w:val="zh-CN"/>
        </w:rPr>
        <w:t>国土空间规划编制项目经费增加。</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14.自然资源海洋气象等支出（类）自然资源事务（款）自然资源利用与保护（项）:支出决算数为45.55万元，比上年决算增加30.82万元，增长209.23%，主要原因是：单位本年</w:t>
      </w:r>
      <w:r>
        <w:rPr>
          <w:rFonts w:hint="eastAsia" w:ascii="仿宋_GB2312" w:hAnsi="仿宋_GB2312" w:eastAsia="仿宋_GB2312" w:cs="仿宋_GB2312"/>
          <w:sz w:val="32"/>
          <w:szCs w:val="32"/>
          <w:lang w:val="zh-CN"/>
        </w:rPr>
        <w:t>耕地非农化核查、耕地开垦项目经费增加。</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15.城乡社区支出（类）城乡社区公共设施（款）小城镇基础设施建设（项）:支出决算数为23.37万元，比上年决算增加23.37万元，增长100%，主要原因是：单位本年</w:t>
      </w:r>
      <w:r>
        <w:rPr>
          <w:rFonts w:hint="eastAsia" w:ascii="仿宋_GB2312" w:hAnsi="仿宋_GB2312" w:eastAsia="仿宋_GB2312" w:cs="仿宋_GB2312"/>
          <w:sz w:val="32"/>
          <w:szCs w:val="32"/>
          <w:lang w:val="zh-CN"/>
        </w:rPr>
        <w:t>城镇规划建设用地耕地开垦项目经费增加。</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16.自然资源海洋气象等支出（类）自然资源事务（款）其他自然资源事务支出（项）:支出决算数为275.82万元，比上年决算减少64.28万元，下降18.90%，主要原因是：本年</w:t>
      </w:r>
      <w:r>
        <w:rPr>
          <w:rFonts w:hint="eastAsia" w:ascii="仿宋_GB2312" w:hAnsi="仿宋_GB2312" w:eastAsia="仿宋_GB2312" w:cs="仿宋_GB2312"/>
          <w:sz w:val="32"/>
          <w:szCs w:val="32"/>
          <w:lang w:val="zh-CN"/>
        </w:rPr>
        <w:t>奇台硅化木-恐龙国家地质公园地质遗迹保护等项目经费减少。</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17.自然资源海洋气象等支出（类）自然资源事务（款）行政运行（项）:支出决算数为334.54万元，比上年决算减少94.74万元，下降22.07%，主要原因是：</w:t>
      </w:r>
      <w:r>
        <w:rPr>
          <w:rFonts w:hint="eastAsia" w:ascii="仿宋_GB2312" w:hAnsi="仿宋_GB2312" w:eastAsia="仿宋_GB2312" w:cs="仿宋_GB2312"/>
          <w:sz w:val="32"/>
          <w:szCs w:val="32"/>
          <w:lang w:val="zh-CN"/>
        </w:rPr>
        <w:t>单位本年人员减少，相应人员工资、津贴补贴、奖金等人员经费减少。</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18.自然资源海洋气象等支出（类）自然资源事务（款）自然资源调查与确权登记（项）:支出决算数为74.65万元，比上年决算增加74.65万元，增长100%，主要原因是：单位本年</w:t>
      </w:r>
      <w:r>
        <w:rPr>
          <w:rFonts w:hint="eastAsia" w:ascii="仿宋_GB2312" w:hAnsi="仿宋_GB2312" w:eastAsia="仿宋_GB2312" w:cs="仿宋_GB2312"/>
          <w:sz w:val="32"/>
          <w:szCs w:val="32"/>
          <w:lang w:val="zh-CN"/>
        </w:rPr>
        <w:t>集体土地所有权确权更新交汇项目经费增加。</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19.其他支出（类）其他支出（款）其他支出（项）:支出决算数为12.51万元，比上年决算增加5.27万元，增长72.79%，主要原因是：</w:t>
      </w:r>
      <w:r>
        <w:rPr>
          <w:rFonts w:hint="eastAsia" w:ascii="仿宋_GB2312" w:hAnsi="仿宋_GB2312" w:eastAsia="仿宋_GB2312" w:cs="仿宋_GB2312"/>
          <w:sz w:val="32"/>
          <w:szCs w:val="32"/>
          <w:lang w:val="zh-CN"/>
        </w:rPr>
        <w:t>单位本年为民办实事、办好事社区工作专项项目经费增加。</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20.卫生健康支出（类）行政事业单位医疗（款）事业单位医疗（项）:支出决算数为0.00万元，比上年决算减少75.30万元，下降100%，主要原因是：</w:t>
      </w:r>
      <w:r>
        <w:rPr>
          <w:rFonts w:hint="eastAsia" w:ascii="仿宋_GB2312" w:hAnsi="仿宋_GB2312" w:eastAsia="仿宋_GB2312" w:cs="仿宋_GB2312"/>
          <w:sz w:val="32"/>
          <w:szCs w:val="32"/>
          <w:lang w:val="zh-CN"/>
        </w:rPr>
        <w:t>单位本年此科目指出在行政单位医疗反应。</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21.节能环保支出（类）退耕还林还草（款）退耕还林工程建设（项）:支出决算数为0.00万元，比上年决算减少105.46万元，下降100%，主要原因是：</w:t>
      </w:r>
      <w:r>
        <w:rPr>
          <w:rFonts w:hint="eastAsia" w:ascii="仿宋_GB2312" w:hAnsi="仿宋_GB2312" w:eastAsia="仿宋_GB2312" w:cs="仿宋_GB2312"/>
          <w:sz w:val="32"/>
          <w:szCs w:val="32"/>
          <w:lang w:val="zh-CN"/>
        </w:rPr>
        <w:t>单位本年减少2016年新一轮第一年退耕还林补助。</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22.节能环保支出（类）退耕还林还草（款）其他退耕还林还草支出（项）:支出决算数为0.00万元，比上年决算减少11,608.49万元，下降100%，主要原因是：</w:t>
      </w:r>
      <w:r>
        <w:rPr>
          <w:rFonts w:hint="eastAsia" w:ascii="仿宋_GB2312" w:hAnsi="仿宋_GB2312" w:eastAsia="仿宋_GB2312" w:cs="仿宋_GB2312"/>
          <w:sz w:val="32"/>
          <w:szCs w:val="32"/>
          <w:lang w:val="zh-CN"/>
        </w:rPr>
        <w:t>单位本年减少2016年至2018年退耕还林补助。</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23.农林水支出（类）林业和草原（款）森林资源培育（项）:支出决算数为0.00万元，比上年决算减少10.00万元，下降100%，主要原因是：</w:t>
      </w:r>
      <w:r>
        <w:rPr>
          <w:rFonts w:hint="eastAsia" w:ascii="仿宋_GB2312" w:hAnsi="仿宋_GB2312" w:eastAsia="仿宋_GB2312" w:cs="仿宋_GB2312"/>
          <w:sz w:val="32"/>
          <w:szCs w:val="32"/>
          <w:lang w:val="zh-CN"/>
        </w:rPr>
        <w:t>单位本年减少2016年三北工程退化林分修复项目。</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24.农林水支出（类）林业和草原（款）森林生态效益补偿（项）:支出决算数为0.00万元，比上年决算减少80.00万元，下降100%，主要原因是：</w:t>
      </w:r>
      <w:r>
        <w:rPr>
          <w:rFonts w:hint="eastAsia" w:ascii="仿宋_GB2312" w:hAnsi="仿宋_GB2312" w:eastAsia="仿宋_GB2312" w:cs="仿宋_GB2312"/>
          <w:sz w:val="32"/>
          <w:szCs w:val="32"/>
          <w:lang w:val="zh-CN"/>
        </w:rPr>
        <w:t>单位本年减少2021年森林生态效益补偿护林员工资社保</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25.自然资源海洋气象等支出（类）自然资源事务（款）土地资源储备支出（项）:支出决算数为0.00万元，比上年决算减少221.27万元，下降100%，主要原因是：</w:t>
      </w:r>
      <w:r>
        <w:rPr>
          <w:rFonts w:hint="eastAsia" w:ascii="仿宋_GB2312" w:hAnsi="仿宋_GB2312" w:eastAsia="仿宋_GB2312" w:cs="仿宋_GB2312"/>
          <w:sz w:val="32"/>
          <w:szCs w:val="32"/>
          <w:lang w:val="zh-CN"/>
        </w:rPr>
        <w:t>单位本年无减少2022年三个批次耕地占用税。</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26.自然资源海洋气象等支出（类）其他自然资源海洋气象等支出（款）其他自然资源海洋气象等支出（项）:支出决算数为0.00万元，比上年决算减少3.50万元，下降100%，主要原因是：</w:t>
      </w:r>
      <w:r>
        <w:rPr>
          <w:rFonts w:hint="eastAsia" w:ascii="仿宋_GB2312" w:hAnsi="仿宋_GB2312" w:eastAsia="仿宋_GB2312" w:cs="仿宋_GB2312"/>
          <w:sz w:val="32"/>
          <w:szCs w:val="32"/>
          <w:lang w:val="zh-CN"/>
        </w:rPr>
        <w:t>单位本年减少2022年度债务及自然资源业务开展支出。</w:t>
      </w:r>
    </w:p>
    <w:p>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1,138.78万元，其中：人员经费1,112.48万元，包括：基本工资、津贴补贴、奖金、绩效工资、机关事业单位基本养老保险缴费、职业年金缴费、职工基本医疗保险缴费、公务员医疗补助缴费、其他社会保障缴费、住房公积金、其他工资福利支出、退休费、抚恤金、生活补助、奖励金。</w:t>
      </w:r>
    </w:p>
    <w:p>
      <w:pPr>
        <w:ind w:firstLine="640" w:firstLineChars="200"/>
        <w:jc w:val="left"/>
        <w:rPr>
          <w:rFonts w:hint="eastAsia" w:ascii="仿宋_GB2312" w:hAnsi="宋体" w:eastAsia="仿宋_GB2312" w:cs="宋体"/>
          <w:kern w:val="0"/>
          <w:sz w:val="32"/>
          <w:szCs w:val="32"/>
        </w:rPr>
      </w:pPr>
      <w:r>
        <w:rPr>
          <w:rFonts w:hint="eastAsia" w:ascii="仿宋_GB2312" w:eastAsia="仿宋_GB2312"/>
          <w:sz w:val="32"/>
          <w:szCs w:val="32"/>
        </w:rPr>
        <w:t>公用经费26.30万元，包括：办公费、水费、电费、邮电费、取暖费、差旅费、维修（护）费、公务用车运行维护费、其他交通费用。</w:t>
      </w:r>
    </w:p>
    <w:p>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“三公”经费支出5.00万元，</w:t>
      </w:r>
      <w:r>
        <w:rPr>
          <w:rFonts w:hint="eastAsia" w:ascii="仿宋_GB2312" w:eastAsia="仿宋_GB2312"/>
          <w:sz w:val="32"/>
          <w:szCs w:val="32"/>
        </w:rPr>
        <w:t>比上年</w:t>
      </w:r>
      <w:r>
        <w:rPr>
          <w:rFonts w:hint="eastAsia" w:ascii="仿宋_GB2312" w:eastAsia="仿宋_GB2312"/>
          <w:sz w:val="32"/>
          <w:szCs w:val="32"/>
          <w:lang w:val="zh-CN"/>
        </w:rPr>
        <w:t>增加0.00万元，</w:t>
      </w:r>
      <w:r>
        <w:rPr>
          <w:rFonts w:hint="eastAsia" w:ascii="仿宋_GB2312" w:eastAsia="仿宋_GB2312"/>
          <w:sz w:val="32"/>
          <w:szCs w:val="32"/>
        </w:rPr>
        <w:t>增长0.00%,</w:t>
      </w:r>
      <w:r>
        <w:rPr>
          <w:rFonts w:hint="eastAsia" w:ascii="仿宋_GB2312" w:eastAsia="仿宋_GB2312"/>
          <w:sz w:val="32"/>
          <w:szCs w:val="32"/>
          <w:lang w:val="zh-CN"/>
        </w:rPr>
        <w:t>主要原因是：与上年对比无差异。其中：因公出国（境）费支出0.00万元，占0.00%，比上年增加0.00万元，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主要原因是：单位本年无此项经费；公务用车购置及运行维护费支出5.00万元，占100.00%，比上年增加0.00万元，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主要原因是：与上年对比无差异；公务接待费支出0.00万元，占0.00%，比上年增加0.00万元，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因公出国（境）费支出0.00万元，开支内容包括单位本年无此项经费。单位全年安排的因公出国（境）团组0个，因公出国（境）0人次。</w:t>
      </w:r>
    </w:p>
    <w:p>
      <w:pPr>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5.00万元，其中：公务用车购置费0.00万元，公务用车运行维护费5.00万元。公务用车运行维护费开支内容包括公务用车燃油费、车辆维修维护费、保险费、过路费等。公务用车购置数0辆，公务用车保有量11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11辆，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原因是：国有资产车辆与公务用车保有量无差异。</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公务接待费0.00万元，开支内容包括单位本年无此项经费。单位全年安排的国内公务接待0批次，0人次。</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预算数5.00万元，决算数5.00万元，预决算差异率0.00%，主要原因是：严格按预算执行，预决算对比无差异。其中：因公出国（境）费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0.00万元，决算数0.00万元，预决算差异率0.00%，主要原因是：单位本年无此项经费；公务用车购置费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预算数0.00万元，决算数0.00万元，预决算差异率0.00%，主要原因是：单位本年无此项经费；公务用车运行费</w:t>
      </w:r>
      <w:r>
        <w:rPr>
          <w:rFonts w:hint="eastAsia" w:ascii="仿宋_GB2312" w:eastAsia="仿宋_GB2312"/>
          <w:sz w:val="32"/>
          <w:szCs w:val="32"/>
        </w:rPr>
        <w:t>全年</w:t>
      </w:r>
      <w:r>
        <w:rPr>
          <w:rFonts w:hint="eastAsia" w:ascii="仿宋_GB2312" w:eastAsia="仿宋_GB2312"/>
          <w:sz w:val="32"/>
          <w:szCs w:val="32"/>
          <w:lang w:val="zh-CN"/>
        </w:rPr>
        <w:t>预算数5.00万元，决算数5.00万元，预决算差异率0.00%，主要原因是：严格按预算执行，预决算对比无差异；公务接待费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w:t>
      </w:r>
    </w:p>
    <w:p>
      <w:pPr>
        <w:ind w:firstLine="640" w:firstLineChars="200"/>
        <w:jc w:val="left"/>
        <w:outlineLvl w:val="1"/>
        <w:rPr>
          <w:rFonts w:hint="eastAsia" w:ascii="黑体" w:hAnsi="黑体" w:eastAsia="黑体" w:cs="宋体"/>
          <w:bCs/>
          <w:kern w:val="0"/>
          <w:sz w:val="32"/>
          <w:szCs w:val="32"/>
        </w:rPr>
      </w:pPr>
      <w:bookmarkStart w:id="18" w:name="_Toc5810"/>
      <w:bookmarkStart w:id="19" w:name="_Toc7927"/>
      <w:r>
        <w:rPr>
          <w:rFonts w:hint="eastAsia" w:ascii="黑体" w:hAnsi="黑体" w:eastAsia="黑体" w:cs="宋体"/>
          <w:bCs/>
          <w:kern w:val="0"/>
          <w:sz w:val="32"/>
          <w:szCs w:val="32"/>
        </w:rPr>
        <w:t>八、政府性基金预算财政拨款收入支出决算情况说明</w:t>
      </w:r>
      <w:bookmarkEnd w:id="18"/>
      <w:bookmarkEnd w:id="1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color w:val="auto"/>
          <w:sz w:val="32"/>
          <w:szCs w:val="32"/>
          <w:highlight w:val="none"/>
          <w:lang w:val="zh-CN" w:eastAsia="zh-CN"/>
        </w:rPr>
      </w:pPr>
      <w:r>
        <w:rPr>
          <w:rFonts w:hint="eastAsia" w:ascii="仿宋_GB2312" w:hAnsi="仿宋_GB2312" w:eastAsia="仿宋_GB2312" w:cs="仿宋_GB2312"/>
          <w:color w:val="auto"/>
          <w:sz w:val="32"/>
          <w:szCs w:val="32"/>
          <w:highlight w:val="none"/>
          <w:lang w:val="zh-CN" w:eastAsia="zh-CN"/>
        </w:rPr>
        <w:t>2023年度</w:t>
      </w:r>
      <w:r>
        <w:rPr>
          <w:rFonts w:hint="eastAsia" w:ascii="仿宋_GB2312" w:hAnsi="仿宋_GB2312" w:eastAsia="仿宋_GB2312" w:cs="仿宋_GB2312"/>
          <w:color w:val="auto"/>
          <w:sz w:val="32"/>
          <w:szCs w:val="32"/>
          <w:highlight w:val="none"/>
          <w:lang w:val="zh-CN"/>
        </w:rPr>
        <w:t>政府性基金预算</w:t>
      </w:r>
      <w:r>
        <w:rPr>
          <w:rFonts w:hint="eastAsia" w:ascii="仿宋_GB2312" w:hAnsi="仿宋_GB2312" w:eastAsia="仿宋_GB2312" w:cs="仿宋_GB2312"/>
          <w:color w:val="auto"/>
          <w:sz w:val="32"/>
          <w:szCs w:val="32"/>
          <w:highlight w:val="none"/>
          <w:lang w:val="en-US" w:eastAsia="zh-CN"/>
        </w:rPr>
        <w:t>财政拨款</w:t>
      </w:r>
      <w:r>
        <w:rPr>
          <w:rFonts w:hint="eastAsia" w:ascii="仿宋_GB2312" w:hAnsi="仿宋_GB2312" w:eastAsia="仿宋_GB2312" w:cs="仿宋_GB2312"/>
          <w:color w:val="auto"/>
          <w:sz w:val="32"/>
          <w:szCs w:val="32"/>
          <w:highlight w:val="none"/>
          <w:lang w:val="zh-CN"/>
        </w:rPr>
        <w:t>收入</w:t>
      </w:r>
      <w:r>
        <w:rPr>
          <w:rFonts w:hint="eastAsia" w:ascii="仿宋_GB2312" w:hAnsi="仿宋_GB2312" w:eastAsia="仿宋_GB2312" w:cs="仿宋_GB2312"/>
          <w:color w:val="auto"/>
          <w:sz w:val="32"/>
          <w:szCs w:val="32"/>
          <w:highlight w:val="none"/>
          <w:lang w:val="en-US" w:eastAsia="zh-CN"/>
        </w:rPr>
        <w:t>总计0.00</w:t>
      </w:r>
      <w:r>
        <w:rPr>
          <w:rFonts w:hint="eastAsia" w:ascii="仿宋_GB2312" w:hAnsi="仿宋_GB2312" w:eastAsia="仿宋_GB2312" w:cs="仿宋_GB2312"/>
          <w:color w:val="auto"/>
          <w:sz w:val="32"/>
          <w:szCs w:val="32"/>
          <w:highlight w:val="none"/>
          <w:lang w:val="zh-CN"/>
        </w:rPr>
        <w:t>万元，</w:t>
      </w:r>
      <w:r>
        <w:rPr>
          <w:rFonts w:hint="eastAsia" w:ascii="仿宋_GB2312" w:hAnsi="仿宋_GB2312" w:eastAsia="仿宋_GB2312" w:cs="仿宋_GB2312"/>
          <w:color w:val="auto"/>
          <w:sz w:val="32"/>
          <w:szCs w:val="32"/>
          <w:highlight w:val="none"/>
          <w:lang w:val="en-US" w:eastAsia="zh-CN"/>
        </w:rPr>
        <w:t>其中：年初结转和结余0.00</w:t>
      </w:r>
      <w:r>
        <w:rPr>
          <w:rFonts w:hint="eastAsia" w:ascii="仿宋_GB2312" w:hAnsi="仿宋_GB2312" w:eastAsia="仿宋_GB2312" w:cs="仿宋_GB2312"/>
          <w:color w:val="auto"/>
          <w:sz w:val="32"/>
          <w:szCs w:val="32"/>
          <w:highlight w:val="none"/>
          <w:lang w:val="zh-CN"/>
        </w:rPr>
        <w:t>万元</w:t>
      </w:r>
      <w:r>
        <w:rPr>
          <w:rFonts w:hint="eastAsia" w:ascii="仿宋_GB2312" w:hAnsi="仿宋_GB2312" w:eastAsia="仿宋_GB2312" w:cs="仿宋_GB2312"/>
          <w:color w:val="auto"/>
          <w:sz w:val="32"/>
          <w:szCs w:val="32"/>
          <w:highlight w:val="none"/>
          <w:lang w:val="zh-CN" w:eastAsia="zh-CN"/>
        </w:rPr>
        <w:t>，</w:t>
      </w:r>
      <w:r>
        <w:rPr>
          <w:rFonts w:hint="eastAsia" w:ascii="仿宋_GB2312" w:hAnsi="仿宋_GB2312" w:eastAsia="仿宋_GB2312" w:cs="仿宋_GB2312"/>
          <w:color w:val="auto"/>
          <w:sz w:val="32"/>
          <w:szCs w:val="32"/>
          <w:highlight w:val="none"/>
          <w:lang w:val="en-US" w:eastAsia="zh-CN"/>
        </w:rPr>
        <w:t>本年收入0.00</w:t>
      </w:r>
      <w:r>
        <w:rPr>
          <w:rFonts w:hint="eastAsia" w:ascii="仿宋_GB2312" w:hAnsi="仿宋_GB2312" w:eastAsia="仿宋_GB2312" w:cs="仿宋_GB2312"/>
          <w:color w:val="auto"/>
          <w:sz w:val="32"/>
          <w:szCs w:val="32"/>
          <w:highlight w:val="none"/>
          <w:lang w:val="zh-CN"/>
        </w:rPr>
        <w:t>万元</w:t>
      </w:r>
      <w:r>
        <w:rPr>
          <w:rFonts w:hint="eastAsia" w:ascii="仿宋_GB2312" w:hAnsi="仿宋_GB2312" w:eastAsia="仿宋_GB2312" w:cs="仿宋_GB2312"/>
          <w:color w:val="auto"/>
          <w:sz w:val="32"/>
          <w:szCs w:val="32"/>
          <w:highlight w:val="none"/>
          <w:lang w:val="zh-CN" w:eastAsia="zh-CN"/>
        </w:rPr>
        <w:t>。</w:t>
      </w:r>
      <w:r>
        <w:rPr>
          <w:rFonts w:hint="eastAsia" w:ascii="仿宋_GB2312" w:hAnsi="仿宋_GB2312" w:eastAsia="仿宋_GB2312" w:cs="仿宋_GB2312"/>
          <w:color w:val="auto"/>
          <w:sz w:val="32"/>
          <w:szCs w:val="32"/>
          <w:highlight w:val="none"/>
          <w:lang w:val="zh-CN"/>
        </w:rPr>
        <w:t>政府性基金预算财政拨款支出</w:t>
      </w:r>
      <w:r>
        <w:rPr>
          <w:rFonts w:hint="eastAsia" w:ascii="仿宋_GB2312" w:hAnsi="仿宋_GB2312" w:eastAsia="仿宋_GB2312" w:cs="仿宋_GB2312"/>
          <w:color w:val="auto"/>
          <w:sz w:val="32"/>
          <w:szCs w:val="32"/>
          <w:highlight w:val="none"/>
          <w:lang w:val="en-US" w:eastAsia="zh-CN"/>
        </w:rPr>
        <w:t>总计0.00</w:t>
      </w:r>
      <w:r>
        <w:rPr>
          <w:rFonts w:hint="eastAsia" w:ascii="仿宋_GB2312" w:hAnsi="仿宋_GB2312" w:eastAsia="仿宋_GB2312" w:cs="仿宋_GB2312"/>
          <w:color w:val="auto"/>
          <w:sz w:val="32"/>
          <w:szCs w:val="32"/>
          <w:highlight w:val="none"/>
          <w:lang w:val="zh-CN"/>
        </w:rPr>
        <w:t>万元，</w:t>
      </w:r>
      <w:r>
        <w:rPr>
          <w:rFonts w:hint="eastAsia" w:ascii="仿宋_GB2312" w:hAnsi="仿宋_GB2312" w:eastAsia="仿宋_GB2312" w:cs="仿宋_GB2312"/>
          <w:color w:val="auto"/>
          <w:sz w:val="32"/>
          <w:szCs w:val="32"/>
          <w:highlight w:val="none"/>
          <w:lang w:val="en-US" w:eastAsia="zh-CN"/>
        </w:rPr>
        <w:t>其中：年末结转和结余0.00</w:t>
      </w:r>
      <w:r>
        <w:rPr>
          <w:rFonts w:hint="eastAsia" w:ascii="仿宋_GB2312" w:hAnsi="仿宋_GB2312" w:eastAsia="仿宋_GB2312" w:cs="仿宋_GB2312"/>
          <w:color w:val="auto"/>
          <w:sz w:val="32"/>
          <w:szCs w:val="32"/>
          <w:highlight w:val="none"/>
          <w:lang w:val="zh-CN"/>
        </w:rPr>
        <w:t>万元</w:t>
      </w:r>
      <w:r>
        <w:rPr>
          <w:rFonts w:hint="eastAsia" w:ascii="仿宋_GB2312" w:hAnsi="仿宋_GB2312" w:eastAsia="仿宋_GB2312" w:cs="仿宋_GB2312"/>
          <w:color w:val="auto"/>
          <w:sz w:val="32"/>
          <w:szCs w:val="32"/>
          <w:highlight w:val="none"/>
          <w:lang w:val="zh-CN" w:eastAsia="zh-CN"/>
        </w:rPr>
        <w:t>，</w:t>
      </w:r>
      <w:r>
        <w:rPr>
          <w:rFonts w:hint="eastAsia" w:ascii="仿宋_GB2312" w:hAnsi="仿宋_GB2312" w:eastAsia="仿宋_GB2312" w:cs="仿宋_GB2312"/>
          <w:color w:val="auto"/>
          <w:sz w:val="32"/>
          <w:szCs w:val="32"/>
          <w:highlight w:val="none"/>
          <w:lang w:val="en-US" w:eastAsia="zh-CN"/>
        </w:rPr>
        <w:t>本年支出0.00</w:t>
      </w:r>
      <w:r>
        <w:rPr>
          <w:rFonts w:hint="eastAsia" w:ascii="仿宋_GB2312" w:hAnsi="仿宋_GB2312" w:eastAsia="仿宋_GB2312" w:cs="仿宋_GB2312"/>
          <w:color w:val="auto"/>
          <w:sz w:val="32"/>
          <w:szCs w:val="32"/>
          <w:highlight w:val="none"/>
          <w:lang w:val="zh-CN"/>
        </w:rPr>
        <w:t>万元</w:t>
      </w:r>
      <w:r>
        <w:rPr>
          <w:rFonts w:hint="eastAsia" w:ascii="仿宋_GB2312" w:hAnsi="仿宋_GB2312" w:eastAsia="仿宋_GB2312" w:cs="仿宋_GB2312"/>
          <w:color w:val="auto"/>
          <w:sz w:val="32"/>
          <w:szCs w:val="32"/>
          <w:highlight w:val="none"/>
          <w:lang w:val="zh-CN" w:eastAsia="zh-CN"/>
        </w:rPr>
        <w:t>。</w:t>
      </w:r>
    </w:p>
    <w:p>
      <w:pPr>
        <w:ind w:firstLine="640" w:firstLineChars="200"/>
        <w:rPr>
          <w:rFonts w:hint="eastAsia" w:ascii="仿宋_GB2312" w:hAnsi="仿宋_GB2312" w:eastAsia="仿宋_GB2312" w:cs="仿宋_GB2312"/>
          <w:color w:val="auto"/>
          <w:sz w:val="32"/>
          <w:szCs w:val="32"/>
          <w:highlight w:val="none"/>
          <w:lang w:val="zh-CN" w:eastAsia="zh-CN"/>
        </w:rPr>
      </w:pPr>
      <w:r>
        <w:rPr>
          <w:rFonts w:hint="eastAsia" w:ascii="仿宋_GB2312" w:hAnsi="仿宋_GB2312" w:eastAsia="仿宋_GB2312" w:cs="仿宋_GB2312"/>
          <w:color w:val="auto"/>
          <w:sz w:val="32"/>
          <w:szCs w:val="32"/>
          <w:highlight w:val="none"/>
          <w:lang w:val="zh-CN"/>
        </w:rPr>
        <w:t>政府性基金预算财政拨款</w:t>
      </w:r>
      <w:r>
        <w:rPr>
          <w:rFonts w:hint="eastAsia" w:ascii="仿宋_GB2312" w:hAnsi="仿宋_GB2312" w:eastAsia="仿宋_GB2312" w:cs="仿宋_GB2312"/>
          <w:color w:val="auto"/>
          <w:sz w:val="32"/>
          <w:szCs w:val="32"/>
          <w:highlight w:val="none"/>
          <w:lang w:val="en-US" w:eastAsia="zh-CN"/>
        </w:rPr>
        <w:t>收入支出</w:t>
      </w:r>
      <w:r>
        <w:rPr>
          <w:rFonts w:hint="eastAsia" w:ascii="仿宋_GB2312" w:hAnsi="仿宋_GB2312" w:eastAsia="仿宋_GB2312" w:cs="仿宋_GB2312"/>
          <w:color w:val="auto"/>
          <w:sz w:val="32"/>
          <w:szCs w:val="32"/>
          <w:highlight w:val="none"/>
          <w:lang w:val="zh-CN"/>
        </w:rPr>
        <w:t>与上年相比，减少545.25万元</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zh-CN"/>
        </w:rPr>
        <w:t>下降100.00%</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zh-CN" w:eastAsia="zh-CN"/>
        </w:rPr>
        <w:t>主要原因是</w:t>
      </w:r>
      <w:r>
        <w:rPr>
          <w:rFonts w:hint="eastAsia" w:ascii="仿宋_GB2312" w:hAnsi="仿宋_GB2312" w:eastAsia="仿宋_GB2312" w:cs="仿宋_GB2312"/>
          <w:color w:val="auto"/>
          <w:sz w:val="32"/>
          <w:szCs w:val="32"/>
          <w:highlight w:val="none"/>
          <w:lang w:val="zh-CN"/>
        </w:rPr>
        <w:t>：</w:t>
      </w:r>
      <w:r>
        <w:rPr>
          <w:rFonts w:hint="eastAsia" w:ascii="仿宋_GB2312" w:hAnsi="仿宋_GB2312" w:eastAsia="仿宋_GB2312" w:cs="仿宋_GB2312"/>
          <w:color w:val="auto"/>
          <w:sz w:val="32"/>
          <w:szCs w:val="32"/>
          <w:highlight w:val="none"/>
          <w:lang w:val="en-US" w:eastAsia="zh-CN"/>
        </w:rPr>
        <w:t>减少</w:t>
      </w:r>
      <w:r>
        <w:rPr>
          <w:rFonts w:hint="eastAsia" w:ascii="仿宋_GB2312" w:hAnsi="仿宋_GB2312" w:eastAsia="仿宋_GB2312" w:cs="仿宋_GB2312"/>
          <w:color w:val="auto"/>
          <w:sz w:val="32"/>
          <w:szCs w:val="32"/>
          <w:highlight w:val="none"/>
          <w:lang w:val="zh-CN"/>
        </w:rPr>
        <w:t>土地补偿及耕地开垦支出、2022年农业生产发展征地项目。与</w:t>
      </w:r>
      <w:r>
        <w:rPr>
          <w:rFonts w:hint="eastAsia" w:ascii="仿宋_GB2312" w:hAnsi="仿宋_GB2312" w:eastAsia="仿宋_GB2312" w:cs="仿宋_GB2312"/>
          <w:color w:val="auto"/>
          <w:sz w:val="32"/>
          <w:szCs w:val="32"/>
          <w:highlight w:val="none"/>
          <w:lang w:val="zh-CN" w:eastAsia="zh-CN"/>
        </w:rPr>
        <w:t>年初预算</w:t>
      </w:r>
      <w:r>
        <w:rPr>
          <w:rFonts w:hint="eastAsia" w:ascii="仿宋_GB2312" w:hAnsi="仿宋_GB2312" w:eastAsia="仿宋_GB2312" w:cs="仿宋_GB2312"/>
          <w:color w:val="auto"/>
          <w:sz w:val="32"/>
          <w:szCs w:val="32"/>
          <w:highlight w:val="none"/>
          <w:lang w:val="zh-CN"/>
        </w:rPr>
        <w:t>相比</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eastAsia="仿宋_GB2312" w:cs="仿宋_GB2312"/>
          <w:color w:val="auto"/>
          <w:sz w:val="32"/>
          <w:szCs w:val="32"/>
          <w:highlight w:val="none"/>
          <w:lang w:val="zh-CN" w:eastAsia="zh-CN"/>
        </w:rPr>
        <w:t>年初预算数</w:t>
      </w:r>
      <w:r>
        <w:rPr>
          <w:rFonts w:hint="eastAsia" w:ascii="仿宋_GB2312" w:hAnsi="仿宋_GB2312" w:eastAsia="仿宋_GB2312" w:cs="仿宋_GB2312"/>
          <w:color w:val="auto"/>
          <w:sz w:val="32"/>
          <w:szCs w:val="32"/>
          <w:highlight w:val="none"/>
          <w:lang w:val="en-US" w:eastAsia="zh-CN"/>
        </w:rPr>
        <w:t>0.00</w:t>
      </w:r>
      <w:r>
        <w:rPr>
          <w:rFonts w:hint="eastAsia" w:ascii="仿宋_GB2312" w:hAnsi="仿宋_GB2312" w:eastAsia="仿宋_GB2312" w:cs="仿宋_GB2312"/>
          <w:color w:val="auto"/>
          <w:sz w:val="32"/>
          <w:szCs w:val="32"/>
          <w:highlight w:val="none"/>
          <w:lang w:val="zh-CN"/>
        </w:rPr>
        <w:t>万元，决算数</w:t>
      </w:r>
      <w:r>
        <w:rPr>
          <w:rFonts w:hint="eastAsia" w:ascii="仿宋_GB2312" w:hAnsi="仿宋_GB2312" w:eastAsia="仿宋_GB2312" w:cs="仿宋_GB2312"/>
          <w:color w:val="auto"/>
          <w:sz w:val="32"/>
          <w:szCs w:val="32"/>
          <w:highlight w:val="none"/>
          <w:lang w:val="en-US" w:eastAsia="zh-CN"/>
        </w:rPr>
        <w:t>0.00</w:t>
      </w:r>
      <w:r>
        <w:rPr>
          <w:rFonts w:hint="eastAsia" w:ascii="仿宋_GB2312" w:hAnsi="仿宋_GB2312" w:eastAsia="仿宋_GB2312" w:cs="仿宋_GB2312"/>
          <w:color w:val="auto"/>
          <w:sz w:val="32"/>
          <w:szCs w:val="32"/>
          <w:highlight w:val="none"/>
          <w:lang w:val="zh-CN"/>
        </w:rPr>
        <w:t>万元，预决算差异率0.00%</w:t>
      </w:r>
      <w:r>
        <w:rPr>
          <w:rFonts w:hint="eastAsia" w:ascii="仿宋_GB2312" w:hAnsi="仿宋_GB2312" w:eastAsia="仿宋_GB2312" w:cs="仿宋_GB2312"/>
          <w:color w:val="auto"/>
          <w:sz w:val="32"/>
          <w:szCs w:val="32"/>
          <w:highlight w:val="none"/>
          <w:lang w:val="zh-CN" w:eastAsia="zh-CN"/>
        </w:rPr>
        <w:t>，主要原因是：</w:t>
      </w:r>
      <w:r>
        <w:rPr>
          <w:rFonts w:hint="eastAsia" w:ascii="仿宋_GB2312" w:hAnsi="仿宋_GB2312" w:eastAsia="仿宋_GB2312" w:cs="仿宋_GB2312"/>
          <w:color w:val="auto"/>
          <w:sz w:val="32"/>
          <w:szCs w:val="32"/>
          <w:highlight w:val="none"/>
          <w:lang w:val="en-US" w:eastAsia="zh-CN"/>
        </w:rPr>
        <w:t>本年我单位无此经费，预决算对比无差异</w:t>
      </w:r>
      <w:r>
        <w:rPr>
          <w:rFonts w:hint="eastAsia" w:ascii="仿宋_GB2312" w:hAnsi="仿宋_GB2312" w:eastAsia="仿宋_GB2312" w:cs="仿宋_GB2312"/>
          <w:color w:val="auto"/>
          <w:sz w:val="32"/>
          <w:szCs w:val="32"/>
          <w:highlight w:val="none"/>
          <w:lang w:val="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zh-CN"/>
        </w:rPr>
        <w:t>政府性基金预算财政拨款支出</w:t>
      </w:r>
      <w:r>
        <w:rPr>
          <w:rFonts w:hint="eastAsia" w:ascii="仿宋_GB2312" w:hAnsi="仿宋_GB2312" w:eastAsia="仿宋_GB2312" w:cs="仿宋_GB2312"/>
          <w:color w:val="auto"/>
          <w:sz w:val="32"/>
          <w:szCs w:val="32"/>
          <w:highlight w:val="none"/>
          <w:lang w:val="zh-CN" w:eastAsia="zh-CN"/>
        </w:rPr>
        <w:t>0.00</w:t>
      </w:r>
      <w:r>
        <w:rPr>
          <w:rFonts w:hint="eastAsia" w:ascii="仿宋_GB2312" w:hAnsi="仿宋_GB2312" w:eastAsia="仿宋_GB2312" w:cs="仿宋_GB2312"/>
          <w:color w:val="auto"/>
          <w:sz w:val="32"/>
          <w:szCs w:val="32"/>
          <w:highlight w:val="none"/>
          <w:lang w:val="zh-CN"/>
        </w:rPr>
        <w:t>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color w:val="auto"/>
          <w:sz w:val="32"/>
          <w:szCs w:val="32"/>
          <w:highlight w:val="none"/>
          <w:lang w:val="zh-CN"/>
        </w:rPr>
      </w:pPr>
      <w:r>
        <w:rPr>
          <w:rFonts w:hint="eastAsia" w:ascii="仿宋_GB2312" w:hAnsi="仿宋_GB2312" w:eastAsia="仿宋_GB2312" w:cs="仿宋_GB2312"/>
          <w:color w:val="auto"/>
          <w:sz w:val="32"/>
          <w:szCs w:val="32"/>
          <w:highlight w:val="none"/>
          <w:lang w:val="zh-CN"/>
        </w:rPr>
        <w:t>1.城乡社区支出（类）国有土地使用权出让收入安排的支出（款）农业生产发展支出（项）:支出决算数为0.00</w:t>
      </w:r>
      <w:r>
        <w:rPr>
          <w:rFonts w:hint="eastAsia" w:ascii="仿宋_GB2312" w:hAnsi="仿宋_GB2312" w:eastAsia="仿宋_GB2312" w:cs="仿宋_GB2312"/>
          <w:color w:val="auto"/>
          <w:sz w:val="32"/>
          <w:szCs w:val="32"/>
          <w:highlight w:val="none"/>
          <w:lang w:val="en-US" w:eastAsia="zh-CN"/>
        </w:rPr>
        <w:t>万元</w:t>
      </w:r>
      <w:r>
        <w:rPr>
          <w:rFonts w:hint="eastAsia" w:ascii="仿宋_GB2312" w:hAnsi="仿宋_GB2312" w:eastAsia="仿宋_GB2312" w:cs="仿宋_GB2312"/>
          <w:color w:val="auto"/>
          <w:sz w:val="32"/>
          <w:szCs w:val="32"/>
          <w:highlight w:val="none"/>
          <w:lang w:val="zh-CN"/>
        </w:rPr>
        <w:t>，比上年决算</w:t>
      </w:r>
      <w:r>
        <w:rPr>
          <w:rFonts w:hint="eastAsia" w:ascii="仿宋_GB2312" w:hAnsi="仿宋_GB2312" w:eastAsia="仿宋_GB2312" w:cs="仿宋_GB2312"/>
          <w:color w:val="auto"/>
          <w:sz w:val="32"/>
          <w:szCs w:val="32"/>
          <w:highlight w:val="none"/>
          <w:lang w:val="en-US" w:eastAsia="zh-CN"/>
        </w:rPr>
        <w:t>减少</w:t>
      </w:r>
      <w:r>
        <w:rPr>
          <w:rFonts w:hint="eastAsia" w:ascii="仿宋_GB2312" w:hAnsi="仿宋_GB2312" w:eastAsia="仿宋_GB2312" w:cs="仿宋_GB2312"/>
          <w:color w:val="auto"/>
          <w:sz w:val="32"/>
          <w:szCs w:val="32"/>
          <w:highlight w:val="none"/>
          <w:lang w:val="zh-CN"/>
        </w:rPr>
        <w:t>229.45</w:t>
      </w:r>
      <w:r>
        <w:rPr>
          <w:rFonts w:hint="eastAsia" w:ascii="仿宋_GB2312" w:hAnsi="仿宋_GB2312" w:eastAsia="仿宋_GB2312" w:cs="仿宋_GB2312"/>
          <w:color w:val="auto"/>
          <w:sz w:val="32"/>
          <w:szCs w:val="32"/>
          <w:highlight w:val="none"/>
          <w:lang w:val="en-US" w:eastAsia="zh-CN"/>
        </w:rPr>
        <w:t>万元</w:t>
      </w:r>
      <w:r>
        <w:rPr>
          <w:rFonts w:hint="eastAsia" w:ascii="仿宋_GB2312" w:hAnsi="仿宋_GB2312" w:eastAsia="仿宋_GB2312" w:cs="仿宋_GB2312"/>
          <w:color w:val="auto"/>
          <w:sz w:val="32"/>
          <w:szCs w:val="32"/>
          <w:highlight w:val="none"/>
          <w:lang w:val="zh-CN"/>
        </w:rPr>
        <w:t>，</w:t>
      </w:r>
      <w:r>
        <w:rPr>
          <w:rFonts w:hint="eastAsia" w:ascii="仿宋_GB2312" w:hAnsi="仿宋_GB2312" w:eastAsia="仿宋_GB2312" w:cs="仿宋_GB2312"/>
          <w:color w:val="auto"/>
          <w:sz w:val="32"/>
          <w:szCs w:val="32"/>
          <w:highlight w:val="none"/>
          <w:lang w:val="en-US" w:eastAsia="zh-CN"/>
        </w:rPr>
        <w:t>下降</w:t>
      </w:r>
      <w:r>
        <w:rPr>
          <w:rFonts w:hint="eastAsia" w:ascii="仿宋_GB2312" w:hAnsi="仿宋_GB2312" w:eastAsia="仿宋_GB2312" w:cs="仿宋_GB2312"/>
          <w:color w:val="auto"/>
          <w:sz w:val="32"/>
          <w:szCs w:val="32"/>
          <w:highlight w:val="none"/>
          <w:lang w:val="zh-CN"/>
        </w:rPr>
        <w:t>100%，主要原因是：</w:t>
      </w:r>
      <w:r>
        <w:rPr>
          <w:rFonts w:hint="eastAsia" w:ascii="仿宋_GB2312" w:hAnsi="仿宋_GB2312" w:eastAsia="仿宋_GB2312" w:cs="仿宋_GB2312"/>
          <w:color w:val="auto"/>
          <w:sz w:val="32"/>
          <w:szCs w:val="32"/>
          <w:highlight w:val="none"/>
          <w:lang w:val="en-US" w:eastAsia="zh-CN"/>
        </w:rPr>
        <w:t>减少</w:t>
      </w:r>
      <w:r>
        <w:rPr>
          <w:rFonts w:hint="eastAsia" w:ascii="仿宋_GB2312" w:hAnsi="仿宋_GB2312" w:eastAsia="仿宋_GB2312" w:cs="仿宋_GB2312"/>
          <w:color w:val="auto"/>
          <w:sz w:val="32"/>
          <w:szCs w:val="32"/>
          <w:highlight w:val="none"/>
          <w:lang w:val="zh-CN"/>
        </w:rPr>
        <w:t>2022年农业生产发展征地项目。</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ascii="仿宋_GB2312" w:eastAsia="仿宋_GB2312"/>
          <w:sz w:val="32"/>
          <w:szCs w:val="32"/>
        </w:rPr>
      </w:pPr>
      <w:r>
        <w:rPr>
          <w:rFonts w:hint="eastAsia" w:ascii="仿宋_GB2312" w:hAnsi="仿宋_GB2312" w:eastAsia="仿宋_GB2312" w:cs="仿宋_GB2312"/>
          <w:color w:val="auto"/>
          <w:sz w:val="32"/>
          <w:szCs w:val="32"/>
          <w:highlight w:val="none"/>
          <w:lang w:val="zh-CN"/>
        </w:rPr>
        <w:t>2.城乡社区支出（类）国有土地使用权出让收入安排的支出（款）征地和拆迁补偿支出（项）:支出决算数为0.00</w:t>
      </w:r>
      <w:r>
        <w:rPr>
          <w:rFonts w:hint="eastAsia" w:ascii="仿宋_GB2312" w:hAnsi="仿宋_GB2312" w:eastAsia="仿宋_GB2312" w:cs="仿宋_GB2312"/>
          <w:color w:val="auto"/>
          <w:sz w:val="32"/>
          <w:szCs w:val="32"/>
          <w:highlight w:val="none"/>
          <w:lang w:val="en-US" w:eastAsia="zh-CN"/>
        </w:rPr>
        <w:t>万元</w:t>
      </w:r>
      <w:r>
        <w:rPr>
          <w:rFonts w:hint="eastAsia" w:ascii="仿宋_GB2312" w:hAnsi="仿宋_GB2312" w:eastAsia="仿宋_GB2312" w:cs="仿宋_GB2312"/>
          <w:color w:val="auto"/>
          <w:sz w:val="32"/>
          <w:szCs w:val="32"/>
          <w:highlight w:val="none"/>
          <w:lang w:val="zh-CN"/>
        </w:rPr>
        <w:t>，比上年决算</w:t>
      </w:r>
      <w:r>
        <w:rPr>
          <w:rFonts w:hint="eastAsia" w:ascii="仿宋_GB2312" w:hAnsi="仿宋_GB2312" w:eastAsia="仿宋_GB2312" w:cs="仿宋_GB2312"/>
          <w:color w:val="auto"/>
          <w:sz w:val="32"/>
          <w:szCs w:val="32"/>
          <w:highlight w:val="none"/>
          <w:lang w:val="en-US" w:eastAsia="zh-CN"/>
        </w:rPr>
        <w:t>减少</w:t>
      </w:r>
      <w:r>
        <w:rPr>
          <w:rFonts w:hint="eastAsia" w:ascii="仿宋_GB2312" w:hAnsi="仿宋_GB2312" w:eastAsia="仿宋_GB2312" w:cs="仿宋_GB2312"/>
          <w:color w:val="auto"/>
          <w:sz w:val="32"/>
          <w:szCs w:val="32"/>
          <w:highlight w:val="none"/>
          <w:lang w:val="zh-CN"/>
        </w:rPr>
        <w:t>315.81</w:t>
      </w:r>
      <w:r>
        <w:rPr>
          <w:rFonts w:hint="eastAsia" w:ascii="仿宋_GB2312" w:hAnsi="仿宋_GB2312" w:eastAsia="仿宋_GB2312" w:cs="仿宋_GB2312"/>
          <w:color w:val="auto"/>
          <w:sz w:val="32"/>
          <w:szCs w:val="32"/>
          <w:highlight w:val="none"/>
          <w:lang w:val="en-US" w:eastAsia="zh-CN"/>
        </w:rPr>
        <w:t>万元</w:t>
      </w:r>
      <w:r>
        <w:rPr>
          <w:rFonts w:hint="eastAsia" w:ascii="仿宋_GB2312" w:hAnsi="仿宋_GB2312" w:eastAsia="仿宋_GB2312" w:cs="仿宋_GB2312"/>
          <w:color w:val="auto"/>
          <w:sz w:val="32"/>
          <w:szCs w:val="32"/>
          <w:highlight w:val="none"/>
          <w:lang w:val="zh-CN"/>
        </w:rPr>
        <w:t>，</w:t>
      </w:r>
      <w:r>
        <w:rPr>
          <w:rFonts w:hint="eastAsia" w:ascii="仿宋_GB2312" w:hAnsi="仿宋_GB2312" w:eastAsia="仿宋_GB2312" w:cs="仿宋_GB2312"/>
          <w:color w:val="auto"/>
          <w:sz w:val="32"/>
          <w:szCs w:val="32"/>
          <w:highlight w:val="none"/>
          <w:lang w:val="en-US" w:eastAsia="zh-CN"/>
        </w:rPr>
        <w:t>下降</w:t>
      </w:r>
      <w:r>
        <w:rPr>
          <w:rFonts w:hint="eastAsia" w:ascii="仿宋_GB2312" w:hAnsi="仿宋_GB2312" w:eastAsia="仿宋_GB2312" w:cs="仿宋_GB2312"/>
          <w:color w:val="auto"/>
          <w:sz w:val="32"/>
          <w:szCs w:val="32"/>
          <w:highlight w:val="none"/>
          <w:lang w:val="zh-CN"/>
        </w:rPr>
        <w:t>100%，主要原因是：</w:t>
      </w:r>
      <w:r>
        <w:rPr>
          <w:rFonts w:hint="eastAsia" w:ascii="仿宋_GB2312" w:hAnsi="仿宋_GB2312" w:eastAsia="仿宋_GB2312" w:cs="仿宋_GB2312"/>
          <w:color w:val="auto"/>
          <w:sz w:val="32"/>
          <w:szCs w:val="32"/>
          <w:highlight w:val="none"/>
          <w:lang w:val="en-US" w:eastAsia="zh-CN"/>
        </w:rPr>
        <w:t>减少</w:t>
      </w:r>
      <w:r>
        <w:rPr>
          <w:rFonts w:hint="eastAsia" w:ascii="仿宋_GB2312" w:hAnsi="仿宋_GB2312" w:eastAsia="仿宋_GB2312" w:cs="仿宋_GB2312"/>
          <w:color w:val="auto"/>
          <w:sz w:val="32"/>
          <w:szCs w:val="32"/>
          <w:highlight w:val="none"/>
          <w:lang w:val="zh-CN"/>
        </w:rPr>
        <w:t>土地补偿及耕地开垦支出。</w:t>
      </w:r>
    </w:p>
    <w:p>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pPr>
        <w:ind w:firstLine="640" w:firstLineChars="200"/>
        <w:jc w:val="left"/>
        <w:outlineLvl w:val="1"/>
        <w:rPr>
          <w:rFonts w:hint="eastAsia" w:ascii="黑体" w:hAnsi="黑体" w:eastAsia="黑体" w:cs="宋体"/>
          <w:bCs/>
          <w:kern w:val="0"/>
          <w:sz w:val="32"/>
          <w:szCs w:val="32"/>
        </w:rPr>
      </w:pPr>
      <w:bookmarkStart w:id="20" w:name="_Toc1235"/>
      <w:bookmarkStart w:id="21" w:name="_Toc7314"/>
      <w:r>
        <w:rPr>
          <w:rFonts w:hint="eastAsia" w:ascii="黑体" w:hAnsi="黑体" w:eastAsia="黑体" w:cs="宋体"/>
          <w:bCs/>
          <w:kern w:val="0"/>
          <w:sz w:val="32"/>
          <w:szCs w:val="32"/>
        </w:rPr>
        <w:t>十、其他重要事项的情况说明</w:t>
      </w:r>
      <w:bookmarkEnd w:id="20"/>
      <w:bookmarkEnd w:id="21"/>
    </w:p>
    <w:p>
      <w:pPr>
        <w:ind w:firstLine="640" w:firstLineChars="200"/>
        <w:jc w:val="left"/>
        <w:outlineLvl w:val="2"/>
        <w:rPr>
          <w:rFonts w:hint="eastAsia" w:ascii="黑体" w:hAnsi="黑体" w:eastAsia="黑体"/>
          <w:sz w:val="32"/>
          <w:szCs w:val="32"/>
        </w:rPr>
      </w:pPr>
      <w:bookmarkStart w:id="22" w:name="_Toc14519"/>
      <w:bookmarkStart w:id="23" w:name="_Toc13105"/>
      <w:r>
        <w:rPr>
          <w:rFonts w:hint="eastAsia" w:ascii="黑体" w:hAnsi="黑体" w:eastAsia="黑体"/>
          <w:sz w:val="32"/>
          <w:szCs w:val="32"/>
        </w:rPr>
        <w:t>（一）机关运行经费支出情况</w:t>
      </w:r>
      <w:bookmarkEnd w:id="22"/>
      <w:bookmarkEnd w:id="23"/>
    </w:p>
    <w:p>
      <w:pPr>
        <w:ind w:firstLine="640" w:firstLineChars="200"/>
        <w:rPr>
          <w:rFonts w:hint="eastAsia" w:ascii="仿宋_GB2312" w:hAnsi="仿宋_GB2312" w:eastAsia="仿宋_GB2312" w:cs="仿宋_GB2312"/>
          <w:sz w:val="32"/>
          <w:szCs w:val="32"/>
          <w:lang w:val="zh-CN"/>
        </w:rPr>
      </w:pPr>
      <w:bookmarkStart w:id="24" w:name="_Toc26704"/>
      <w:bookmarkStart w:id="25" w:name="_Toc227"/>
      <w:r>
        <w:rPr>
          <w:rFonts w:hint="eastAsia" w:ascii="仿宋_GB2312" w:hAnsi="仿宋_GB2312" w:eastAsia="仿宋_GB2312" w:cs="仿宋_GB2312"/>
          <w:sz w:val="32"/>
          <w:szCs w:val="32"/>
          <w:lang w:val="zh-CN"/>
        </w:rPr>
        <w:t>2023年度</w:t>
      </w:r>
      <w:r>
        <w:rPr>
          <w:rFonts w:hint="eastAsia" w:ascii="仿宋_GB2312" w:hAnsi="仿宋_GB2312" w:eastAsia="仿宋_GB2312" w:cs="仿宋_GB2312"/>
          <w:sz w:val="32"/>
          <w:szCs w:val="32"/>
        </w:rPr>
        <w:t>奇台县自然资源局（行政单位和参照公务员法管理事业单位）机关运行经费支出26.30万元，</w:t>
      </w:r>
      <w:r>
        <w:rPr>
          <w:rFonts w:hint="eastAsia" w:ascii="仿宋_GB2312" w:hAnsi="仿宋_GB2312" w:eastAsia="仿宋_GB2312" w:cs="仿宋_GB2312"/>
          <w:sz w:val="32"/>
          <w:szCs w:val="32"/>
          <w:lang w:val="zh-CN"/>
        </w:rPr>
        <w:t>比上年减少14.93万元，下降36.21%，主要原因是：单位本年</w:t>
      </w:r>
      <w:r>
        <w:rPr>
          <w:rFonts w:hint="eastAsia" w:ascii="仿宋_GB2312" w:eastAsia="仿宋_GB2312"/>
          <w:sz w:val="32"/>
          <w:szCs w:val="32"/>
        </w:rPr>
        <w:t>办公费、邮电费、取暖费、差旅费较上年减少</w:t>
      </w:r>
      <w:r>
        <w:rPr>
          <w:rFonts w:hint="eastAsia" w:ascii="仿宋_GB2312" w:hAnsi="仿宋_GB2312" w:eastAsia="仿宋_GB2312" w:cs="仿宋_GB2312"/>
          <w:sz w:val="32"/>
          <w:szCs w:val="32"/>
          <w:lang w:val="zh-CN"/>
        </w:rPr>
        <w:t>。</w:t>
      </w:r>
    </w:p>
    <w:p>
      <w:pPr>
        <w:ind w:firstLine="640" w:firstLineChars="200"/>
        <w:jc w:val="left"/>
        <w:rPr>
          <w:rFonts w:eastAsia="黑体"/>
          <w:sz w:val="32"/>
          <w:szCs w:val="30"/>
          <w:lang w:val="zh-CN"/>
        </w:rPr>
      </w:pPr>
      <w:r>
        <w:rPr>
          <w:rFonts w:hint="eastAsia" w:eastAsia="黑体"/>
          <w:sz w:val="32"/>
          <w:szCs w:val="30"/>
          <w:lang w:val="zh-CN"/>
        </w:rPr>
        <w:t>（二）政府采购情况</w:t>
      </w:r>
      <w:bookmarkEnd w:id="24"/>
      <w:bookmarkEnd w:id="25"/>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2023年度政府采购支出总额1,037.67万元，其中：政府采购货物支出8.94万元、政府采购工程支出0.80万元、政府采购服务支出1,027.93万元。</w:t>
      </w:r>
    </w:p>
    <w:p>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授予中小企业合同金额749.01万元，占政府采购支出总额的72.18%，其中：授予小微企业合同金额729.01万元，占政府采购支出总额的70.25%</w:t>
      </w:r>
      <w:r>
        <w:rPr>
          <w:rFonts w:hint="eastAsia" w:ascii="仿宋_GB2312" w:hAnsi="仿宋_GB2312" w:eastAsia="仿宋_GB2312" w:cs="仿宋_GB2312"/>
          <w:sz w:val="32"/>
          <w:szCs w:val="32"/>
        </w:rPr>
        <w:t>。</w:t>
      </w:r>
    </w:p>
    <w:p>
      <w:pPr>
        <w:ind w:firstLine="640" w:firstLineChars="200"/>
        <w:jc w:val="left"/>
        <w:rPr>
          <w:rFonts w:eastAsia="黑体"/>
          <w:sz w:val="32"/>
          <w:szCs w:val="30"/>
          <w:lang w:val="zh-CN"/>
        </w:rPr>
      </w:pPr>
      <w:bookmarkStart w:id="26" w:name="_Toc4591"/>
      <w:bookmarkStart w:id="27" w:name="_Toc8391"/>
      <w:r>
        <w:rPr>
          <w:rFonts w:hint="eastAsia" w:eastAsia="黑体"/>
          <w:sz w:val="32"/>
          <w:szCs w:val="30"/>
          <w:lang w:val="zh-CN"/>
        </w:rPr>
        <w:t>（三）国有资产占用情况说明</w:t>
      </w:r>
      <w:bookmarkEnd w:id="26"/>
      <w:bookmarkEnd w:id="27"/>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截至2023</w:t>
      </w:r>
      <w:r>
        <w:rPr>
          <w:rFonts w:hint="eastAsia" w:ascii="仿宋_GB2312" w:hAnsi="仿宋_GB2312" w:eastAsia="仿宋_GB2312" w:cs="仿宋_GB2312"/>
          <w:sz w:val="32"/>
          <w:szCs w:val="32"/>
          <w:lang w:val="zh-CN"/>
        </w:rPr>
        <w:t>年</w:t>
      </w:r>
      <w:r>
        <w:rPr>
          <w:rFonts w:hint="eastAsia" w:ascii="仿宋_GB2312" w:hAnsi="仿宋_GB2312" w:eastAsia="仿宋_GB2312" w:cs="仿宋_GB2312"/>
          <w:sz w:val="32"/>
          <w:szCs w:val="32"/>
        </w:rPr>
        <w:t>12月31日</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固定资产原值</w:t>
      </w:r>
      <w:r>
        <w:rPr>
          <w:rFonts w:hint="eastAsia" w:ascii="仿宋_GB2312" w:hAnsi="仿宋_GB2312" w:eastAsia="仿宋_GB2312" w:cs="仿宋_GB2312"/>
          <w:sz w:val="32"/>
          <w:szCs w:val="32"/>
          <w:lang w:val="zh-CN"/>
        </w:rPr>
        <w:t>864.83</w:t>
      </w:r>
      <w:r>
        <w:rPr>
          <w:rFonts w:hint="eastAsia" w:ascii="仿宋_GB2312" w:hAnsi="仿宋_GB2312" w:eastAsia="仿宋_GB2312" w:cs="仿宋_GB2312"/>
          <w:sz w:val="32"/>
          <w:szCs w:val="32"/>
        </w:rPr>
        <w:t>万元，房</w:t>
      </w:r>
      <w:r>
        <w:rPr>
          <w:rFonts w:hint="eastAsia" w:ascii="仿宋_GB2312" w:hAnsi="仿宋_GB2312" w:eastAsia="仿宋_GB2312" w:cs="仿宋_GB2312"/>
          <w:sz w:val="32"/>
          <w:szCs w:val="32"/>
          <w:lang w:val="zh-CN"/>
        </w:rPr>
        <w:t>屋2,202.83平方米，价值475.76万元。车辆11辆，价值107.71万元，其中：副部（省）级及以上领导用车0辆、主要</w:t>
      </w:r>
      <w:r>
        <w:rPr>
          <w:rFonts w:hint="eastAsia" w:ascii="仿宋_GB2312" w:hAnsi="仿宋_GB2312" w:eastAsia="仿宋_GB2312" w:cs="仿宋_GB2312"/>
          <w:sz w:val="32"/>
          <w:szCs w:val="32"/>
        </w:rPr>
        <w:t>负责人</w:t>
      </w:r>
      <w:r>
        <w:rPr>
          <w:rFonts w:hint="eastAsia" w:ascii="仿宋_GB2312" w:hAnsi="仿宋_GB2312" w:eastAsia="仿宋_GB2312" w:cs="仿宋_GB2312"/>
          <w:sz w:val="32"/>
          <w:szCs w:val="32"/>
          <w:lang w:val="zh-CN"/>
        </w:rPr>
        <w:t>用车0辆、机要通信用车0辆、应急保障用车0辆、执法执勤用车0辆、特种专业技术用车0辆、离退休干部</w:t>
      </w:r>
      <w:r>
        <w:rPr>
          <w:rFonts w:hint="eastAsia" w:ascii="仿宋_GB2312" w:hAnsi="仿宋_GB2312" w:eastAsia="仿宋_GB2312" w:cs="仿宋_GB2312"/>
          <w:sz w:val="32"/>
          <w:szCs w:val="32"/>
        </w:rPr>
        <w:t>服务</w:t>
      </w:r>
      <w:r>
        <w:rPr>
          <w:rFonts w:hint="eastAsia" w:ascii="仿宋_GB2312" w:hAnsi="仿宋_GB2312" w:eastAsia="仿宋_GB2312" w:cs="仿宋_GB2312"/>
          <w:sz w:val="32"/>
          <w:szCs w:val="32"/>
          <w:lang w:val="zh-CN"/>
        </w:rPr>
        <w:t>用车0辆、其他用车11辆，其他用车主要是：</w:t>
      </w:r>
      <w:r>
        <w:rPr>
          <w:rFonts w:hint="eastAsia" w:ascii="仿宋_GB2312" w:eastAsia="仿宋_GB2312" w:cs="仿宋_GB2312"/>
          <w:kern w:val="0"/>
          <w:sz w:val="32"/>
          <w:szCs w:val="32"/>
        </w:rPr>
        <w:t>规划执勤车辆、森林巡逻车辆、公益林管护车辆</w:t>
      </w:r>
      <w:r>
        <w:rPr>
          <w:rFonts w:hint="eastAsia" w:ascii="仿宋_GB2312" w:hAnsi="仿宋_GB2312" w:eastAsia="仿宋_GB2312" w:cs="仿宋_GB2312"/>
          <w:sz w:val="32"/>
          <w:szCs w:val="32"/>
          <w:lang w:val="zh-CN"/>
        </w:rPr>
        <w:t>；单价100万元（含）以上设备（不含车辆）0</w:t>
      </w:r>
      <w:r>
        <w:rPr>
          <w:rFonts w:hint="eastAsia" w:ascii="仿宋_GB2312" w:hAnsi="仿宋_GB2312" w:eastAsia="仿宋_GB2312" w:cs="仿宋_GB2312"/>
          <w:sz w:val="32"/>
          <w:szCs w:val="32"/>
        </w:rPr>
        <w:t>台（</w:t>
      </w:r>
      <w:r>
        <w:rPr>
          <w:rFonts w:hint="eastAsia" w:ascii="仿宋_GB2312" w:hAnsi="仿宋_GB2312" w:eastAsia="仿宋_GB2312" w:cs="仿宋_GB2312"/>
          <w:sz w:val="32"/>
          <w:szCs w:val="32"/>
          <w:lang w:val="zh-CN"/>
        </w:rPr>
        <w:t>套）。</w:t>
      </w:r>
    </w:p>
    <w:p>
      <w:pPr>
        <w:ind w:firstLine="640" w:firstLineChars="200"/>
        <w:jc w:val="left"/>
        <w:outlineLvl w:val="1"/>
        <w:rPr>
          <w:rFonts w:hint="eastAsia" w:ascii="黑体" w:hAnsi="黑体" w:eastAsia="黑体" w:cs="宋体"/>
          <w:bCs/>
          <w:kern w:val="0"/>
          <w:sz w:val="32"/>
          <w:szCs w:val="32"/>
        </w:rPr>
      </w:pPr>
      <w:bookmarkStart w:id="28" w:name="_Toc11283"/>
      <w:bookmarkStart w:id="29" w:name="_Toc435"/>
      <w:r>
        <w:rPr>
          <w:rFonts w:hint="eastAsia" w:ascii="黑体" w:hAnsi="黑体" w:eastAsia="黑体" w:cs="宋体"/>
          <w:bCs/>
          <w:kern w:val="0"/>
          <w:sz w:val="32"/>
          <w:szCs w:val="32"/>
        </w:rPr>
        <w:t>十一、预算绩效的情况说明</w:t>
      </w:r>
      <w:bookmarkEnd w:id="28"/>
      <w:bookmarkEnd w:id="29"/>
    </w:p>
    <w:p>
      <w:pPr>
        <w:ind w:firstLine="640" w:firstLineChars="200"/>
        <w:jc w:val="left"/>
        <w:rPr>
          <w:rFonts w:ascii="仿宋_GB2312" w:eastAsia="仿宋_GB2312"/>
          <w:sz w:val="32"/>
          <w:szCs w:val="32"/>
        </w:rPr>
      </w:pPr>
      <w:r>
        <w:rPr>
          <w:rFonts w:hint="eastAsia" w:ascii="仿宋_GB2312" w:eastAsia="仿宋_GB2312"/>
          <w:sz w:val="32"/>
          <w:szCs w:val="32"/>
        </w:rPr>
        <w:t>根据预算绩效管理要求，我单位2023年度</w:t>
      </w:r>
      <w:r>
        <w:rPr>
          <w:rFonts w:hint="eastAsia" w:ascii="仿宋_GB2312" w:hAnsi="仿宋_GB2312" w:eastAsia="仿宋_GB2312" w:cs="仿宋_GB2312"/>
          <w:kern w:val="0"/>
          <w:sz w:val="32"/>
          <w:szCs w:val="32"/>
        </w:rPr>
        <w:t>预算绩效管理整体支出绩效自评表</w:t>
      </w:r>
      <w:r>
        <w:rPr>
          <w:rFonts w:hint="eastAsia" w:ascii="仿宋_GB2312" w:eastAsia="仿宋_GB2312"/>
          <w:sz w:val="32"/>
          <w:szCs w:val="32"/>
        </w:rPr>
        <w:t>1个，全年预算总额</w:t>
      </w:r>
      <w:r>
        <w:rPr>
          <w:rFonts w:ascii="仿宋_GB2312" w:eastAsia="仿宋_GB2312"/>
          <w:sz w:val="32"/>
          <w:szCs w:val="32"/>
        </w:rPr>
        <w:t>3,094.80</w:t>
      </w:r>
      <w:r>
        <w:rPr>
          <w:rFonts w:hint="eastAsia" w:ascii="仿宋_GB2312" w:eastAsia="仿宋_GB2312"/>
          <w:sz w:val="32"/>
          <w:szCs w:val="32"/>
        </w:rPr>
        <w:t>万元，实际执行总额</w:t>
      </w:r>
      <w:r>
        <w:rPr>
          <w:rFonts w:ascii="仿宋_GB2312" w:eastAsia="仿宋_GB2312"/>
          <w:sz w:val="32"/>
          <w:szCs w:val="32"/>
        </w:rPr>
        <w:t>3,094.80</w:t>
      </w:r>
      <w:r>
        <w:rPr>
          <w:rFonts w:hint="eastAsia" w:ascii="仿宋_GB2312" w:eastAsia="仿宋_GB2312"/>
          <w:sz w:val="32"/>
          <w:szCs w:val="32"/>
        </w:rPr>
        <w:t>万元；预算绩效评价项目11个，全年预算数</w:t>
      </w:r>
      <w:r>
        <w:rPr>
          <w:rFonts w:ascii="仿宋_GB2312" w:eastAsia="仿宋_GB2312"/>
          <w:sz w:val="32"/>
          <w:szCs w:val="32"/>
        </w:rPr>
        <w:t>1</w:t>
      </w:r>
      <w:r>
        <w:rPr>
          <w:rFonts w:hint="eastAsia" w:ascii="仿宋_GB2312" w:eastAsia="仿宋_GB2312"/>
          <w:sz w:val="32"/>
          <w:szCs w:val="32"/>
        </w:rPr>
        <w:t>,</w:t>
      </w:r>
      <w:r>
        <w:rPr>
          <w:rFonts w:ascii="仿宋_GB2312" w:eastAsia="仿宋_GB2312"/>
          <w:sz w:val="32"/>
          <w:szCs w:val="32"/>
        </w:rPr>
        <w:t>806.16</w:t>
      </w:r>
      <w:r>
        <w:rPr>
          <w:rFonts w:hint="eastAsia" w:ascii="仿宋_GB2312" w:eastAsia="仿宋_GB2312"/>
          <w:sz w:val="32"/>
          <w:szCs w:val="32"/>
        </w:rPr>
        <w:t>万元，全年执行数</w:t>
      </w:r>
      <w:r>
        <w:rPr>
          <w:rFonts w:ascii="仿宋_GB2312" w:eastAsia="仿宋_GB2312"/>
          <w:sz w:val="32"/>
          <w:szCs w:val="32"/>
        </w:rPr>
        <w:t>1</w:t>
      </w:r>
      <w:r>
        <w:rPr>
          <w:rFonts w:hint="eastAsia" w:ascii="仿宋_GB2312" w:eastAsia="仿宋_GB2312"/>
          <w:sz w:val="32"/>
          <w:szCs w:val="32"/>
        </w:rPr>
        <w:t>,</w:t>
      </w:r>
      <w:r>
        <w:rPr>
          <w:rFonts w:ascii="仿宋_GB2312" w:eastAsia="仿宋_GB2312"/>
          <w:sz w:val="32"/>
          <w:szCs w:val="32"/>
        </w:rPr>
        <w:t>806.16</w:t>
      </w:r>
      <w:r>
        <w:rPr>
          <w:rFonts w:hint="eastAsia" w:ascii="仿宋_GB2312" w:eastAsia="仿宋_GB2312"/>
          <w:sz w:val="32"/>
          <w:szCs w:val="32"/>
        </w:rPr>
        <w:t>万元。预算绩效管理取得的成效：</w:t>
      </w:r>
      <w:r>
        <w:rPr>
          <w:rFonts w:hint="eastAsia" w:ascii="仿宋_GB2312" w:eastAsia="仿宋_GB2312" w:cs="仿宋_GB2312"/>
          <w:kern w:val="0"/>
          <w:sz w:val="32"/>
          <w:szCs w:val="32"/>
        </w:rPr>
        <w:t>一是提高资金使用效率；二是规范了绩效管理</w:t>
      </w:r>
      <w:r>
        <w:rPr>
          <w:rFonts w:hint="eastAsia" w:ascii="仿宋_GB2312" w:eastAsia="仿宋_GB2312"/>
          <w:sz w:val="32"/>
          <w:szCs w:val="32"/>
        </w:rPr>
        <w:t>。发现的问题及原因：</w:t>
      </w:r>
      <w:r>
        <w:rPr>
          <w:rFonts w:hint="eastAsia" w:ascii="仿宋_GB2312" w:eastAsia="仿宋_GB2312" w:cs="仿宋_GB2312"/>
          <w:kern w:val="0"/>
          <w:sz w:val="32"/>
          <w:szCs w:val="32"/>
        </w:rPr>
        <w:t>一是绩效审核没有依据实际业务开展；二是绩效知识宣讲不到位，单位依然认为绩效工作应该由财务完成</w:t>
      </w:r>
      <w:r>
        <w:rPr>
          <w:rFonts w:hint="eastAsia" w:ascii="仿宋_GB2312" w:eastAsia="仿宋_GB2312"/>
          <w:sz w:val="32"/>
          <w:szCs w:val="32"/>
        </w:rPr>
        <w:t>。下一步改进措施：</w:t>
      </w:r>
      <w:r>
        <w:rPr>
          <w:rFonts w:hint="eastAsia" w:ascii="仿宋_GB2312" w:eastAsia="仿宋_GB2312" w:cs="仿宋_GB2312"/>
          <w:kern w:val="0"/>
          <w:sz w:val="32"/>
          <w:szCs w:val="32"/>
        </w:rPr>
        <w:t>一是建议多开展绩效相关的课程，让具体开展业务的人员明白绩效的运用；二是绩效审核结合项目本身不要统一标准</w:t>
      </w:r>
      <w:r>
        <w:rPr>
          <w:rFonts w:hint="eastAsia" w:ascii="仿宋_GB2312" w:eastAsia="仿宋_GB2312"/>
          <w:sz w:val="32"/>
          <w:szCs w:val="32"/>
        </w:rPr>
        <w:t>。具体项目自评情况附绩效自评表及自评报告。</w:t>
      </w:r>
      <w:bookmarkStart w:id="30" w:name="_Hlk174962300"/>
    </w:p>
    <w:p>
      <w:pPr>
        <w:jc w:val="center"/>
        <w:rPr>
          <w:rFonts w:hint="eastAsia" w:ascii="宋体" w:hAnsi="宋体" w:cs="宋体"/>
          <w:b/>
          <w:bCs/>
          <w:kern w:val="0"/>
          <w:sz w:val="28"/>
          <w:szCs w:val="28"/>
        </w:rPr>
      </w:pPr>
      <w:r>
        <w:rPr>
          <w:rFonts w:hint="eastAsia" w:ascii="宋体" w:hAnsi="宋体" w:cs="宋体"/>
          <w:b/>
          <w:bCs/>
          <w:kern w:val="0"/>
          <w:sz w:val="28"/>
          <w:szCs w:val="28"/>
        </w:rPr>
        <w:t>部门（单位）整体支出绩效目标自评表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935" w:type="dxa"/>
        <w:tblInd w:w="-601"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gridCol w:w="284"/>
      </w:tblGrid>
      <w:tr>
        <w:tblPrEx>
          <w:tblLayout w:type="fixed"/>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部门（单位）名称</w:t>
            </w:r>
          </w:p>
        </w:tc>
        <w:tc>
          <w:tcPr>
            <w:tcW w:w="8658" w:type="dxa"/>
            <w:gridSpan w:val="7"/>
            <w:tcBorders>
              <w:top w:val="single" w:color="auto" w:sz="4" w:space="0"/>
              <w:left w:val="nil"/>
              <w:bottom w:val="single" w:color="auto" w:sz="4" w:space="0"/>
              <w:right w:val="single" w:color="auto" w:sz="4" w:space="0"/>
            </w:tcBorders>
            <w:shd w:val="clear" w:color="auto" w:fill="auto"/>
            <w:noWrap/>
            <w:vAlign w:val="center"/>
          </w:tcPr>
          <w:p>
            <w:pPr>
              <w:jc w:val="center"/>
            </w:pPr>
            <w:r>
              <w:rPr>
                <w:rFonts w:ascii="宋体" w:hAnsi="宋体"/>
                <w:sz w:val="18"/>
              </w:rPr>
              <w:t>奇台县自然资源局</w:t>
            </w:r>
          </w:p>
        </w:tc>
        <w:tc>
          <w:tcPr>
            <w:tcW w:w="284" w:type="dxa"/>
            <w:tcBorders>
              <w:top w:val="nil"/>
              <w:left w:val="nil"/>
              <w:bottom w:val="nil"/>
              <w:right w:val="nil"/>
            </w:tcBorders>
            <w:shd w:val="clear" w:color="auto" w:fill="auto"/>
            <w:noWrap/>
            <w:vAlign w:val="center"/>
          </w:tcPr>
          <w:p>
            <w:pPr>
              <w:widowControl/>
              <w:jc w:val="left"/>
              <w:rPr>
                <w:rFonts w:hint="eastAsia" w:ascii="宋体" w:hAnsi="宋体" w:cs="宋体"/>
                <w:b/>
                <w:bCs/>
                <w:kern w:val="0"/>
                <w:sz w:val="18"/>
                <w:szCs w:val="18"/>
              </w:rPr>
            </w:pPr>
          </w:p>
        </w:tc>
      </w:tr>
      <w:tr>
        <w:tblPrEx>
          <w:tblLayout w:type="fixed"/>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部门资金（万元）</w:t>
            </w: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资金来源</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年初预算数</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全年预算数</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全年执行数</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执行率</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b/>
                <w:bCs/>
                <w:kern w:val="0"/>
                <w:sz w:val="18"/>
                <w:szCs w:val="18"/>
              </w:rPr>
            </w:pPr>
          </w:p>
        </w:tc>
      </w:tr>
      <w:tr>
        <w:tblPrEx>
          <w:tblLayout w:type="fixed"/>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中央安排</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701"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992"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20"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b/>
                <w:bCs/>
                <w:kern w:val="0"/>
                <w:sz w:val="18"/>
                <w:szCs w:val="18"/>
              </w:rPr>
            </w:pPr>
          </w:p>
        </w:tc>
      </w:tr>
      <w:tr>
        <w:tblPrEx>
          <w:tblLayout w:type="fixed"/>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自治区安排</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701"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地（州、市）安排</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701"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县（市、区）安排</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1,208.10</w:t>
            </w:r>
          </w:p>
        </w:tc>
        <w:tc>
          <w:tcPr>
            <w:tcW w:w="127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3,094.80</w:t>
            </w:r>
          </w:p>
        </w:tc>
        <w:tc>
          <w:tcPr>
            <w:tcW w:w="1701"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3,094.80</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458"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其他资金</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40.50</w:t>
            </w:r>
          </w:p>
        </w:tc>
        <w:tc>
          <w:tcPr>
            <w:tcW w:w="127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701"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合计</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1,248.60</w:t>
            </w:r>
          </w:p>
        </w:tc>
        <w:tc>
          <w:tcPr>
            <w:tcW w:w="127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3,094.80</w:t>
            </w:r>
          </w:p>
        </w:tc>
        <w:tc>
          <w:tcPr>
            <w:tcW w:w="1701"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3,094.80</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年度总体目标</w:t>
            </w:r>
          </w:p>
        </w:tc>
        <w:tc>
          <w:tcPr>
            <w:tcW w:w="4111" w:type="dxa"/>
            <w:gridSpan w:val="3"/>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预期目标</w:t>
            </w:r>
          </w:p>
        </w:tc>
        <w:tc>
          <w:tcPr>
            <w:tcW w:w="4547" w:type="dxa"/>
            <w:gridSpan w:val="4"/>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实际完成情况</w:t>
            </w:r>
          </w:p>
        </w:tc>
        <w:tc>
          <w:tcPr>
            <w:tcW w:w="284" w:type="dxa"/>
            <w:tcBorders>
              <w:top w:val="nil"/>
              <w:left w:val="nil"/>
              <w:bottom w:val="nil"/>
              <w:right w:val="nil"/>
            </w:tcBorders>
            <w:shd w:val="clear" w:color="auto" w:fill="auto"/>
            <w:noWrap/>
            <w:vAlign w:val="center"/>
          </w:tcPr>
          <w:p>
            <w:pPr>
              <w:widowControl/>
              <w:jc w:val="left"/>
              <w:rPr>
                <w:rFonts w:hint="eastAsia" w:ascii="宋体" w:hAnsi="宋体" w:cs="宋体"/>
                <w:b/>
                <w:bCs/>
                <w:kern w:val="0"/>
                <w:sz w:val="18"/>
                <w:szCs w:val="18"/>
              </w:rPr>
            </w:pPr>
          </w:p>
        </w:tc>
      </w:tr>
      <w:tr>
        <w:tblPrEx>
          <w:tblLayout w:type="fixed"/>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b/>
                <w:bCs/>
                <w:kern w:val="0"/>
                <w:sz w:val="18"/>
                <w:szCs w:val="18"/>
              </w:rPr>
            </w:pPr>
          </w:p>
        </w:tc>
        <w:tc>
          <w:tcPr>
            <w:tcW w:w="4111" w:type="dxa"/>
            <w:gridSpan w:val="3"/>
            <w:tcBorders>
              <w:top w:val="single" w:color="auto" w:sz="4" w:space="0"/>
              <w:left w:val="nil"/>
              <w:bottom w:val="single" w:color="auto" w:sz="4" w:space="0"/>
              <w:right w:val="single" w:color="auto" w:sz="4" w:space="0"/>
            </w:tcBorders>
            <w:shd w:val="clear" w:color="auto" w:fill="auto"/>
          </w:tcPr>
          <w:p>
            <w:pPr>
              <w:jc w:val="left"/>
            </w:pPr>
            <w:r>
              <w:rPr>
                <w:rFonts w:ascii="宋体" w:hAnsi="宋体"/>
                <w:sz w:val="18"/>
              </w:rPr>
              <w:t>1.履行全民所有土地、矿产、森林、草原、湿地、荒漠、水、陆生野生动植物等自然资源资产所有者职责和所有国土空间用途管制。2.完成自然资源土地的挂牌、公告及出让，同时收取土地出让金交入本级财政，完成规划设计和修编，完成河流等资产的确权登记，不动产的登记工作，完成矿山巡查和</w:t>
            </w:r>
            <w:r>
              <w:rPr>
                <w:rFonts w:hint="eastAsia" w:ascii="宋体" w:hAnsi="宋体"/>
                <w:sz w:val="18"/>
              </w:rPr>
              <w:t>地质灾害</w:t>
            </w:r>
            <w:r>
              <w:rPr>
                <w:rFonts w:ascii="宋体" w:hAnsi="宋体"/>
                <w:sz w:val="18"/>
              </w:rPr>
              <w:t>巡查保护矿产资源，杜绝非法开采等工作。</w:t>
            </w:r>
          </w:p>
        </w:tc>
        <w:tc>
          <w:tcPr>
            <w:tcW w:w="4547" w:type="dxa"/>
            <w:gridSpan w:val="4"/>
            <w:tcBorders>
              <w:top w:val="single" w:color="auto" w:sz="4" w:space="0"/>
              <w:left w:val="nil"/>
              <w:bottom w:val="single" w:color="auto" w:sz="4" w:space="0"/>
              <w:right w:val="single" w:color="auto" w:sz="4" w:space="0"/>
            </w:tcBorders>
            <w:shd w:val="clear" w:color="auto" w:fill="auto"/>
          </w:tcPr>
          <w:p>
            <w:pPr>
              <w:jc w:val="left"/>
            </w:pPr>
            <w:r>
              <w:rPr>
                <w:rFonts w:ascii="宋体" w:hAnsi="宋体"/>
                <w:sz w:val="18"/>
              </w:rPr>
              <w:t>完成河流确权登记数量10条，土地招牌挂次数18次，不动产登记数量15000例，不动产外业调查数量60次，地质灾害巡查次数12次，矿山巡查次数92次。</w:t>
            </w:r>
          </w:p>
        </w:tc>
        <w:tc>
          <w:tcPr>
            <w:tcW w:w="284" w:type="dxa"/>
            <w:tcBorders>
              <w:top w:val="nil"/>
              <w:left w:val="nil"/>
              <w:bottom w:val="nil"/>
              <w:right w:val="nil"/>
            </w:tcBorders>
            <w:shd w:val="clear" w:color="auto" w:fill="auto"/>
            <w:noWrap/>
            <w:vAlign w:val="center"/>
          </w:tcPr>
          <w:p>
            <w:pPr>
              <w:widowControl/>
              <w:jc w:val="left"/>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一级指标</w:t>
            </w: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二级指标</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三级指标</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预期指标值</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指标值设定依据</w:t>
            </w:r>
          </w:p>
        </w:tc>
        <w:tc>
          <w:tcPr>
            <w:tcW w:w="1134"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实际完成指标值</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pPr>
              <w:widowControl/>
              <w:jc w:val="left"/>
              <w:rPr>
                <w:rFonts w:hint="eastAsia" w:ascii="宋体" w:hAnsi="宋体" w:cs="宋体"/>
                <w:b/>
                <w:bCs/>
                <w:kern w:val="0"/>
                <w:sz w:val="18"/>
                <w:szCs w:val="18"/>
              </w:rPr>
            </w:pPr>
          </w:p>
        </w:tc>
      </w:tr>
      <w:tr>
        <w:tblPrEx>
          <w:tblLayout w:type="fixed"/>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pPr>
            <w:r>
              <w:rPr>
                <w:rFonts w:ascii="宋体" w:hAnsi="宋体"/>
                <w:sz w:val="18"/>
              </w:rPr>
              <w:t>履职效能</w:t>
            </w:r>
          </w:p>
        </w:tc>
        <w:tc>
          <w:tcPr>
            <w:tcW w:w="1417" w:type="dxa"/>
            <w:vMerge w:val="restart"/>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数量指标</w:t>
            </w: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河流确权登记数量</w:t>
            </w:r>
          </w:p>
        </w:tc>
        <w:tc>
          <w:tcPr>
            <w:tcW w:w="127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&gt;=10条</w:t>
            </w:r>
          </w:p>
        </w:tc>
        <w:tc>
          <w:tcPr>
            <w:tcW w:w="1701"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2023年综合绩效考核指标分解表</w:t>
            </w:r>
          </w:p>
        </w:tc>
        <w:tc>
          <w:tcPr>
            <w:tcW w:w="113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9</w:t>
            </w:r>
          </w:p>
        </w:tc>
        <w:tc>
          <w:tcPr>
            <w:tcW w:w="992"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10条</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9</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土地招牌挂次数</w:t>
            </w:r>
          </w:p>
        </w:tc>
        <w:tc>
          <w:tcPr>
            <w:tcW w:w="127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&gt;=15次</w:t>
            </w:r>
          </w:p>
        </w:tc>
        <w:tc>
          <w:tcPr>
            <w:tcW w:w="1701"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上一年度工作完成实际数量测算</w:t>
            </w:r>
          </w:p>
        </w:tc>
        <w:tc>
          <w:tcPr>
            <w:tcW w:w="113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12</w:t>
            </w:r>
          </w:p>
        </w:tc>
        <w:tc>
          <w:tcPr>
            <w:tcW w:w="992"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18次</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12</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不动产登记数量</w:t>
            </w:r>
          </w:p>
        </w:tc>
        <w:tc>
          <w:tcPr>
            <w:tcW w:w="127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&gt;=15000例</w:t>
            </w:r>
          </w:p>
        </w:tc>
        <w:tc>
          <w:tcPr>
            <w:tcW w:w="1701"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关于加快推进奇台县住宅小区不动产登记的工作方案</w:t>
            </w:r>
          </w:p>
        </w:tc>
        <w:tc>
          <w:tcPr>
            <w:tcW w:w="113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30</w:t>
            </w:r>
          </w:p>
        </w:tc>
        <w:tc>
          <w:tcPr>
            <w:tcW w:w="992"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15000例</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不动产外业调查数量</w:t>
            </w:r>
          </w:p>
        </w:tc>
        <w:tc>
          <w:tcPr>
            <w:tcW w:w="127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&gt;=60次</w:t>
            </w:r>
          </w:p>
        </w:tc>
        <w:tc>
          <w:tcPr>
            <w:tcW w:w="1701"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关于加快推进奇台县住宅小区不动产登记的工作方案</w:t>
            </w:r>
          </w:p>
        </w:tc>
        <w:tc>
          <w:tcPr>
            <w:tcW w:w="113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15</w:t>
            </w:r>
          </w:p>
        </w:tc>
        <w:tc>
          <w:tcPr>
            <w:tcW w:w="992"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60次</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地质灾害巡查次数</w:t>
            </w:r>
          </w:p>
        </w:tc>
        <w:tc>
          <w:tcPr>
            <w:tcW w:w="127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&gt;=12次</w:t>
            </w:r>
          </w:p>
        </w:tc>
        <w:tc>
          <w:tcPr>
            <w:tcW w:w="1701"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矿产资源和地质灾害巡查工作制度</w:t>
            </w:r>
          </w:p>
        </w:tc>
        <w:tc>
          <w:tcPr>
            <w:tcW w:w="113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9</w:t>
            </w:r>
          </w:p>
        </w:tc>
        <w:tc>
          <w:tcPr>
            <w:tcW w:w="992"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12次</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9</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r>
        <w:tblPrEx>
          <w:tblLayout w:type="fixed"/>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矿山巡查次数</w:t>
            </w:r>
          </w:p>
        </w:tc>
        <w:tc>
          <w:tcPr>
            <w:tcW w:w="127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&gt;=92次</w:t>
            </w:r>
          </w:p>
        </w:tc>
        <w:tc>
          <w:tcPr>
            <w:tcW w:w="1701"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矿产资源和地质灾害巡查工作制度</w:t>
            </w:r>
          </w:p>
        </w:tc>
        <w:tc>
          <w:tcPr>
            <w:tcW w:w="1134"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15</w:t>
            </w:r>
          </w:p>
        </w:tc>
        <w:tc>
          <w:tcPr>
            <w:tcW w:w="992"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92次</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pPr>
              <w:widowControl/>
              <w:jc w:val="center"/>
              <w:rPr>
                <w:rFonts w:hint="eastAsia" w:ascii="宋体" w:hAnsi="宋体" w:cs="宋体"/>
                <w:kern w:val="0"/>
                <w:sz w:val="18"/>
                <w:szCs w:val="18"/>
              </w:rPr>
            </w:pPr>
          </w:p>
        </w:tc>
      </w:tr>
    </w:tbl>
    <w:p>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2023年上诉一宗欠款土地出让金案件诉讼费用的项目库</w:t>
            </w:r>
          </w:p>
        </w:tc>
      </w:tr>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奇台县自然资源局</w:t>
            </w:r>
          </w:p>
        </w:tc>
        <w:tc>
          <w:tcPr>
            <w:tcW w:w="1275" w:type="dxa"/>
            <w:gridSpan w:val="2"/>
            <w:tcBorders>
              <w:top w:val="nil"/>
              <w:left w:val="nil"/>
              <w:bottom w:val="single" w:color="auto" w:sz="4" w:space="0"/>
              <w:right w:val="single" w:color="000000"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pPr>
              <w:jc w:val="center"/>
            </w:pPr>
            <w:r>
              <w:rPr>
                <w:rFonts w:ascii="宋体" w:hAnsi="宋体"/>
                <w:sz w:val="18"/>
              </w:rPr>
              <w:t>奇台县自然资源局</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7.25</w:t>
            </w:r>
          </w:p>
        </w:tc>
        <w:tc>
          <w:tcPr>
            <w:tcW w:w="1125"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7.25</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7.25</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10.00</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7.25</w:t>
            </w:r>
          </w:p>
        </w:tc>
        <w:tc>
          <w:tcPr>
            <w:tcW w:w="1125"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7.25</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7.25</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tblPrEx>
          <w:tblLayout w:type="fixed"/>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2023年上诉一宗欠款土地出让金案件诉讼费用的项目库,完成诉讼案件上诉数量1件，诉讼案件上诉率达到100%，诉讼案件上诉及时率达到90%，项目预算成本控制率达到100%，追缴欠缴土地出让金及违约金达到744.4388万元，有效促进土地市场有序发展，立案人员满意度达到90%</w:t>
            </w:r>
          </w:p>
        </w:tc>
        <w:tc>
          <w:tcPr>
            <w:tcW w:w="4677" w:type="dxa"/>
            <w:gridSpan w:val="7"/>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依据2023年诉讼7宗欠缴土地出让金案件诉讼费项目，其中一宗地一审判决后提起上诉，上诉申请标的额为1942974.195元，二审判决败诉，需向被告支付297.4552万元。</w:t>
            </w:r>
          </w:p>
        </w:tc>
      </w:tr>
      <w:tr>
        <w:tblPrEx>
          <w:tblLayout w:type="fixed"/>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tblPrEx>
          <w:tblLayout w:type="fixed"/>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诉讼案件上诉数量</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=1个</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=1个</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诉讼案件上诉率</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14</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14</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诉讼案件上诉及时率</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&gt;=90%</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11</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11</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项目预算控制率</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&lt;=100%</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经济效益指标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追缴欠缴土地出让金及违约金</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&lt;=744.4388万元</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=-297.4552万元</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偏差原因：案件因历史遗留等多方面原因，导致败诉。改进措施：及时进行各方沟通积极解决问题，避免再次发生此类情况。</w:t>
            </w: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促进土地市场有序发展</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有效促进</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有效促进</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立案人员满意度（%）</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&gt;=90%</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90分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bookmarkEnd w:id="30"/>
    </w:tbl>
    <w:p>
      <w:pPr>
        <w:jc w:val="center"/>
        <w:rPr>
          <w:rFonts w:hint="eastAsia" w:ascii="宋体" w:hAnsi="宋体" w:cs="宋体"/>
          <w:b/>
          <w:bCs/>
          <w:kern w:val="0"/>
          <w:sz w:val="18"/>
          <w:szCs w:val="18"/>
        </w:rPr>
      </w:pPr>
      <w:r>
        <w:rPr>
          <w:rFonts w:hint="eastAsia" w:ascii="宋体" w:hAnsi="宋体" w:cs="宋体"/>
          <w:b/>
          <w:bCs/>
          <w:kern w:val="0"/>
          <w:sz w:val="28"/>
          <w:szCs w:val="28"/>
        </w:rPr>
        <w:t>项目支出绩效自评表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266"/>
        <w:gridCol w:w="1088"/>
        <w:gridCol w:w="188"/>
        <w:gridCol w:w="519"/>
        <w:gridCol w:w="340"/>
        <w:gridCol w:w="350"/>
        <w:gridCol w:w="634"/>
        <w:gridCol w:w="1417"/>
      </w:tblGrid>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2023年付奇台县集体土地所有权确权更新交汇工作</w:t>
            </w:r>
          </w:p>
        </w:tc>
      </w:tr>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841" w:type="dxa"/>
            <w:gridSpan w:val="4"/>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奇台县自然资源局</w:t>
            </w:r>
          </w:p>
        </w:tc>
        <w:tc>
          <w:tcPr>
            <w:tcW w:w="1276" w:type="dxa"/>
            <w:gridSpan w:val="2"/>
            <w:tcBorders>
              <w:top w:val="nil"/>
              <w:left w:val="nil"/>
              <w:bottom w:val="single" w:color="auto" w:sz="4" w:space="0"/>
              <w:right w:val="single" w:color="000000"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260" w:type="dxa"/>
            <w:gridSpan w:val="5"/>
            <w:tcBorders>
              <w:top w:val="nil"/>
              <w:left w:val="nil"/>
              <w:bottom w:val="single" w:color="auto" w:sz="4" w:space="0"/>
              <w:right w:val="single" w:color="000000" w:sz="4" w:space="0"/>
            </w:tcBorders>
            <w:shd w:val="clear" w:color="auto" w:fill="auto"/>
            <w:vAlign w:val="center"/>
          </w:tcPr>
          <w:p>
            <w:pPr>
              <w:jc w:val="center"/>
            </w:pPr>
            <w:r>
              <w:rPr>
                <w:rFonts w:ascii="宋体" w:hAnsi="宋体"/>
                <w:sz w:val="18"/>
              </w:rPr>
              <w:t>奇台县自然资源局</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26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74.65</w:t>
            </w:r>
          </w:p>
        </w:tc>
        <w:tc>
          <w:tcPr>
            <w:tcW w:w="126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74.65</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74.65</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100.00%</w:t>
            </w:r>
          </w:p>
        </w:tc>
        <w:tc>
          <w:tcPr>
            <w:tcW w:w="141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10.00</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74.65</w:t>
            </w:r>
          </w:p>
        </w:tc>
        <w:tc>
          <w:tcPr>
            <w:tcW w:w="126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74.65</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74.65</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126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0.00</w:t>
            </w:r>
          </w:p>
        </w:tc>
        <w:tc>
          <w:tcPr>
            <w:tcW w:w="1276"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859"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548"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536"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tblPrEx>
          <w:tblLayout w:type="fixed"/>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4548" w:type="dxa"/>
            <w:gridSpan w:val="5"/>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完成奇台县10条河流，2个自然保护区，5自然资源统一确权登记验收合格率达到100%，根据区州时间节点完成阶段性工作，项目预算控制率达到100%。有效保障河流、水源生态环境，正度满意度叨叨90%及以上。</w:t>
            </w:r>
          </w:p>
        </w:tc>
        <w:tc>
          <w:tcPr>
            <w:tcW w:w="4536" w:type="dxa"/>
            <w:gridSpan w:val="7"/>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完成奇台县10条河流、2个自然资源区、2个水源地自然资源统一确权工作，并通过自治区专家组验收合格。完成集体土地所有权确权登记成果更新汇交工作，数据于2023年8月汇交国家。完成了2022年度卫片执法图斑和国土变更调查6000余个图斑的外业调查举证和内业填报工作。</w:t>
            </w:r>
          </w:p>
        </w:tc>
      </w:tr>
      <w:tr>
        <w:tblPrEx>
          <w:tblLayout w:type="fixed"/>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266"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08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tblPrEx>
          <w:tblLayout w:type="fixed"/>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266"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08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完成河流确认登记数量</w:t>
            </w:r>
          </w:p>
        </w:tc>
        <w:tc>
          <w:tcPr>
            <w:tcW w:w="126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&gt;=10个</w:t>
            </w:r>
          </w:p>
        </w:tc>
        <w:tc>
          <w:tcPr>
            <w:tcW w:w="108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=10个</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8</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8</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完成自然保护地产权登记数</w:t>
            </w:r>
          </w:p>
        </w:tc>
        <w:tc>
          <w:tcPr>
            <w:tcW w:w="126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=2个</w:t>
            </w:r>
          </w:p>
        </w:tc>
        <w:tc>
          <w:tcPr>
            <w:tcW w:w="108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=2个</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12</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12</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自然资源统一确权验收合格率</w:t>
            </w:r>
          </w:p>
        </w:tc>
        <w:tc>
          <w:tcPr>
            <w:tcW w:w="126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13</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13</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按照区州时间节点完成阶段性工作的及时率</w:t>
            </w:r>
          </w:p>
        </w:tc>
        <w:tc>
          <w:tcPr>
            <w:tcW w:w="126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08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7</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7</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项目与算控制率</w:t>
            </w:r>
          </w:p>
        </w:tc>
        <w:tc>
          <w:tcPr>
            <w:tcW w:w="126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&lt;=100%</w:t>
            </w:r>
          </w:p>
        </w:tc>
        <w:tc>
          <w:tcPr>
            <w:tcW w:w="108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保障河流、水源生态环境</w:t>
            </w:r>
          </w:p>
        </w:tc>
        <w:tc>
          <w:tcPr>
            <w:tcW w:w="126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有效保障</w:t>
            </w:r>
          </w:p>
        </w:tc>
        <w:tc>
          <w:tcPr>
            <w:tcW w:w="108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有效保障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政府满意度（%）</w:t>
            </w:r>
          </w:p>
        </w:tc>
        <w:tc>
          <w:tcPr>
            <w:tcW w:w="126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&gt;=90%</w:t>
            </w:r>
          </w:p>
        </w:tc>
        <w:tc>
          <w:tcPr>
            <w:tcW w:w="108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bl>
    <w:p>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2023年拨付化解何全德新房事宜的费用项目库</w:t>
            </w:r>
          </w:p>
        </w:tc>
      </w:tr>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奇台县自然资源局</w:t>
            </w:r>
          </w:p>
        </w:tc>
        <w:tc>
          <w:tcPr>
            <w:tcW w:w="1275" w:type="dxa"/>
            <w:gridSpan w:val="2"/>
            <w:tcBorders>
              <w:top w:val="nil"/>
              <w:left w:val="nil"/>
              <w:bottom w:val="single" w:color="auto" w:sz="4" w:space="0"/>
              <w:right w:val="single" w:color="000000"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pPr>
              <w:jc w:val="center"/>
            </w:pPr>
            <w:r>
              <w:rPr>
                <w:rFonts w:ascii="宋体" w:hAnsi="宋体"/>
                <w:sz w:val="18"/>
              </w:rPr>
              <w:t>奇台县自然资源局</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8.00</w:t>
            </w:r>
          </w:p>
        </w:tc>
        <w:tc>
          <w:tcPr>
            <w:tcW w:w="1125"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957.99</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957.99</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10.00</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8.00</w:t>
            </w:r>
          </w:p>
        </w:tc>
        <w:tc>
          <w:tcPr>
            <w:tcW w:w="1125"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957.99</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957.99</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tblPrEx>
          <w:tblLayout w:type="fixed"/>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完成债务化解10笔，涉及债务化解金额足额支付，确保债务在2023年12月31日之前有效化解。有效保障单位良好信用，让支付对象满意。</w:t>
            </w:r>
          </w:p>
        </w:tc>
        <w:tc>
          <w:tcPr>
            <w:tcW w:w="4677" w:type="dxa"/>
            <w:gridSpan w:val="7"/>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完成债务化解10笔，涉及债务化解金额足额支付，确保债务在2023年12月31日之前有效化解。有效保障单位良好信用，让支付对象满意。债务支付笔数：10；债务资金支付完成率：100；债务还款准确率：100；债务偿还及时率：100；债务资金支付率：100；保障单位良好信用：有效保障；支付对象满意度：90%。</w:t>
            </w:r>
          </w:p>
        </w:tc>
      </w:tr>
      <w:tr>
        <w:tblPrEx>
          <w:tblLayout w:type="fixed"/>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tblPrEx>
          <w:tblLayout w:type="fixed"/>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债务支付笔数</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=10笔</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=10笔</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债务资金支付完成率</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债务还款准确率</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债务偿还及时率</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&gt;=100%</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债务资金支付率</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保障单位良好信用</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有效保障</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有效保障</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支付对象满意度</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&gt;=90%</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bl>
    <w:p>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2023年拨付奇台县农村地籍调查及集体建设用地使用权确权登记发证等5项工作费用</w:t>
            </w:r>
          </w:p>
        </w:tc>
      </w:tr>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奇台县自然资源局</w:t>
            </w:r>
          </w:p>
        </w:tc>
        <w:tc>
          <w:tcPr>
            <w:tcW w:w="1275" w:type="dxa"/>
            <w:gridSpan w:val="2"/>
            <w:tcBorders>
              <w:top w:val="nil"/>
              <w:left w:val="nil"/>
              <w:bottom w:val="single" w:color="auto" w:sz="4" w:space="0"/>
              <w:right w:val="single" w:color="000000"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pPr>
              <w:jc w:val="center"/>
            </w:pPr>
            <w:r>
              <w:rPr>
                <w:rFonts w:ascii="宋体" w:hAnsi="宋体"/>
                <w:sz w:val="18"/>
              </w:rPr>
              <w:t>奇台县自然资源局</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171.66</w:t>
            </w:r>
          </w:p>
        </w:tc>
        <w:tc>
          <w:tcPr>
            <w:tcW w:w="1125"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171.66</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171.66</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10.00</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171.66</w:t>
            </w:r>
          </w:p>
        </w:tc>
        <w:tc>
          <w:tcPr>
            <w:tcW w:w="1125"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171.66</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171.66</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tblPrEx>
          <w:tblLayout w:type="fixed"/>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完成2012年至2016年部分债务化解，债务支付笔数5笔，债务资金支付完成率=100%,债务还款准确率=100%,债务资金按期支付率=100%,债务资金支付率=100%,有效的保障单位良好信用，支付对象满意度=80%</w:t>
            </w:r>
          </w:p>
        </w:tc>
        <w:tc>
          <w:tcPr>
            <w:tcW w:w="4677" w:type="dxa"/>
            <w:gridSpan w:val="7"/>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项目已于2017年完成奇台县农村地籍调查及集体建设用地使用权确权登记发证工作，共完成全县11703宗土地地籍测量及权属调查工作，宗地图绘制，数据库建设工作，债务支付已完成五笔。</w:t>
            </w:r>
          </w:p>
        </w:tc>
      </w:tr>
      <w:tr>
        <w:tblPrEx>
          <w:tblLayout w:type="fixed"/>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tblPrEx>
          <w:tblLayout w:type="fixed"/>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债务支付笔数</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=5笔</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=5笔</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债务资金支付完成率</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12</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12</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债务还款准确率</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债务资金按期支付率</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3</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3</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债务资金支付率</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保障单位良好信用</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有效保障</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有效保障</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支付对象满意度</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=94%</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=94%</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bl>
    <w:p>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2023年拨付起诉7宗欠款土地出让金案件诉讼费用的项目库2</w:t>
            </w:r>
          </w:p>
        </w:tc>
      </w:tr>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奇台县自然资源局</w:t>
            </w:r>
          </w:p>
        </w:tc>
        <w:tc>
          <w:tcPr>
            <w:tcW w:w="1275" w:type="dxa"/>
            <w:gridSpan w:val="2"/>
            <w:tcBorders>
              <w:top w:val="nil"/>
              <w:left w:val="nil"/>
              <w:bottom w:val="single" w:color="auto" w:sz="4" w:space="0"/>
              <w:right w:val="single" w:color="000000"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pPr>
              <w:jc w:val="center"/>
            </w:pPr>
            <w:r>
              <w:rPr>
                <w:rFonts w:ascii="宋体" w:hAnsi="宋体"/>
                <w:sz w:val="18"/>
              </w:rPr>
              <w:t>奇台县自然资源局</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38.94</w:t>
            </w:r>
          </w:p>
        </w:tc>
        <w:tc>
          <w:tcPr>
            <w:tcW w:w="1125"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38.94</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38.94</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10.00</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38.94</w:t>
            </w:r>
          </w:p>
        </w:tc>
        <w:tc>
          <w:tcPr>
            <w:tcW w:w="1125"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38.94</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38.94</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tblPrEx>
          <w:tblLayout w:type="fixed"/>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依据出让项目中欠缴的土地出让金及变更容积率产生的补交的土地出让价款的涉及的金额和面积完成案件诉讼费的缴纳，完成7个案件的立案，案件涉及追缴欠的土地出让金案件3个，容积率变更案件4个，诉讼案件及时进行立案，追缴欠缴土地出让金及违约金约3197.66万元，有效保护了资源资产，有效促进了土地市场的有序发展，联人员满意度达到90%以上。</w:t>
            </w:r>
          </w:p>
        </w:tc>
        <w:tc>
          <w:tcPr>
            <w:tcW w:w="4677" w:type="dxa"/>
            <w:gridSpan w:val="7"/>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诉讼案件立案率：100%；项目预算成本控制率：100；促进土地市场有序发展：有效促进；诉讼案件立案数量：7；涉及土地容积率变更案件数量：4；涉及欠缴土地出让金案件数量：3</w:t>
            </w:r>
          </w:p>
        </w:tc>
      </w:tr>
      <w:tr>
        <w:tblPrEx>
          <w:tblLayout w:type="fixed"/>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tblPrEx>
          <w:tblLayout w:type="fixed"/>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诉讼案件立案数量</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=7个</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=7个</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14</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14</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涉及土地容积率变更案件数量</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=4个</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=4个</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涉及欠缴土地出让金案件数量</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=3个</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=3个</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诉讼案件立案率</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诉讼案件立案及时率</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&gt;=90%</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6</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6</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项目预算成本控制率</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&lt;=100%</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经济效益指标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追缴欠缴土地出让金及违约金</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&lt;=3197.66万元</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=3122.6567万元</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12</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11.3</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偏差原因：在实际判决中，法院会按照银行年利率计算违约金，故违约金金额会出现偏差。改进措施：及时与法院沟通违约金判定的标准。</w:t>
            </w: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促进土地市场有序发展</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有效促进</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有效促进</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8</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8</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立案人员满意度（%）</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&gt;=90%</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99.3分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bl>
    <w:p>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2023年申请拨付2022年2023年印花税的项目库、2023年申请拨付耕地开垦费的项目库、2023年关于支付未利用地管理费的项目库</w:t>
            </w:r>
          </w:p>
        </w:tc>
      </w:tr>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奇台县自然资源局</w:t>
            </w:r>
          </w:p>
        </w:tc>
        <w:tc>
          <w:tcPr>
            <w:tcW w:w="1275" w:type="dxa"/>
            <w:gridSpan w:val="2"/>
            <w:tcBorders>
              <w:top w:val="nil"/>
              <w:left w:val="nil"/>
              <w:bottom w:val="single" w:color="auto" w:sz="4" w:space="0"/>
              <w:right w:val="single" w:color="000000"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pPr>
              <w:jc w:val="center"/>
            </w:pPr>
            <w:r>
              <w:rPr>
                <w:rFonts w:ascii="宋体" w:hAnsi="宋体"/>
                <w:sz w:val="18"/>
              </w:rPr>
              <w:t>奇台县自然资源局</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39.33</w:t>
            </w:r>
          </w:p>
        </w:tc>
        <w:tc>
          <w:tcPr>
            <w:tcW w:w="1125"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39.33</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39.33</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10.00</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39.33</w:t>
            </w:r>
          </w:p>
        </w:tc>
        <w:tc>
          <w:tcPr>
            <w:tcW w:w="1125"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39.33</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39.33</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tblPrEx>
          <w:tblLayout w:type="fixed"/>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完成土地出让过程中涉及土地出让书据的印花税的缴纳，完成项目报批过程中的未利用地13.94亩的未利用管理费的缴纳，完成项目报批过程中</w:t>
            </w:r>
            <w:r>
              <w:rPr>
                <w:rFonts w:hint="eastAsia" w:ascii="宋体" w:hAnsi="宋体"/>
                <w:sz w:val="18"/>
                <w:lang w:eastAsia="zh-CN"/>
              </w:rPr>
              <w:t>的</w:t>
            </w:r>
            <w:r>
              <w:rPr>
                <w:rFonts w:ascii="宋体" w:hAnsi="宋体"/>
                <w:sz w:val="18"/>
              </w:rPr>
              <w:t>2272.81亩的耕地足额及时的缴纳耕地开垦费，合理有效的保护土地资源的利用土地资源。</w:t>
            </w:r>
            <w:bookmarkStart w:id="49" w:name="_GoBack"/>
            <w:bookmarkEnd w:id="49"/>
          </w:p>
        </w:tc>
        <w:tc>
          <w:tcPr>
            <w:tcW w:w="4677" w:type="dxa"/>
            <w:gridSpan w:val="7"/>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奇台县12.5万千瓦时储能+50万千瓦（风光同场）新能源项目、奇台县180万千瓦光氢储一体化项目、奇台县花岗矿区生活用水处理站建设项目，经州人民政府批准，根据财综[2009]24号和新财综[2007]1号文件规定，共涉及未利用地管理费113640.61元，已支付完毕。奇台县X166连接线和G335连接线道路建设工程，经自治区批准，共计批准建设用地1.3420公顷，其中涉及耕地开垦费41809.5元，由我县负责落实补充耕地工作，目前已完成此项工作。</w:t>
            </w:r>
          </w:p>
        </w:tc>
      </w:tr>
      <w:tr>
        <w:tblPrEx>
          <w:tblLayout w:type="fixed"/>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tblPrEx>
          <w:tblLayout w:type="fixed"/>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项目涉及占用耕地面积</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=13.94亩</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=11.48亩</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5.6</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偏差原因：因项目申请方对用地范围进行调整，项目批准耕地面积核减为11.4885亩。改进措施：一是加强工作人员的业务水平，对需审批项目严格把关，减少项目用地范围调整情况发生。二是积极与项目申请方对接，了解存在的问题，及时提出建议。</w:t>
            </w: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涉及未利用地涉及面积</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&gt;=2272.81亩</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=2272.81亩</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9</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9</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印花税缴纳及时率</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&gt;=100%</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7</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7</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土地出让书据印花税缴纳时限</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&lt;=15工作日</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=15工作日</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14</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14</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缴纳税费成本</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=237916.49元</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=237916.49元</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缴纳未利用地管理费成本</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=113640.61元</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=113640.61元</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缴纳耕地开垦费成本</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=41809.50元</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=41809.5元</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合理有效的保护土地资源</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有效保护</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有效保护</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工作人员满意度</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&gt;=90%</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95.6分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bl>
    <w:p>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2023年申请拨付《奇台县国土空间（总体）规划》编制经费的项目库、2023年解决奇台县中心城区局部地块用地调整论证报告编制资金的项目库</w:t>
            </w:r>
          </w:p>
        </w:tc>
      </w:tr>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奇台县自然资源局</w:t>
            </w:r>
          </w:p>
        </w:tc>
        <w:tc>
          <w:tcPr>
            <w:tcW w:w="1275" w:type="dxa"/>
            <w:gridSpan w:val="2"/>
            <w:tcBorders>
              <w:top w:val="nil"/>
              <w:left w:val="nil"/>
              <w:bottom w:val="single" w:color="auto" w:sz="4" w:space="0"/>
              <w:right w:val="single" w:color="000000"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pPr>
              <w:jc w:val="center"/>
            </w:pPr>
            <w:r>
              <w:rPr>
                <w:rFonts w:ascii="宋体" w:hAnsi="宋体"/>
                <w:sz w:val="18"/>
              </w:rPr>
              <w:t>奇台县自然资源局</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300.00</w:t>
            </w:r>
          </w:p>
        </w:tc>
        <w:tc>
          <w:tcPr>
            <w:tcW w:w="1125"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300.00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300.00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10.00</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300.00</w:t>
            </w:r>
          </w:p>
        </w:tc>
        <w:tc>
          <w:tcPr>
            <w:tcW w:w="1125"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300.00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300.00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tblPrEx>
          <w:tblLayout w:type="fixed"/>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完成国土空间规划相关研究数量达到10个，调整中心城区局部地块用地面积19.86公顷，完成编制国土空间（总规）规划文本数量4套，完成编制中心城区局部地块用地调整论证报告文本数量4套，国土空间（总规）成果100%验收通过。奇台县国土空间（总规）规划编制进度在2023年6月30日前完成。有效控制国土空间规划编制成本。国土空间规划编制提供了城市建设规划依据，有效引导未来城市建设。有效保护自然资源资产。</w:t>
            </w:r>
          </w:p>
        </w:tc>
        <w:tc>
          <w:tcPr>
            <w:tcW w:w="4677" w:type="dxa"/>
            <w:gridSpan w:val="7"/>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提升建设提供依据，引导未来城市建设：有效提升；完成国土空间（总规）规划文本数量：4；完成中心城区局部地块用地调整论证报告文本数量：4；国土空间（总规）成果验收通过率：100%；完成规划相关研究数量：10；涉及调整中心城区局部地块用地面积：19.86；奇台县国土空间（总规）规划编制进度。：2023年6月30日前完成；奇台县国土空间（总规）规划编制成本。：290；奇台县中心城区局部地块用地调整论证报告编制成本。：10</w:t>
            </w:r>
          </w:p>
        </w:tc>
      </w:tr>
      <w:tr>
        <w:tblPrEx>
          <w:tblLayout w:type="fixed"/>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tblPrEx>
          <w:tblLayout w:type="fixed"/>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完成规划相关研究数量</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&gt;=10个</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=10个</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6</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6</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涉及调整中心城区局部地块用地面积</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&gt;=19.86公顷</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=19.86公顷</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11</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11</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完成国土空间（总规）规划文本数量</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&gt;=4套</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=4套</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4</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4</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完成中心城区局部地块用地调整论证报告文本数量</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&gt;=4套</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=4套</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国土空间（总规）成果验收通过率</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9</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9</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奇台县国土空间（总规）规划编制进度。</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2023年6月30日前完成</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=2023年6月30日前完成</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奇台县国土空间（总规）规划编制成本。</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&lt;=290万元</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=290万元</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奇台县中心城区局部地块用地调整论证报告编制成本。</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&lt;=10万元</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=10万元</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提升建设提供依据，引导未来城市建设</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有效提升</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有效提升</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群众满意度（%）</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&gt;=90%</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bl>
    <w:p>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2023申请拨付年乔仁乡征地补偿费</w:t>
            </w:r>
          </w:p>
        </w:tc>
      </w:tr>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奇台县自然资源局</w:t>
            </w:r>
          </w:p>
        </w:tc>
        <w:tc>
          <w:tcPr>
            <w:tcW w:w="1275" w:type="dxa"/>
            <w:gridSpan w:val="2"/>
            <w:tcBorders>
              <w:top w:val="nil"/>
              <w:left w:val="nil"/>
              <w:bottom w:val="single" w:color="auto" w:sz="4" w:space="0"/>
              <w:right w:val="single" w:color="000000"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pPr>
              <w:jc w:val="center"/>
            </w:pPr>
            <w:r>
              <w:rPr>
                <w:rFonts w:ascii="宋体" w:hAnsi="宋体"/>
                <w:sz w:val="18"/>
              </w:rPr>
              <w:t>奇台县自然资源局</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100.00</w:t>
            </w:r>
          </w:p>
        </w:tc>
        <w:tc>
          <w:tcPr>
            <w:tcW w:w="1125"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100.00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100.00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10.00</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100.00</w:t>
            </w:r>
          </w:p>
        </w:tc>
        <w:tc>
          <w:tcPr>
            <w:tcW w:w="1125"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100.00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100.00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tblPrEx>
          <w:tblLayout w:type="fixed"/>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完成征地补偿费支付笔数1笔，征地补偿费支付完成率达到100%，征地补偿费还款准确率达到100%，征地补偿费按期支付率100%，预算支出完成率达到100%，征地补偿费资金支付率达到100%，有效保障单位良好信用，支付对象满意度达到90%。</w:t>
            </w:r>
          </w:p>
        </w:tc>
        <w:tc>
          <w:tcPr>
            <w:tcW w:w="4677" w:type="dxa"/>
            <w:gridSpan w:val="7"/>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新疆准东经济技术开发区管理委员会建设基础设施项目，位于奇台县芨芨湖城区，涉及土地补偿费4778898.75元；安置补助费12920726.25元，截至目前已拨付征地补偿款1000000元，剩余资金将逐步拨付。</w:t>
            </w:r>
          </w:p>
        </w:tc>
      </w:tr>
      <w:tr>
        <w:tblPrEx>
          <w:tblLayout w:type="fixed"/>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tblPrEx>
          <w:tblLayout w:type="fixed"/>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征地补偿费支付笔数</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=1笔</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=1笔</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征地补偿费支付完成率</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征地补偿费还款准确率</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8</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8</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征地补偿费按期支付率</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7</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7</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项目预算控制率</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保障单位良好信用</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有效保障</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有效保障</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支付对象满意度</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&gt;=90%</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bl>
    <w:p>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奇台县“互联网+”不动产平台建设项目库1</w:t>
            </w:r>
          </w:p>
        </w:tc>
      </w:tr>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奇台县自然资源局</w:t>
            </w:r>
          </w:p>
        </w:tc>
        <w:tc>
          <w:tcPr>
            <w:tcW w:w="1275" w:type="dxa"/>
            <w:gridSpan w:val="2"/>
            <w:tcBorders>
              <w:top w:val="nil"/>
              <w:left w:val="nil"/>
              <w:bottom w:val="single" w:color="auto" w:sz="4" w:space="0"/>
              <w:right w:val="single" w:color="000000"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pPr>
              <w:jc w:val="center"/>
            </w:pPr>
            <w:r>
              <w:rPr>
                <w:rFonts w:ascii="宋体" w:hAnsi="宋体"/>
                <w:sz w:val="18"/>
              </w:rPr>
              <w:t>奇台县自然资源局</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70.50</w:t>
            </w:r>
          </w:p>
        </w:tc>
        <w:tc>
          <w:tcPr>
            <w:tcW w:w="1125"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70.50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70.50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10.00</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70.50</w:t>
            </w:r>
          </w:p>
        </w:tc>
        <w:tc>
          <w:tcPr>
            <w:tcW w:w="1125"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70.50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70.50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tblPrEx>
          <w:tblLayout w:type="fixed"/>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完成344个图版数据比对和信息比对，不动产加互联网权籍管理平台建设1套、不动产加互联网信息管理平台建设1套，提高不动产登记时效，图斑数据套核标准及数据库录入100%验收入库，完成耕地“非农化”图斑套核，严格控制预算项目经济成本。完成乱占耕地图版套核。有效保护耕地红线。不动产软件使用人员满意度达到90%以上</w:t>
            </w:r>
          </w:p>
        </w:tc>
        <w:tc>
          <w:tcPr>
            <w:tcW w:w="4677" w:type="dxa"/>
            <w:gridSpan w:val="7"/>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完成344个图版数据比对和信息比对，不动产加互联网权籍管理平台建设1套、不动产加互联网信息管理平台建设1套，提高不动产登记时效，优化不动产登记、交易、纳税“一窗受理并行办理集成服务”模式，推动企业单位不动产登记“一件事”一次办，同时实现了不动产预告登记、抵押首次登记、不动产查询登记的跨省通办，不动产软件使用人员满意度达到100%。根据相关工作方案，奇台县开展耕地“非农化”图斑及乱占耕地建房摸排内业核查工作，需委托第三方技术服务单位为核查工作提供技术服务，技术单位已经完成前期数据调查、外业拍照工作，核查工作已在内网系统中基本完成（内网已关闭）。</w:t>
            </w:r>
          </w:p>
        </w:tc>
      </w:tr>
      <w:tr>
        <w:tblPrEx>
          <w:tblLayout w:type="fixed"/>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tblPrEx>
          <w:tblLayout w:type="fixed"/>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图斑数据比对和信息填报数量</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=344个</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=344个</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12</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12</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不动产登记权籍管理系统数量</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=1套</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=1套</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9</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9</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不动产统一登记信息管理平台数量</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=1套</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=1套</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图斑位置套核标准数据库验收合格率</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8</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8</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图斑套核及时率</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&gt;=90%</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6</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6</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项目预算成本控制率</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保证耕地保护红线</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有效保证</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有效保证</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使用人员满意度（%）</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&gt;=90%</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bl>
    <w:p>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奇台县实施城镇规划2023年第二批、第三批建设用地耕地开垦费</w:t>
            </w:r>
          </w:p>
        </w:tc>
      </w:tr>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奇台县自然资源局</w:t>
            </w:r>
          </w:p>
        </w:tc>
        <w:tc>
          <w:tcPr>
            <w:tcW w:w="1275" w:type="dxa"/>
            <w:gridSpan w:val="2"/>
            <w:tcBorders>
              <w:top w:val="nil"/>
              <w:left w:val="nil"/>
              <w:bottom w:val="single" w:color="auto" w:sz="4" w:space="0"/>
              <w:right w:val="single" w:color="000000"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pPr>
              <w:jc w:val="center"/>
            </w:pPr>
            <w:r>
              <w:rPr>
                <w:rFonts w:ascii="宋体" w:hAnsi="宋体"/>
                <w:sz w:val="18"/>
              </w:rPr>
              <w:t>奇台县自然资源局</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11.21</w:t>
            </w:r>
          </w:p>
        </w:tc>
        <w:tc>
          <w:tcPr>
            <w:tcW w:w="1125"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25.84</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25.84</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10.00</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11.21</w:t>
            </w:r>
          </w:p>
        </w:tc>
        <w:tc>
          <w:tcPr>
            <w:tcW w:w="1125"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25.84</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25.84</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tblPrEx>
          <w:tblLayout w:type="fixed"/>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完成项目涉及占用耕地面积37.4亩，缴纳耕地开垦费比例达到100%，耕地开垦费缴纳准确率达到100%，耕地开垦费按期支付率达到100%，预算支付完成率达到100%，有效节约集约利用土地资源，项目使用方满意度达到90%。</w:t>
            </w:r>
          </w:p>
        </w:tc>
        <w:tc>
          <w:tcPr>
            <w:tcW w:w="4677" w:type="dxa"/>
            <w:gridSpan w:val="7"/>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完成项目涉及占用耕地面积37.52亩，缴纳耕地开垦费比例达到100%，耕地开垦费缴纳准确率达到100%，耕地开垦费按期支付率达到100%，预算支付完成率达到100%，有效节约集约利用土地资源，项目使用方满意度达到90%。</w:t>
            </w:r>
          </w:p>
        </w:tc>
      </w:tr>
      <w:tr>
        <w:tblPrEx>
          <w:tblLayout w:type="fixed"/>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tblPrEx>
          <w:tblLayout w:type="fixed"/>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项目涉及占用耕地面积</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=37.40亩</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=37.52亩</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14.95</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缴纳耕地开垦费比例</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8</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8</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耕地开垦费缴纳准确率</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7</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7</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耕地开垦费按期支付率</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项目预算控制率</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经济效益指标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提升土地资源的利用</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有效提升</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有效提升</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用地单位满意度</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&gt;=90%</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99.95分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bl>
    <w:p>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建设用地土地使用权出让及耕地保护等相关工作费用</w:t>
            </w:r>
          </w:p>
        </w:tc>
      </w:tr>
      <w:tr>
        <w:tblPrEx>
          <w:tblLayout w:type="fixed"/>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3700" w:type="dxa"/>
            <w:gridSpan w:val="4"/>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奇台县自然资源局</w:t>
            </w:r>
          </w:p>
        </w:tc>
        <w:tc>
          <w:tcPr>
            <w:tcW w:w="1275" w:type="dxa"/>
            <w:gridSpan w:val="2"/>
            <w:tcBorders>
              <w:top w:val="nil"/>
              <w:left w:val="nil"/>
              <w:bottom w:val="single" w:color="auto" w:sz="4" w:space="0"/>
              <w:right w:val="single" w:color="000000"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b/>
                <w:bCs/>
                <w:color w:val="000000"/>
                <w:kern w:val="0"/>
                <w:sz w:val="18"/>
                <w:szCs w:val="18"/>
              </w:rPr>
              <w:t>实施单位</w:t>
            </w:r>
          </w:p>
        </w:tc>
        <w:tc>
          <w:tcPr>
            <w:tcW w:w="3402" w:type="dxa"/>
            <w:gridSpan w:val="5"/>
            <w:tcBorders>
              <w:top w:val="nil"/>
              <w:left w:val="nil"/>
              <w:bottom w:val="single" w:color="auto" w:sz="4" w:space="0"/>
              <w:right w:val="single" w:color="000000" w:sz="4" w:space="0"/>
            </w:tcBorders>
            <w:shd w:val="clear" w:color="auto" w:fill="auto"/>
            <w:vAlign w:val="center"/>
          </w:tcPr>
          <w:p>
            <w:pPr>
              <w:jc w:val="center"/>
            </w:pPr>
            <w:r>
              <w:rPr>
                <w:rFonts w:ascii="宋体" w:hAnsi="宋体"/>
                <w:sz w:val="18"/>
              </w:rPr>
              <w:t>奇台县自然资源局</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2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275"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20.00</w:t>
            </w:r>
          </w:p>
        </w:tc>
        <w:tc>
          <w:tcPr>
            <w:tcW w:w="1125"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20.00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100.00%</w:t>
            </w:r>
          </w:p>
        </w:tc>
        <w:tc>
          <w:tcPr>
            <w:tcW w:w="127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10.00</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20.00</w:t>
            </w:r>
          </w:p>
        </w:tc>
        <w:tc>
          <w:tcPr>
            <w:tcW w:w="1125"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20.00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1125"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0.00</w:t>
            </w:r>
          </w:p>
        </w:tc>
        <w:tc>
          <w:tcPr>
            <w:tcW w:w="1275"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0.00</w:t>
            </w:r>
          </w:p>
        </w:tc>
        <w:tc>
          <w:tcPr>
            <w:tcW w:w="1134"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93"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tblPrEx>
          <w:tblLayout w:type="fixed"/>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07" w:type="dxa"/>
            <w:gridSpan w:val="5"/>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77"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tblPrEx>
          <w:tblLayout w:type="fixed"/>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4407" w:type="dxa"/>
            <w:gridSpan w:val="5"/>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完成发布2021年土地出让公告28宗地，完成涉及案件诉讼土地测绘评估3宗地，土地出让公告挂牌信息准确率达到90%，土地出让公告挂牌及时率大于等于90%，预算执行控制率达到100%，有效保障土地出让信息的公开，促使土地出让市场的公平竞争。受益对象满意度达到80%。</w:t>
            </w:r>
          </w:p>
        </w:tc>
        <w:tc>
          <w:tcPr>
            <w:tcW w:w="4677" w:type="dxa"/>
            <w:gridSpan w:val="7"/>
            <w:tcBorders>
              <w:top w:val="single" w:color="auto" w:sz="4" w:space="0"/>
              <w:left w:val="nil"/>
              <w:bottom w:val="single" w:color="auto" w:sz="4" w:space="0"/>
              <w:right w:val="single" w:color="000000" w:sz="4" w:space="0"/>
            </w:tcBorders>
            <w:shd w:val="clear" w:color="auto" w:fill="auto"/>
          </w:tcPr>
          <w:p>
            <w:pPr>
              <w:jc w:val="left"/>
            </w:pPr>
            <w:r>
              <w:rPr>
                <w:rFonts w:ascii="宋体" w:hAnsi="宋体"/>
                <w:sz w:val="18"/>
              </w:rPr>
              <w:t>依据《招标拍卖挂牌出让国有土地使用权规定》和2023年国有建设用地供应计划，严格落实土地出让程序，发布国有建设用地使用权出让公告，按时足额收取国有建设用地出让的土地出让金，2023年全年共收缴土地出让金19326.6261万元，2023年完成发布土地出让公告32宗地，完成涉及案件诉讼土地测绘评估3宗地，有效保障土地出让信息的公开，促使土地出让市场的公平竞争。</w:t>
            </w:r>
          </w:p>
        </w:tc>
      </w:tr>
      <w:tr>
        <w:tblPrEx>
          <w:tblLayout w:type="fixed"/>
          <w:tblCellMar>
            <w:top w:w="0" w:type="dxa"/>
            <w:left w:w="108" w:type="dxa"/>
            <w:bottom w:w="0" w:type="dxa"/>
            <w:right w:w="108" w:type="dxa"/>
          </w:tblCellMar>
        </w:tblPrEx>
        <w:trPr>
          <w:cantSplit/>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25"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29"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tblPrEx>
          <w:tblLayout w:type="fixed"/>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r>
      <w:tr>
        <w:tblPrEx>
          <w:tblLayout w:type="fixed"/>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产出指标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2021年土地出让公告涉及宗地数</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=28宗</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=32宗</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15</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12.86</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偏差原因：2023年在县委县政府领导下，奇台县大力开展招商引资，促进奇台县经济发展。因此奇台县国有建设用地使用权出让项目增加，出让公告宗数比预计增加，实际发布出让公告32宗。改进措施：在今后的建设用地使用权出让工作中，多考虑奇台县发展实际，更加综合全面的估计公告宗数。</w:t>
            </w: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涉及诉讼案件宗地评估费的数量</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=3宗</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=3宗</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3</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3</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土地出让公告挂牌信息准确率</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&gt;=90%</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土地出让公告挂牌及时率</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&gt;=90%</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12</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12</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成本指标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预算执行控制率</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效益指标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保障土地出让信息的公开</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有效保障</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有效保障</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20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7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pPr>
              <w:jc w:val="center"/>
            </w:pPr>
            <w:r>
              <w:rPr>
                <w:rFonts w:ascii="宋体" w:hAnsi="宋体"/>
                <w:sz w:val="18"/>
              </w:rPr>
              <w:t>受益对象满意度（%）</w:t>
            </w:r>
          </w:p>
        </w:tc>
        <w:tc>
          <w:tcPr>
            <w:tcW w:w="1125"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&gt;=92%</w:t>
            </w:r>
          </w:p>
        </w:tc>
        <w:tc>
          <w:tcPr>
            <w:tcW w:w="1229"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=92%</w:t>
            </w:r>
          </w:p>
        </w:tc>
        <w:tc>
          <w:tcPr>
            <w:tcW w:w="755"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709" w:type="dxa"/>
            <w:gridSpan w:val="2"/>
            <w:tcBorders>
              <w:top w:val="single" w:color="auto" w:sz="4" w:space="0"/>
              <w:left w:val="nil"/>
              <w:bottom w:val="single" w:color="auto" w:sz="4" w:space="0"/>
              <w:right w:val="single" w:color="000000" w:sz="4" w:space="0"/>
            </w:tcBorders>
            <w:shd w:val="clear" w:color="auto" w:fill="auto"/>
            <w:vAlign w:val="center"/>
          </w:tcPr>
          <w:p>
            <w:pPr>
              <w:jc w:val="center"/>
            </w:pPr>
            <w:r>
              <w:rPr>
                <w:rFonts w:ascii="宋体" w:hAnsi="宋体"/>
                <w:sz w:val="18"/>
              </w:rPr>
              <w:t>10</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r>
        <w:tblPrEx>
          <w:tblLayout w:type="fixed"/>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jc w:val="center"/>
            </w:pPr>
            <w:r>
              <w:rPr>
                <w:rFonts w:ascii="宋体" w:hAnsi="宋体"/>
                <w:sz w:val="18"/>
              </w:rPr>
              <w:t>总分</w:t>
            </w:r>
          </w:p>
        </w:tc>
        <w:tc>
          <w:tcPr>
            <w:tcW w:w="755"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09" w:type="dxa"/>
            <w:gridSpan w:val="2"/>
            <w:tcBorders>
              <w:top w:val="single" w:color="auto" w:sz="4" w:space="0"/>
              <w:left w:val="nil"/>
              <w:bottom w:val="single" w:color="auto" w:sz="4" w:space="0"/>
              <w:right w:val="single" w:color="auto" w:sz="4" w:space="0"/>
            </w:tcBorders>
            <w:shd w:val="clear" w:color="auto" w:fill="auto"/>
            <w:vAlign w:val="center"/>
          </w:tcPr>
          <w:p>
            <w:pPr>
              <w:jc w:val="center"/>
            </w:pPr>
            <w:r>
              <w:rPr>
                <w:rFonts w:ascii="宋体" w:hAnsi="宋体"/>
                <w:sz w:val="18"/>
              </w:rPr>
              <w:t>97.86分</w:t>
            </w:r>
          </w:p>
        </w:tc>
        <w:tc>
          <w:tcPr>
            <w:tcW w:w="1984" w:type="dxa"/>
            <w:gridSpan w:val="2"/>
            <w:tcBorders>
              <w:top w:val="single" w:color="auto" w:sz="4" w:space="0"/>
              <w:left w:val="nil"/>
              <w:bottom w:val="single" w:color="auto" w:sz="4" w:space="0"/>
              <w:right w:val="single" w:color="auto" w:sz="4" w:space="0"/>
            </w:tcBorders>
            <w:shd w:val="clear" w:color="auto" w:fill="auto"/>
            <w:vAlign w:val="center"/>
          </w:tcPr>
          <w:p>
            <w:pPr>
              <w:jc w:val="center"/>
            </w:pPr>
          </w:p>
        </w:tc>
      </w:tr>
    </w:tbl>
    <w:p>
      <w:pPr>
        <w:jc w:val="left"/>
        <w:rPr>
          <w:rFonts w:hint="eastAsia" w:ascii="仿宋_GB2312" w:hAnsi="仿宋_GB2312" w:eastAsia="仿宋_GB2312" w:cs="仿宋_GB2312"/>
          <w:kern w:val="0"/>
          <w:sz w:val="32"/>
          <w:szCs w:val="32"/>
        </w:rPr>
      </w:pPr>
    </w:p>
    <w:p>
      <w:pPr>
        <w:ind w:firstLine="640" w:firstLineChars="200"/>
        <w:jc w:val="left"/>
        <w:rPr>
          <w:rFonts w:hint="eastAsia" w:ascii="黑体" w:hAnsi="黑体" w:eastAsia="黑体" w:cs="宋体"/>
          <w:bCs/>
          <w:kern w:val="0"/>
          <w:sz w:val="32"/>
          <w:szCs w:val="32"/>
        </w:rPr>
      </w:pPr>
      <w:r>
        <w:rPr>
          <w:rFonts w:hint="eastAsia" w:ascii="黑体" w:hAnsi="黑体" w:eastAsia="黑体" w:cs="宋体"/>
          <w:bCs/>
          <w:kern w:val="0"/>
          <w:sz w:val="32"/>
          <w:szCs w:val="32"/>
        </w:rPr>
        <w:t>十二、其他需说明的事项</w:t>
      </w:r>
    </w:p>
    <w:p>
      <w:pPr>
        <w:ind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本单位无其他需说明事项。</w:t>
      </w:r>
    </w:p>
    <w:p>
      <w:pPr>
        <w:jc w:val="center"/>
        <w:outlineLvl w:val="0"/>
        <w:rPr>
          <w:rFonts w:hint="eastAsia" w:ascii="黑体" w:hAnsi="黑体" w:eastAsia="黑体"/>
          <w:sz w:val="32"/>
          <w:szCs w:val="32"/>
        </w:rPr>
      </w:pPr>
      <w:bookmarkStart w:id="31" w:name="_Toc24143"/>
      <w:bookmarkStart w:id="32" w:name="_Toc3250"/>
      <w:r>
        <w:rPr>
          <w:rFonts w:hint="eastAsia" w:ascii="黑体" w:hAnsi="黑体" w:eastAsia="黑体"/>
          <w:sz w:val="32"/>
          <w:szCs w:val="32"/>
        </w:rPr>
        <w:br w:type="page"/>
      </w:r>
      <w:r>
        <w:rPr>
          <w:rFonts w:hint="eastAsia" w:ascii="黑体" w:hAnsi="黑体" w:eastAsia="黑体"/>
          <w:sz w:val="32"/>
          <w:szCs w:val="32"/>
        </w:rPr>
        <w:t>第三部分 专业名词解释</w:t>
      </w:r>
      <w:bookmarkEnd w:id="31"/>
      <w:bookmarkEnd w:id="32"/>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pPr>
        <w:ind w:firstLine="640" w:firstLineChars="200"/>
        <w:jc w:val="center"/>
        <w:outlineLvl w:val="0"/>
        <w:rPr>
          <w:rFonts w:hint="eastAsia"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pPr>
        <w:ind w:firstLine="640" w:firstLineChars="200"/>
        <w:outlineLvl w:val="1"/>
        <w:rPr>
          <w:rFonts w:hint="eastAsia" w:ascii="黑体" w:hAnsi="黑体" w:eastAsia="仿宋_GB2312" w:cs="宋体"/>
          <w:bCs/>
          <w:kern w:val="0"/>
          <w:sz w:val="32"/>
          <w:szCs w:val="32"/>
        </w:rPr>
      </w:pPr>
      <w:bookmarkStart w:id="33" w:name="_Toc6062"/>
      <w:bookmarkStart w:id="34" w:name="_Toc2183"/>
      <w:r>
        <w:rPr>
          <w:rFonts w:hint="eastAsia" w:ascii="黑体" w:hAnsi="黑体" w:eastAsia="仿宋_GB2312" w:cs="宋体"/>
          <w:bCs/>
          <w:kern w:val="0"/>
          <w:sz w:val="32"/>
          <w:szCs w:val="32"/>
        </w:rPr>
        <w:t>一、《收入支出决算总表》</w:t>
      </w:r>
      <w:bookmarkEnd w:id="33"/>
      <w:bookmarkEnd w:id="34"/>
    </w:p>
    <w:p>
      <w:pPr>
        <w:ind w:firstLine="640" w:firstLineChars="200"/>
        <w:outlineLvl w:val="1"/>
        <w:rPr>
          <w:rFonts w:hint="eastAsia" w:ascii="黑体" w:hAnsi="黑体" w:eastAsia="仿宋_GB2312" w:cs="宋体"/>
          <w:bCs/>
          <w:kern w:val="0"/>
          <w:sz w:val="32"/>
          <w:szCs w:val="32"/>
        </w:rPr>
      </w:pPr>
      <w:bookmarkStart w:id="35" w:name="_Toc30364"/>
      <w:bookmarkStart w:id="36" w:name="_Toc24532"/>
      <w:r>
        <w:rPr>
          <w:rFonts w:hint="eastAsia" w:ascii="黑体" w:hAnsi="黑体" w:eastAsia="仿宋_GB2312" w:cs="宋体"/>
          <w:bCs/>
          <w:kern w:val="0"/>
          <w:sz w:val="32"/>
          <w:szCs w:val="32"/>
        </w:rPr>
        <w:t>二、《收入决算表》</w:t>
      </w:r>
      <w:bookmarkEnd w:id="35"/>
      <w:bookmarkEnd w:id="36"/>
    </w:p>
    <w:p>
      <w:pPr>
        <w:ind w:firstLine="640" w:firstLineChars="200"/>
        <w:outlineLvl w:val="1"/>
        <w:rPr>
          <w:rFonts w:hint="eastAsia" w:ascii="黑体" w:hAnsi="黑体" w:eastAsia="仿宋_GB2312" w:cs="宋体"/>
          <w:bCs/>
          <w:kern w:val="0"/>
          <w:sz w:val="32"/>
          <w:szCs w:val="32"/>
        </w:rPr>
      </w:pPr>
      <w:bookmarkStart w:id="37" w:name="_Toc32434"/>
      <w:bookmarkStart w:id="38" w:name="_Toc21304"/>
      <w:r>
        <w:rPr>
          <w:rFonts w:hint="eastAsia" w:ascii="黑体" w:hAnsi="黑体" w:eastAsia="仿宋_GB2312" w:cs="宋体"/>
          <w:bCs/>
          <w:kern w:val="0"/>
          <w:sz w:val="32"/>
          <w:szCs w:val="32"/>
        </w:rPr>
        <w:t>三、《支出决算表》</w:t>
      </w:r>
      <w:bookmarkEnd w:id="37"/>
      <w:bookmarkEnd w:id="38"/>
    </w:p>
    <w:p>
      <w:pPr>
        <w:ind w:firstLine="640" w:firstLineChars="200"/>
        <w:outlineLvl w:val="1"/>
        <w:rPr>
          <w:rFonts w:hint="eastAsia" w:ascii="黑体" w:hAnsi="黑体" w:eastAsia="仿宋_GB2312" w:cs="宋体"/>
          <w:bCs/>
          <w:kern w:val="0"/>
          <w:sz w:val="32"/>
          <w:szCs w:val="32"/>
        </w:rPr>
      </w:pPr>
      <w:bookmarkStart w:id="39" w:name="_Toc28786"/>
      <w:bookmarkStart w:id="40" w:name="_Toc14238"/>
      <w:r>
        <w:rPr>
          <w:rFonts w:hint="eastAsia" w:ascii="黑体" w:hAnsi="黑体" w:eastAsia="仿宋_GB2312" w:cs="宋体"/>
          <w:bCs/>
          <w:kern w:val="0"/>
          <w:sz w:val="32"/>
          <w:szCs w:val="32"/>
        </w:rPr>
        <w:t>四、《财政拨款收入支出决算总表》</w:t>
      </w:r>
      <w:bookmarkEnd w:id="39"/>
      <w:bookmarkEnd w:id="40"/>
    </w:p>
    <w:p>
      <w:pPr>
        <w:ind w:firstLine="640" w:firstLineChars="200"/>
        <w:outlineLvl w:val="1"/>
        <w:rPr>
          <w:rFonts w:hint="eastAsia" w:ascii="黑体" w:hAnsi="黑体" w:eastAsia="仿宋_GB2312" w:cs="宋体"/>
          <w:bCs/>
          <w:kern w:val="0"/>
          <w:sz w:val="32"/>
          <w:szCs w:val="32"/>
        </w:rPr>
      </w:pPr>
      <w:bookmarkStart w:id="41" w:name="_Toc14869"/>
      <w:bookmarkStart w:id="42" w:name="_Toc10347"/>
      <w:r>
        <w:rPr>
          <w:rFonts w:hint="eastAsia" w:ascii="黑体" w:hAnsi="黑体" w:eastAsia="仿宋_GB2312" w:cs="宋体"/>
          <w:bCs/>
          <w:kern w:val="0"/>
          <w:sz w:val="32"/>
          <w:szCs w:val="32"/>
        </w:rPr>
        <w:t>五、《一般公共预算财政拨款支出决算表》</w:t>
      </w:r>
      <w:bookmarkEnd w:id="41"/>
      <w:bookmarkEnd w:id="42"/>
    </w:p>
    <w:p>
      <w:pPr>
        <w:ind w:firstLine="640" w:firstLineChars="200"/>
        <w:outlineLvl w:val="1"/>
        <w:rPr>
          <w:rFonts w:hint="eastAsia" w:ascii="黑体" w:hAnsi="黑体" w:eastAsia="仿宋_GB2312" w:cs="宋体"/>
          <w:bCs/>
          <w:kern w:val="0"/>
          <w:sz w:val="32"/>
          <w:szCs w:val="32"/>
        </w:rPr>
      </w:pPr>
      <w:bookmarkStart w:id="43" w:name="_Toc8884"/>
      <w:bookmarkStart w:id="44" w:name="_Toc5626"/>
      <w:r>
        <w:rPr>
          <w:rFonts w:hint="eastAsia" w:ascii="黑体" w:hAnsi="黑体" w:eastAsia="仿宋_GB2312" w:cs="宋体"/>
          <w:bCs/>
          <w:kern w:val="0"/>
          <w:sz w:val="32"/>
          <w:szCs w:val="32"/>
        </w:rPr>
        <w:t>六、《一般公共预算财政拨款基本支出决算表》</w:t>
      </w:r>
      <w:bookmarkEnd w:id="43"/>
      <w:bookmarkEnd w:id="44"/>
    </w:p>
    <w:p>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七、</w:t>
      </w:r>
      <w:bookmarkStart w:id="45" w:name="_Toc32663"/>
      <w:bookmarkStart w:id="46" w:name="_Toc29106"/>
      <w:r>
        <w:rPr>
          <w:rFonts w:hint="eastAsia" w:ascii="黑体" w:hAnsi="黑体" w:eastAsia="仿宋_GB2312" w:cs="宋体"/>
          <w:bCs/>
          <w:kern w:val="0"/>
          <w:sz w:val="32"/>
          <w:szCs w:val="32"/>
        </w:rPr>
        <w:t>《财政拨款“三公”经费支出决算表》</w:t>
      </w:r>
      <w:bookmarkEnd w:id="45"/>
      <w:bookmarkEnd w:id="46"/>
    </w:p>
    <w:p>
      <w:pPr>
        <w:ind w:firstLine="640" w:firstLineChars="200"/>
        <w:outlineLvl w:val="1"/>
        <w:rPr>
          <w:rFonts w:hint="eastAsia" w:ascii="黑体" w:hAnsi="黑体" w:eastAsia="仿宋_GB2312" w:cs="宋体"/>
          <w:bCs/>
          <w:kern w:val="0"/>
          <w:sz w:val="32"/>
          <w:szCs w:val="32"/>
        </w:rPr>
      </w:pPr>
      <w:bookmarkStart w:id="47" w:name="_Toc5453"/>
      <w:bookmarkStart w:id="48" w:name="_Toc7643"/>
      <w:r>
        <w:rPr>
          <w:rFonts w:hint="eastAsia" w:ascii="黑体" w:hAnsi="黑体" w:eastAsia="仿宋_GB2312" w:cs="宋体"/>
          <w:bCs/>
          <w:kern w:val="0"/>
          <w:sz w:val="32"/>
          <w:szCs w:val="32"/>
        </w:rPr>
        <w:t>八、《政府性基金预算财政拨款收入支出决算表》</w:t>
      </w:r>
      <w:bookmarkEnd w:id="47"/>
      <w:bookmarkEnd w:id="48"/>
    </w:p>
    <w:p>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pPr>
        <w:ind w:firstLine="640" w:firstLineChars="200"/>
        <w:rPr>
          <w:rFonts w:ascii="仿宋_GB2312" w:eastAsia="仿宋_GB2312"/>
          <w:sz w:val="32"/>
          <w:szCs w:val="32"/>
        </w:rPr>
      </w:pPr>
    </w:p>
    <w:p>
      <w:pPr>
        <w:ind w:firstLine="640" w:firstLineChars="200"/>
        <w:outlineLvl w:val="1"/>
        <w:rPr>
          <w:rFonts w:hint="eastAsia"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zql5uc8AAAAFAQAADwAAAAAAAAABACAAAAAiAAAAZHJzL2Rvd25yZXYueG1sUEsBAhQAFAAAAAgA&#10;h07iQBbUj9C8AQAAZAMAAA4AAAAAAAAAAQAgAAAAHgEAAGRycy9lMm9Eb2MueG1sUEsFBgAAAAAG&#10;AAYAWQEAAEwFAAAAAA==&#10;">
              <v:fill on="f" focussize="0,0"/>
              <v:stroke on="f"/>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YwYmJhZjc0NGViYWI2MzA4ODc2NzVjMTUwODc4MTAifQ=="/>
    <w:docVar w:name="KSO_WPS_MARK_KEY" w:val="41ee2a61-2d54-4f93-83be-afdb9a40d732"/>
  </w:docVars>
  <w:rsids>
    <w:rsidRoot w:val="00F943E1"/>
    <w:rsid w:val="0004575C"/>
    <w:rsid w:val="001238D9"/>
    <w:rsid w:val="00213C59"/>
    <w:rsid w:val="003210CE"/>
    <w:rsid w:val="00351307"/>
    <w:rsid w:val="004C77B2"/>
    <w:rsid w:val="00534283"/>
    <w:rsid w:val="007700DF"/>
    <w:rsid w:val="00781B61"/>
    <w:rsid w:val="00813695"/>
    <w:rsid w:val="009947F2"/>
    <w:rsid w:val="00A22117"/>
    <w:rsid w:val="00A73623"/>
    <w:rsid w:val="00B10D27"/>
    <w:rsid w:val="00B70D59"/>
    <w:rsid w:val="00BB3746"/>
    <w:rsid w:val="00DE5C84"/>
    <w:rsid w:val="00F12A4B"/>
    <w:rsid w:val="00F52A8D"/>
    <w:rsid w:val="00F943E1"/>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63169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BF81C4E"/>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40734"/>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C32B0E"/>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9">
    <w:name w:val="Normal Table"/>
    <w:semiHidden/>
    <w:unhideWhenUsed/>
    <w:uiPriority w:val="99"/>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link w:val="16"/>
    <w:qFormat/>
    <w:uiPriority w:val="99"/>
    <w:pPr>
      <w:tabs>
        <w:tab w:val="center" w:pos="4153"/>
        <w:tab w:val="right" w:pos="8306"/>
      </w:tabs>
      <w:snapToGrid w:val="0"/>
      <w:jc w:val="left"/>
    </w:pPr>
    <w:rPr>
      <w:sz w:val="18"/>
    </w:rPr>
  </w:style>
  <w:style w:type="paragraph" w:styleId="5">
    <w:name w:val="header"/>
    <w:basedOn w:val="1"/>
    <w:link w:val="15"/>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 w:type="character" w:customStyle="1" w:styleId="15">
    <w:name w:val="页眉 字符"/>
    <w:basedOn w:val="10"/>
    <w:link w:val="5"/>
    <w:qFormat/>
    <w:uiPriority w:val="99"/>
    <w:rPr>
      <w:kern w:val="2"/>
      <w:sz w:val="18"/>
      <w:szCs w:val="24"/>
    </w:rPr>
  </w:style>
  <w:style w:type="character" w:customStyle="1" w:styleId="16">
    <w:name w:val="页脚 字符"/>
    <w:basedOn w:val="10"/>
    <w:link w:val="4"/>
    <w:qFormat/>
    <w:uiPriority w:val="99"/>
    <w:rPr>
      <w:kern w:val="2"/>
      <w:sz w:val="18"/>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36</Pages>
  <Words>12552</Words>
  <Characters>14832</Characters>
  <Lines>154</Lines>
  <Paragraphs>43</Paragraphs>
  <TotalTime>5</TotalTime>
  <ScaleCrop>false</ScaleCrop>
  <LinksUpToDate>false</LinksUpToDate>
  <CharactersWithSpaces>14841</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dcterms:modified xsi:type="dcterms:W3CDTF">2025-06-13T04:44:37Z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D624B15633CD43C8BF9435464A96BF70</vt:lpwstr>
  </property>
  <property fmtid="{D5CDD505-2E9C-101B-9397-08002B2CF9AE}" pid="4" name="KSOTemplateDocerSaveRecord">
    <vt:lpwstr>eyJoZGlkIjoiYTExMmU2NGI5NWIyMWVkODBmODUyZmIwZDMzNTk5NDYiLCJ1c2VySWQiOiIzNDc3NzgyOTgifQ==</vt:lpwstr>
  </property>
</Properties>
</file>