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FAB42C">
      <w:pPr>
        <w:rPr>
          <w:rFonts w:hint="eastAsia" w:ascii="黑体" w:hAnsi="黑体" w:eastAsia="黑体"/>
          <w:sz w:val="32"/>
          <w:szCs w:val="32"/>
        </w:rPr>
      </w:pPr>
    </w:p>
    <w:p w14:paraId="70DECA35">
      <w:pPr>
        <w:jc w:val="center"/>
        <w:rPr>
          <w:rFonts w:hint="eastAsia" w:ascii="方正小标宋_GBK" w:hAnsi="宋体" w:eastAsia="方正小标宋_GBK"/>
          <w:sz w:val="44"/>
          <w:szCs w:val="44"/>
        </w:rPr>
      </w:pPr>
    </w:p>
    <w:p w14:paraId="2E00455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奇台县古城乡中心幼儿园</w:t>
      </w:r>
    </w:p>
    <w:p w14:paraId="5B72199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434B912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450CC8A8">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167AAB0D">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bookmarkStart w:id="49" w:name="_GoBack"/>
      <w:bookmarkEnd w:id="49"/>
    </w:p>
    <w:p w14:paraId="7B00D947">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A9C648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0CC9E3C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3833A3AE">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01B1D0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B34A48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D99925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790A4C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230EE3A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0D3F4FD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0E68EF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3808A6B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3EF0079B">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960925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28DABC9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A81D46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1BE74A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28EAA9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634822F">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773188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58173A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23F6BE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61B04F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5992F5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0BB349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78DD600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FBA620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C4EC2A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48EC8BA">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4B760A9">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7A040C1B">
      <w:r>
        <w:rPr>
          <w:rFonts w:hint="eastAsia" w:ascii="仿宋_GB2312" w:hAnsi="仿宋_GB2312" w:eastAsia="仿宋_GB2312" w:cs="仿宋_GB2312"/>
          <w:sz w:val="32"/>
          <w:szCs w:val="32"/>
        </w:rPr>
        <w:fldChar w:fldCharType="end"/>
      </w:r>
    </w:p>
    <w:p w14:paraId="08516A6A">
      <w:pPr>
        <w:rPr>
          <w:rFonts w:ascii="仿宋_GB2312" w:eastAsia="仿宋_GB2312"/>
          <w:sz w:val="32"/>
          <w:szCs w:val="32"/>
        </w:rPr>
      </w:pPr>
      <w:r>
        <w:rPr>
          <w:rFonts w:hint="eastAsia" w:ascii="仿宋_GB2312" w:eastAsia="仿宋_GB2312"/>
          <w:sz w:val="32"/>
          <w:szCs w:val="32"/>
        </w:rPr>
        <w:br w:type="page"/>
      </w:r>
    </w:p>
    <w:p w14:paraId="366C08B3">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9968A99">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327DB81A">
      <w:pPr>
        <w:shd w:val="clear" w:color="auto" w:fill="FFFFFF"/>
        <w:autoSpaceDE w:val="0"/>
        <w:autoSpaceDN w:val="0"/>
        <w:adjustRightInd w:val="0"/>
        <w:spacing w:line="360" w:lineRule="auto"/>
        <w:ind w:firstLine="640"/>
        <w:rPr>
          <w:rFonts w:ascii="仿宋_GB2312" w:eastAsia="仿宋_GB2312" w:cs="仿宋_GB2312"/>
          <w:kern w:val="0"/>
          <w:sz w:val="32"/>
          <w:szCs w:val="32"/>
        </w:rPr>
      </w:pPr>
      <w:r>
        <w:rPr>
          <w:rFonts w:hint="eastAsia" w:ascii="仿宋_GB2312" w:eastAsia="仿宋_GB2312" w:cs="仿宋_GB2312"/>
          <w:kern w:val="0"/>
          <w:sz w:val="32"/>
          <w:szCs w:val="32"/>
        </w:rPr>
        <w:t>我园主要职责是实施幼儿教育，促进幼儿的德智体美全面发展，在幼儿一日活动中确保幼儿的安全，使幼儿积极主动的投入到学习和生活中，加强教师自身技能和专业知识的积累，促进教师自我全面发展，做好家园联系工作，促进学前教育事业发展。</w:t>
      </w:r>
    </w:p>
    <w:p w14:paraId="4CEAAA28">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18EA828">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奇台县古城乡中心幼儿园2023年度，实有人数</w:t>
      </w:r>
      <w:r>
        <w:rPr>
          <w:rFonts w:hint="eastAsia" w:ascii="仿宋_GB2312" w:eastAsia="仿宋_GB2312"/>
          <w:sz w:val="32"/>
          <w:szCs w:val="32"/>
          <w:lang w:val="zh-CN"/>
        </w:rPr>
        <w:t>48</w:t>
      </w:r>
      <w:r>
        <w:rPr>
          <w:rFonts w:hint="eastAsia" w:ascii="仿宋_GB2312" w:eastAsia="仿宋_GB2312"/>
          <w:sz w:val="32"/>
          <w:szCs w:val="32"/>
        </w:rPr>
        <w:t>人，其中：在职人员</w:t>
      </w:r>
      <w:r>
        <w:rPr>
          <w:rFonts w:hint="eastAsia" w:ascii="仿宋_GB2312" w:eastAsia="仿宋_GB2312"/>
          <w:sz w:val="32"/>
          <w:szCs w:val="32"/>
          <w:lang w:val="zh-CN"/>
        </w:rPr>
        <w:t>47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w:t>
      </w:r>
      <w:r>
        <w:rPr>
          <w:rFonts w:hint="eastAsia" w:ascii="仿宋_GB2312" w:eastAsia="仿宋_GB2312"/>
          <w:sz w:val="32"/>
          <w:szCs w:val="32"/>
        </w:rPr>
        <w:t>人。</w:t>
      </w:r>
    </w:p>
    <w:p w14:paraId="7DEA60A9">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仿宋_GB2312" w:eastAsia="仿宋_GB2312" w:cs="仿宋_GB2312"/>
          <w:kern w:val="0"/>
          <w:sz w:val="32"/>
          <w:szCs w:val="32"/>
          <w:lang w:bidi="ar"/>
        </w:rPr>
        <w:t>教务处、德育处、总务处、团委、办公室、保健室</w:t>
      </w:r>
      <w:r>
        <w:rPr>
          <w:rFonts w:hint="eastAsia" w:ascii="仿宋_GB2312" w:hAnsi="宋体" w:eastAsia="仿宋_GB2312" w:cs="宋体"/>
          <w:kern w:val="0"/>
          <w:sz w:val="32"/>
          <w:szCs w:val="32"/>
        </w:rPr>
        <w:t>。</w:t>
      </w:r>
    </w:p>
    <w:p w14:paraId="25687FA6">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34F5C8EA">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4298908">
      <w:pPr>
        <w:ind w:firstLine="640" w:firstLineChars="200"/>
        <w:jc w:val="left"/>
        <w:rPr>
          <w:rFonts w:ascii="仿宋_GB2312" w:eastAsia="仿宋_GB2312"/>
          <w:sz w:val="32"/>
          <w:szCs w:val="32"/>
        </w:rPr>
      </w:pPr>
      <w:r>
        <w:rPr>
          <w:rFonts w:hint="eastAsia" w:ascii="仿宋_GB2312" w:eastAsia="仿宋_GB2312"/>
          <w:sz w:val="32"/>
          <w:szCs w:val="32"/>
        </w:rPr>
        <w:t>2023年度收入总计1,048.62万元，其中：本年收入合计1,044.30万元，使用非财政拨款结余0.00万元，年初结转和结余4.32万元。</w:t>
      </w:r>
    </w:p>
    <w:p w14:paraId="587AD172">
      <w:pPr>
        <w:ind w:firstLine="640" w:firstLineChars="200"/>
        <w:jc w:val="left"/>
        <w:rPr>
          <w:rFonts w:ascii="仿宋_GB2312" w:eastAsia="仿宋_GB2312"/>
          <w:sz w:val="32"/>
          <w:szCs w:val="32"/>
        </w:rPr>
      </w:pPr>
      <w:r>
        <w:rPr>
          <w:rFonts w:hint="eastAsia" w:ascii="仿宋_GB2312" w:eastAsia="仿宋_GB2312"/>
          <w:sz w:val="32"/>
          <w:szCs w:val="32"/>
        </w:rPr>
        <w:t>2023年度支出总计1,048.62万元，其中：本年支出合计1,044.30万元，结余分配0.00万元，年末结转和结余4.32万元。</w:t>
      </w:r>
    </w:p>
    <w:p w14:paraId="7AC1DE93">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减少45.47万元</w:t>
      </w:r>
      <w:r>
        <w:rPr>
          <w:rFonts w:hint="eastAsia" w:ascii="仿宋_GB2312" w:eastAsia="仿宋_GB2312"/>
          <w:sz w:val="32"/>
          <w:szCs w:val="32"/>
        </w:rPr>
        <w:t>，下降4.16%，主要原因是：</w:t>
      </w:r>
      <w:r>
        <w:rPr>
          <w:rFonts w:hint="eastAsia" w:ascii="仿宋_GB2312" w:hAnsi="仿宋_GB2312" w:eastAsia="仿宋_GB2312" w:cs="仿宋_GB2312"/>
          <w:sz w:val="32"/>
          <w:szCs w:val="32"/>
        </w:rPr>
        <w:t>本年我单位校园</w:t>
      </w:r>
      <w:r>
        <w:rPr>
          <w:rFonts w:hint="eastAsia" w:ascii="仿宋_GB2312" w:eastAsia="仿宋_GB2312"/>
          <w:sz w:val="32"/>
          <w:szCs w:val="32"/>
        </w:rPr>
        <w:t>维修（护）费较上年减少。</w:t>
      </w:r>
    </w:p>
    <w:p w14:paraId="7A849746">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4BAC4B98">
      <w:pPr>
        <w:ind w:firstLine="640" w:firstLineChars="200"/>
        <w:jc w:val="left"/>
        <w:rPr>
          <w:rFonts w:ascii="仿宋_GB2312" w:eastAsia="仿宋_GB2312"/>
          <w:sz w:val="32"/>
          <w:szCs w:val="32"/>
        </w:rPr>
      </w:pPr>
      <w:r>
        <w:rPr>
          <w:rFonts w:hint="eastAsia" w:ascii="仿宋_GB2312" w:eastAsia="仿宋_GB2312"/>
          <w:sz w:val="32"/>
          <w:szCs w:val="32"/>
        </w:rPr>
        <w:t>本年收入1,044.30万元，其中：财政拨款收入</w:t>
      </w:r>
      <w:r>
        <w:rPr>
          <w:rFonts w:hint="eastAsia" w:ascii="仿宋_GB2312" w:eastAsia="仿宋_GB2312"/>
          <w:sz w:val="32"/>
          <w:szCs w:val="32"/>
          <w:lang w:val="zh-CN"/>
        </w:rPr>
        <w:t>1,044.29</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0.02</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2BDCE71A">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549AA4F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本年支出1,044.30万元，其中：基本支出1,044.30万元，占100.00%；项目支出0.00万元，占0.00%；上缴上级支出0.00万元，占0.00%；经营支出0.00万元，占0.00%；对附属单位补助支出0.00万元，占0.00%。</w:t>
      </w:r>
    </w:p>
    <w:p w14:paraId="4BB76D60">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56EBC6F4">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1,048.61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4.32</w:t>
      </w:r>
      <w:r>
        <w:rPr>
          <w:rFonts w:hint="eastAsia" w:ascii="仿宋_GB2312" w:eastAsia="仿宋_GB2312"/>
          <w:sz w:val="32"/>
          <w:szCs w:val="32"/>
        </w:rPr>
        <w:t>万元，本年财政拨款收入</w:t>
      </w:r>
      <w:r>
        <w:rPr>
          <w:rFonts w:hint="eastAsia" w:ascii="仿宋_GB2312" w:eastAsia="仿宋_GB2312"/>
          <w:sz w:val="32"/>
          <w:szCs w:val="32"/>
          <w:lang w:val="zh-CN"/>
        </w:rPr>
        <w:t>1,044.29</w:t>
      </w:r>
      <w:r>
        <w:rPr>
          <w:rFonts w:hint="eastAsia" w:ascii="仿宋_GB2312" w:eastAsia="仿宋_GB2312"/>
          <w:sz w:val="32"/>
          <w:szCs w:val="32"/>
        </w:rPr>
        <w:t>万元。财政拨款支出总计</w:t>
      </w:r>
      <w:r>
        <w:rPr>
          <w:rFonts w:hint="eastAsia" w:ascii="仿宋_GB2312" w:eastAsia="仿宋_GB2312"/>
          <w:sz w:val="32"/>
          <w:szCs w:val="32"/>
          <w:lang w:val="zh-CN"/>
        </w:rPr>
        <w:t>1,048.61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4.32</w:t>
      </w:r>
      <w:r>
        <w:rPr>
          <w:rFonts w:hint="eastAsia" w:ascii="仿宋_GB2312" w:eastAsia="仿宋_GB2312"/>
          <w:sz w:val="32"/>
          <w:szCs w:val="32"/>
        </w:rPr>
        <w:t>万元，本年财政拨款支出</w:t>
      </w:r>
      <w:r>
        <w:rPr>
          <w:rFonts w:hint="eastAsia" w:ascii="仿宋_GB2312" w:eastAsia="仿宋_GB2312"/>
          <w:sz w:val="32"/>
          <w:szCs w:val="32"/>
          <w:lang w:val="zh-CN"/>
        </w:rPr>
        <w:t>1,044.29</w:t>
      </w:r>
      <w:r>
        <w:rPr>
          <w:rFonts w:hint="eastAsia" w:ascii="仿宋_GB2312" w:eastAsia="仿宋_GB2312"/>
          <w:sz w:val="32"/>
          <w:szCs w:val="32"/>
        </w:rPr>
        <w:t>万元。</w:t>
      </w:r>
    </w:p>
    <w:p w14:paraId="2E3C58A2">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减少45.45万元</w:t>
      </w:r>
      <w:r>
        <w:rPr>
          <w:rFonts w:hint="eastAsia" w:ascii="仿宋_GB2312" w:eastAsia="仿宋_GB2312"/>
          <w:sz w:val="32"/>
          <w:szCs w:val="32"/>
        </w:rPr>
        <w:t>，下降4.15%,主要原因是：</w:t>
      </w:r>
      <w:r>
        <w:rPr>
          <w:rFonts w:hint="eastAsia" w:ascii="仿宋_GB2312" w:hAnsi="仿宋_GB2312" w:eastAsia="仿宋_GB2312" w:cs="仿宋_GB2312"/>
          <w:sz w:val="32"/>
          <w:szCs w:val="32"/>
        </w:rPr>
        <w:t>本年我单位校园</w:t>
      </w:r>
      <w:r>
        <w:rPr>
          <w:rFonts w:hint="eastAsia" w:ascii="仿宋_GB2312" w:eastAsia="仿宋_GB2312"/>
          <w:sz w:val="32"/>
          <w:szCs w:val="32"/>
        </w:rPr>
        <w:t>维修（护）费较上年减少。与年初预算相比，年初预算数</w:t>
      </w:r>
      <w:r>
        <w:rPr>
          <w:rFonts w:hint="eastAsia" w:ascii="仿宋_GB2312" w:eastAsia="仿宋_GB2312"/>
          <w:sz w:val="32"/>
          <w:szCs w:val="32"/>
          <w:lang w:val="zh-CN"/>
        </w:rPr>
        <w:t>621.49</w:t>
      </w:r>
      <w:r>
        <w:rPr>
          <w:rFonts w:hint="eastAsia" w:ascii="仿宋_GB2312" w:eastAsia="仿宋_GB2312"/>
          <w:sz w:val="32"/>
          <w:szCs w:val="32"/>
        </w:rPr>
        <w:t>万元，决算数</w:t>
      </w:r>
      <w:r>
        <w:rPr>
          <w:rFonts w:hint="eastAsia" w:ascii="仿宋_GB2312" w:eastAsia="仿宋_GB2312"/>
          <w:sz w:val="32"/>
          <w:szCs w:val="32"/>
          <w:lang w:val="zh-CN"/>
        </w:rPr>
        <w:t>1,048.61</w:t>
      </w:r>
      <w:r>
        <w:rPr>
          <w:rFonts w:hint="eastAsia" w:ascii="仿宋_GB2312" w:eastAsia="仿宋_GB2312"/>
          <w:sz w:val="32"/>
          <w:szCs w:val="32"/>
        </w:rPr>
        <w:t>万元，预决算差异率68.73%，主要原因是：年中追加办公费、取暖费等公用经费。</w:t>
      </w:r>
    </w:p>
    <w:p w14:paraId="5C20F818">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77DAA83A">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A74AE69">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2023年度一般公共预算财政拨款支出1,044.29万元，占本年支出合计的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减少45.45万元</w:t>
      </w:r>
      <w:r>
        <w:rPr>
          <w:rFonts w:hint="eastAsia" w:ascii="仿宋_GB2312" w:eastAsia="仿宋_GB2312"/>
          <w:sz w:val="32"/>
          <w:szCs w:val="32"/>
        </w:rPr>
        <w:t>，下降4.17%,主要原因是：</w:t>
      </w:r>
      <w:r>
        <w:rPr>
          <w:rFonts w:hint="eastAsia" w:ascii="仿宋_GB2312" w:hAnsi="仿宋_GB2312" w:eastAsia="仿宋_GB2312" w:cs="仿宋_GB2312"/>
          <w:sz w:val="32"/>
          <w:szCs w:val="32"/>
        </w:rPr>
        <w:t>本年我单位校园</w:t>
      </w:r>
      <w:r>
        <w:rPr>
          <w:rFonts w:hint="eastAsia" w:ascii="仿宋_GB2312" w:eastAsia="仿宋_GB2312"/>
          <w:sz w:val="32"/>
          <w:szCs w:val="32"/>
        </w:rPr>
        <w:t>维修（护）费较上年减少。与年初预算相比，年初预算数</w:t>
      </w:r>
      <w:r>
        <w:rPr>
          <w:rFonts w:hint="eastAsia" w:ascii="仿宋_GB2312" w:eastAsia="仿宋_GB2312"/>
          <w:sz w:val="32"/>
          <w:szCs w:val="32"/>
          <w:lang w:val="zh-CN"/>
        </w:rPr>
        <w:t>621.49</w:t>
      </w:r>
      <w:r>
        <w:rPr>
          <w:rFonts w:hint="eastAsia" w:ascii="仿宋_GB2312" w:eastAsia="仿宋_GB2312"/>
          <w:sz w:val="32"/>
          <w:szCs w:val="32"/>
        </w:rPr>
        <w:t>万元，决算数</w:t>
      </w:r>
      <w:r>
        <w:rPr>
          <w:rFonts w:hint="eastAsia" w:ascii="仿宋_GB2312" w:eastAsia="仿宋_GB2312"/>
          <w:sz w:val="32"/>
          <w:szCs w:val="32"/>
          <w:lang w:val="zh-CN"/>
        </w:rPr>
        <w:t>1,044.29</w:t>
      </w:r>
      <w:r>
        <w:rPr>
          <w:rFonts w:hint="eastAsia" w:ascii="仿宋_GB2312" w:eastAsia="仿宋_GB2312"/>
          <w:sz w:val="32"/>
          <w:szCs w:val="32"/>
        </w:rPr>
        <w:t>万元，预决算差异率</w:t>
      </w:r>
      <w:r>
        <w:rPr>
          <w:rFonts w:hint="eastAsia" w:ascii="仿宋_GB2312" w:eastAsia="仿宋_GB2312"/>
          <w:sz w:val="32"/>
          <w:szCs w:val="32"/>
          <w:lang w:val="zh-CN"/>
        </w:rPr>
        <w:t>68.03%</w:t>
      </w:r>
      <w:r>
        <w:rPr>
          <w:rFonts w:hint="eastAsia" w:ascii="仿宋_GB2312" w:eastAsia="仿宋_GB2312"/>
          <w:sz w:val="32"/>
          <w:szCs w:val="32"/>
        </w:rPr>
        <w:t>，主要原因是：年中追加办公费、取暖费等公用经费。</w:t>
      </w:r>
    </w:p>
    <w:p w14:paraId="0953B702">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972196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1,044.29</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734B171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22C257E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1.教育支出（类）教育费附加安排的支出（款）其他教育费附加安排的支出（项）:支出决算数为1.30万元，比上年决算减少9.42万元，下降87.87%，主要原因是：本年我单位校园</w:t>
      </w:r>
      <w:r>
        <w:rPr>
          <w:rFonts w:hint="eastAsia" w:ascii="仿宋_GB2312" w:eastAsia="仿宋_GB2312"/>
          <w:sz w:val="32"/>
          <w:szCs w:val="32"/>
        </w:rPr>
        <w:t>维修（护）费较上年减少</w:t>
      </w:r>
      <w:r>
        <w:rPr>
          <w:rFonts w:hint="eastAsia" w:ascii="仿宋_GB2312" w:hAnsi="仿宋_GB2312" w:eastAsia="仿宋_GB2312" w:cs="仿宋_GB2312"/>
          <w:sz w:val="32"/>
          <w:szCs w:val="32"/>
          <w:lang w:val="zh-CN"/>
        </w:rPr>
        <w:t>。</w:t>
      </w:r>
    </w:p>
    <w:p w14:paraId="14B209F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2.教育支出（类）普通教育（款）其他普通教育支出（项）:支出决算数为8.12万元，比上年决算减少35.47万元，下降81.37%，主要原因是：本年我单位校园</w:t>
      </w:r>
      <w:r>
        <w:rPr>
          <w:rFonts w:hint="eastAsia" w:ascii="仿宋_GB2312" w:eastAsia="仿宋_GB2312"/>
          <w:sz w:val="32"/>
          <w:szCs w:val="32"/>
        </w:rPr>
        <w:t>维修（护）费较上年减少</w:t>
      </w:r>
      <w:r>
        <w:rPr>
          <w:rFonts w:hint="eastAsia" w:ascii="仿宋_GB2312" w:hAnsi="仿宋_GB2312" w:eastAsia="仿宋_GB2312" w:cs="仿宋_GB2312"/>
          <w:sz w:val="32"/>
          <w:szCs w:val="32"/>
          <w:lang w:val="zh-CN"/>
        </w:rPr>
        <w:t>。</w:t>
      </w:r>
    </w:p>
    <w:p w14:paraId="0D34F73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3.教育支出（类）普通教育（款）学前教育（项）:支出决算数为1,034.87万元，比上年决算增加1.23万元，增长0.12%，主要原因是：</w:t>
      </w:r>
      <w:r>
        <w:rPr>
          <w:rFonts w:hint="eastAsia" w:ascii="仿宋_GB2312" w:hAnsi="仿宋_GB2312" w:eastAsia="仿宋_GB2312" w:cs="仿宋_GB2312"/>
          <w:sz w:val="32"/>
          <w:szCs w:val="32"/>
          <w:lang w:val="zh-CN"/>
        </w:rPr>
        <w:t>人员工资调增，增加人员社保缴费。</w:t>
      </w:r>
    </w:p>
    <w:p w14:paraId="43FBB79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4.资源勘探工业信息等支出（类）支持中小企业发展和管理支出（款）其他支持中小企业发展和管理支出（项）:支出决算数为0.00万元，比上年决算减少1.78万元，下降100%，主要原因是：</w:t>
      </w:r>
      <w:r>
        <w:rPr>
          <w:rFonts w:hint="eastAsia" w:ascii="仿宋_GB2312" w:hAnsi="仿宋_GB2312" w:eastAsia="仿宋_GB2312" w:cs="仿宋_GB2312"/>
          <w:sz w:val="32"/>
          <w:szCs w:val="32"/>
          <w:lang w:val="zh-CN"/>
        </w:rPr>
        <w:t>本年我单位</w:t>
      </w:r>
      <w:r>
        <w:rPr>
          <w:rFonts w:hint="eastAsia" w:ascii="仿宋_GB2312" w:hAnsi="仿宋_GB2312" w:eastAsia="仿宋_GB2312" w:cs="仿宋_GB2312"/>
          <w:sz w:val="32"/>
          <w:szCs w:val="32"/>
          <w:lang w:val="en-US" w:eastAsia="zh-CN"/>
        </w:rPr>
        <w:t>校园</w:t>
      </w:r>
      <w:r>
        <w:rPr>
          <w:rFonts w:hint="eastAsia" w:ascii="仿宋_GB2312" w:hAnsi="仿宋_GB2312" w:eastAsia="仿宋_GB2312" w:cs="仿宋_GB2312"/>
          <w:sz w:val="32"/>
          <w:szCs w:val="32"/>
          <w:lang w:val="zh-CN"/>
        </w:rPr>
        <w:t>维修</w:t>
      </w:r>
      <w:r>
        <w:rPr>
          <w:rFonts w:hint="eastAsia" w:ascii="仿宋_GB2312" w:hAnsi="仿宋_GB2312" w:eastAsia="仿宋_GB2312" w:cs="仿宋_GB2312"/>
          <w:sz w:val="32"/>
          <w:szCs w:val="32"/>
          <w:lang w:val="en-US" w:eastAsia="zh-CN"/>
        </w:rPr>
        <w:t>经</w:t>
      </w:r>
      <w:r>
        <w:rPr>
          <w:rFonts w:hint="eastAsia" w:ascii="仿宋_GB2312" w:hAnsi="仿宋_GB2312" w:eastAsia="仿宋_GB2312" w:cs="仿宋_GB2312"/>
          <w:sz w:val="32"/>
          <w:szCs w:val="32"/>
          <w:lang w:val="zh-CN"/>
        </w:rPr>
        <w:t>费减少。</w:t>
      </w:r>
    </w:p>
    <w:p w14:paraId="2ABEFCD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BF5930C">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1,044.29万元，其中：人员经费707.81万元，包括：基本工资、津贴补贴、奖金、绩效工资、机关事业单位基本养老保险缴费、职工基本医疗保险缴费、其他社会保障缴费、住房公积金、退休费、助学金、奖励金。</w:t>
      </w:r>
    </w:p>
    <w:p w14:paraId="6EE2DB56">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公用经费336.48万元，包括：办公费、水费、电费、邮电费、取暖费、物业管理费、维修（护）费、培训费、专用材料费、劳务费、其他交通费用、办公设备购置。</w:t>
      </w:r>
    </w:p>
    <w:p w14:paraId="10056F1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B82F70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14:paraId="2A4CB50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BCA427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14:paraId="79656091">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我单位无此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41368C7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14:paraId="64B8945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14:paraId="181EB966">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458410BF">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01960FD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4BD11FE5">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1CF26056">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1966827C">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0CA88E37">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奇台县古城乡中心幼儿园（事业单位）公用经费支出336.48万元，</w:t>
      </w:r>
      <w:r>
        <w:rPr>
          <w:rFonts w:hint="eastAsia" w:ascii="仿宋_GB2312" w:hAnsi="仿宋_GB2312" w:eastAsia="仿宋_GB2312" w:cs="仿宋_GB2312"/>
          <w:sz w:val="32"/>
          <w:szCs w:val="32"/>
          <w:lang w:val="zh-CN"/>
        </w:rPr>
        <w:t>比上年增加42.06万元，增长14.29%，主要原因是：本年</w:t>
      </w:r>
      <w:r>
        <w:rPr>
          <w:rFonts w:hint="eastAsia" w:ascii="仿宋_GB2312" w:eastAsia="仿宋_GB2312"/>
          <w:sz w:val="32"/>
          <w:szCs w:val="32"/>
        </w:rPr>
        <w:t>办公费、取暖费、物业管理费、培训费等增加</w:t>
      </w:r>
      <w:r>
        <w:rPr>
          <w:rFonts w:hint="eastAsia" w:ascii="仿宋_GB2312" w:hAnsi="仿宋_GB2312" w:eastAsia="仿宋_GB2312" w:cs="仿宋_GB2312"/>
          <w:sz w:val="32"/>
          <w:szCs w:val="32"/>
          <w:lang w:val="zh-CN"/>
        </w:rPr>
        <w:t>。</w:t>
      </w:r>
    </w:p>
    <w:p w14:paraId="61627D07">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1A6357D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2023年度政府采购支出总额49.26万元，其中：政府采购货物支出19.49万元、政府采购工程支出2.70万元、政府采购服务支出27.08万元。</w:t>
      </w:r>
    </w:p>
    <w:p w14:paraId="702E05A8">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授予中小企业合同金额49.26万元，占政府采购支出总额的100.00%，其中：授予小微企业合同金额46.11万元，占政府采购支出总额的93.61%</w:t>
      </w:r>
      <w:r>
        <w:rPr>
          <w:rFonts w:hint="eastAsia" w:ascii="仿宋_GB2312" w:hAnsi="仿宋_GB2312" w:eastAsia="仿宋_GB2312" w:cs="仿宋_GB2312"/>
          <w:sz w:val="32"/>
          <w:szCs w:val="32"/>
        </w:rPr>
        <w:t>。</w:t>
      </w:r>
    </w:p>
    <w:p w14:paraId="309BF877">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6A97BF9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1,069.92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屋4,874.43平方米，价值916.05万元。车辆0辆，价值0.00万元，其中：副部（省）级及以上领导用车0辆、主要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5A9D5C24">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61E4C6F0">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1,048.62</w:t>
      </w:r>
      <w:r>
        <w:rPr>
          <w:rFonts w:hint="eastAsia" w:ascii="仿宋_GB2312" w:eastAsia="仿宋_GB2312"/>
          <w:sz w:val="32"/>
          <w:szCs w:val="32"/>
        </w:rPr>
        <w:t>万元，实际执行总额</w:t>
      </w:r>
      <w:r>
        <w:rPr>
          <w:rFonts w:ascii="仿宋_GB2312" w:eastAsia="仿宋_GB2312"/>
          <w:sz w:val="32"/>
          <w:szCs w:val="32"/>
        </w:rPr>
        <w:t>1,044.30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w:t>
      </w:r>
      <w:r>
        <w:rPr>
          <w:rFonts w:ascii="仿宋_GB2312" w:eastAsia="仿宋_GB2312"/>
          <w:sz w:val="32"/>
          <w:szCs w:val="32"/>
        </w:rPr>
        <w:t>46.12</w:t>
      </w:r>
      <w:r>
        <w:rPr>
          <w:rFonts w:hint="eastAsia" w:ascii="仿宋_GB2312" w:eastAsia="仿宋_GB2312"/>
          <w:sz w:val="32"/>
          <w:szCs w:val="32"/>
        </w:rPr>
        <w:t>万元，全年执行数</w:t>
      </w:r>
      <w:r>
        <w:rPr>
          <w:rFonts w:ascii="仿宋_GB2312" w:eastAsia="仿宋_GB2312"/>
          <w:sz w:val="32"/>
          <w:szCs w:val="32"/>
        </w:rPr>
        <w:t>46.12</w:t>
      </w:r>
      <w:r>
        <w:rPr>
          <w:rFonts w:hint="eastAsia" w:ascii="仿宋_GB2312" w:eastAsia="仿宋_GB2312"/>
          <w:sz w:val="32"/>
          <w:szCs w:val="32"/>
        </w:rPr>
        <w:t>万元。预算绩效管理取得的成效：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发现的问题及原因：一是预算绩效目标不够精细，执行过程中稍有偏差；二是预算收支人员管理水平有待提高。下一步改进措施:一是细化预算编制工作，认真做好预算的编制；二是加强预算单位绩效评价系统培训，使预算单位对绩效管理的相关工作具有全面的认识，提高其绩效管理的实际操作能力。具体项目自评情况附绩效自评表及自评报告。</w:t>
      </w:r>
    </w:p>
    <w:p w14:paraId="3E22837F">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4D1B764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F105F84">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956526">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B563719">
            <w:pPr>
              <w:jc w:val="center"/>
            </w:pPr>
            <w:r>
              <w:rPr>
                <w:rFonts w:hint="eastAsia" w:ascii="宋体" w:hAnsi="宋体"/>
                <w:sz w:val="18"/>
              </w:rPr>
              <w:t>奇台县古城乡中心幼儿园</w:t>
            </w:r>
          </w:p>
        </w:tc>
        <w:tc>
          <w:tcPr>
            <w:tcW w:w="284" w:type="dxa"/>
            <w:tcBorders>
              <w:top w:val="nil"/>
              <w:left w:val="nil"/>
              <w:bottom w:val="nil"/>
              <w:right w:val="nil"/>
            </w:tcBorders>
            <w:shd w:val="clear" w:color="auto" w:fill="auto"/>
            <w:noWrap/>
            <w:vAlign w:val="center"/>
          </w:tcPr>
          <w:p w14:paraId="458CA12F">
            <w:pPr>
              <w:widowControl/>
              <w:jc w:val="left"/>
              <w:rPr>
                <w:rFonts w:hint="eastAsia" w:ascii="宋体" w:hAnsi="宋体" w:cs="宋体"/>
                <w:b/>
                <w:bCs/>
                <w:kern w:val="0"/>
                <w:sz w:val="18"/>
                <w:szCs w:val="18"/>
              </w:rPr>
            </w:pPr>
          </w:p>
        </w:tc>
      </w:tr>
      <w:tr w14:paraId="09654CCB">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2D23D1">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8C3F319">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2051EEC2">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024158CE">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1FF87F86">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1B41035D">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282ABC70">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0A8BCA44">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FDB414F">
            <w:pPr>
              <w:widowControl/>
              <w:jc w:val="center"/>
              <w:rPr>
                <w:rFonts w:hint="eastAsia" w:ascii="宋体" w:hAnsi="宋体" w:cs="宋体"/>
                <w:b/>
                <w:bCs/>
                <w:kern w:val="0"/>
                <w:sz w:val="18"/>
                <w:szCs w:val="18"/>
              </w:rPr>
            </w:pPr>
          </w:p>
        </w:tc>
      </w:tr>
      <w:tr w14:paraId="07B89C61">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E3FBA1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3DD32D52">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697E6D44">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3232B8AC">
            <w:pPr>
              <w:jc w:val="center"/>
            </w:pPr>
            <w:r>
              <w:rPr>
                <w:rFonts w:ascii="宋体" w:hAnsi="宋体"/>
                <w:sz w:val="18"/>
              </w:rPr>
              <w:t>707.81</w:t>
            </w:r>
          </w:p>
        </w:tc>
        <w:tc>
          <w:tcPr>
            <w:tcW w:w="1701" w:type="dxa"/>
            <w:tcBorders>
              <w:top w:val="nil"/>
              <w:left w:val="nil"/>
              <w:bottom w:val="single" w:color="auto" w:sz="4" w:space="0"/>
              <w:right w:val="single" w:color="auto" w:sz="4" w:space="0"/>
            </w:tcBorders>
            <w:shd w:val="clear" w:color="auto" w:fill="auto"/>
            <w:vAlign w:val="center"/>
          </w:tcPr>
          <w:p w14:paraId="5EE378B2">
            <w:pPr>
              <w:jc w:val="center"/>
            </w:pPr>
            <w:r>
              <w:rPr>
                <w:rFonts w:ascii="宋体" w:hAnsi="宋体"/>
                <w:sz w:val="18"/>
              </w:rPr>
              <w:t>707.81</w:t>
            </w:r>
          </w:p>
        </w:tc>
        <w:tc>
          <w:tcPr>
            <w:tcW w:w="1134" w:type="dxa"/>
            <w:tcBorders>
              <w:top w:val="nil"/>
              <w:left w:val="nil"/>
              <w:bottom w:val="single" w:color="auto" w:sz="4" w:space="0"/>
              <w:right w:val="single" w:color="auto" w:sz="4" w:space="0"/>
            </w:tcBorders>
            <w:shd w:val="clear" w:color="auto" w:fill="auto"/>
            <w:vAlign w:val="center"/>
          </w:tcPr>
          <w:p w14:paraId="579A392D">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52905E7F">
            <w:pPr>
              <w:jc w:val="center"/>
            </w:pPr>
            <w:r>
              <w:rPr>
                <w:rFonts w:ascii="宋体" w:hAnsi="宋体"/>
                <w:sz w:val="18"/>
              </w:rPr>
              <w:t>99.59%</w:t>
            </w:r>
          </w:p>
        </w:tc>
        <w:tc>
          <w:tcPr>
            <w:tcW w:w="720" w:type="dxa"/>
            <w:tcBorders>
              <w:top w:val="nil"/>
              <w:left w:val="nil"/>
              <w:bottom w:val="single" w:color="auto" w:sz="4" w:space="0"/>
              <w:right w:val="single" w:color="auto" w:sz="4" w:space="0"/>
            </w:tcBorders>
            <w:shd w:val="clear" w:color="auto" w:fill="auto"/>
            <w:vAlign w:val="center"/>
          </w:tcPr>
          <w:p w14:paraId="0785FE3D">
            <w:pPr>
              <w:jc w:val="center"/>
            </w:pPr>
            <w:r>
              <w:rPr>
                <w:rFonts w:ascii="宋体" w:hAnsi="宋体"/>
                <w:sz w:val="18"/>
              </w:rPr>
              <w:t>9.96</w:t>
            </w:r>
          </w:p>
        </w:tc>
        <w:tc>
          <w:tcPr>
            <w:tcW w:w="284" w:type="dxa"/>
            <w:tcBorders>
              <w:top w:val="nil"/>
              <w:left w:val="nil"/>
              <w:bottom w:val="nil"/>
              <w:right w:val="nil"/>
            </w:tcBorders>
            <w:shd w:val="clear" w:color="auto" w:fill="auto"/>
            <w:noWrap/>
            <w:vAlign w:val="center"/>
          </w:tcPr>
          <w:p w14:paraId="3A77244E">
            <w:pPr>
              <w:widowControl/>
              <w:jc w:val="center"/>
              <w:rPr>
                <w:rFonts w:hint="eastAsia" w:ascii="宋体" w:hAnsi="宋体" w:cs="宋体"/>
                <w:b/>
                <w:bCs/>
                <w:kern w:val="0"/>
                <w:sz w:val="18"/>
                <w:szCs w:val="18"/>
              </w:rPr>
            </w:pPr>
          </w:p>
        </w:tc>
      </w:tr>
      <w:tr w14:paraId="2E688A26">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53F91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08909D5">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644AF59C">
            <w:pPr>
              <w:jc w:val="center"/>
            </w:pPr>
            <w:r>
              <w:rPr>
                <w:rFonts w:ascii="宋体" w:hAnsi="宋体"/>
                <w:sz w:val="18"/>
              </w:rPr>
              <w:t>621.</w:t>
            </w:r>
            <w:r>
              <w:rPr>
                <w:rFonts w:hint="eastAsia" w:ascii="宋体" w:hAnsi="宋体"/>
                <w:sz w:val="18"/>
              </w:rPr>
              <w:t>04</w:t>
            </w:r>
          </w:p>
        </w:tc>
        <w:tc>
          <w:tcPr>
            <w:tcW w:w="1276" w:type="dxa"/>
            <w:tcBorders>
              <w:top w:val="nil"/>
              <w:left w:val="nil"/>
              <w:bottom w:val="single" w:color="auto" w:sz="4" w:space="0"/>
              <w:right w:val="single" w:color="auto" w:sz="4" w:space="0"/>
            </w:tcBorders>
            <w:shd w:val="clear" w:color="auto" w:fill="auto"/>
            <w:vAlign w:val="center"/>
          </w:tcPr>
          <w:p w14:paraId="2ABD5B95">
            <w:pPr>
              <w:jc w:val="center"/>
            </w:pPr>
            <w:r>
              <w:rPr>
                <w:rFonts w:ascii="宋体" w:hAnsi="宋体"/>
                <w:sz w:val="18"/>
              </w:rPr>
              <w:t>340.82</w:t>
            </w:r>
          </w:p>
        </w:tc>
        <w:tc>
          <w:tcPr>
            <w:tcW w:w="1701" w:type="dxa"/>
            <w:tcBorders>
              <w:top w:val="nil"/>
              <w:left w:val="nil"/>
              <w:bottom w:val="single" w:color="auto" w:sz="4" w:space="0"/>
              <w:right w:val="single" w:color="auto" w:sz="4" w:space="0"/>
            </w:tcBorders>
            <w:shd w:val="clear" w:color="auto" w:fill="auto"/>
            <w:vAlign w:val="center"/>
          </w:tcPr>
          <w:p w14:paraId="3D6F2AE9">
            <w:pPr>
              <w:jc w:val="center"/>
            </w:pPr>
            <w:r>
              <w:rPr>
                <w:rFonts w:ascii="宋体" w:hAnsi="宋体"/>
                <w:sz w:val="18"/>
              </w:rPr>
              <w:t>336.50</w:t>
            </w:r>
          </w:p>
        </w:tc>
        <w:tc>
          <w:tcPr>
            <w:tcW w:w="1134" w:type="dxa"/>
            <w:tcBorders>
              <w:top w:val="nil"/>
              <w:left w:val="nil"/>
              <w:bottom w:val="single" w:color="auto" w:sz="4" w:space="0"/>
              <w:right w:val="single" w:color="auto" w:sz="4" w:space="0"/>
            </w:tcBorders>
            <w:shd w:val="clear" w:color="auto" w:fill="auto"/>
            <w:vAlign w:val="center"/>
          </w:tcPr>
          <w:p w14:paraId="6CCE06EE">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6ECD3F2">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68BAB94">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7421D3E">
            <w:pPr>
              <w:widowControl/>
              <w:jc w:val="center"/>
              <w:rPr>
                <w:rFonts w:hint="eastAsia" w:ascii="宋体" w:hAnsi="宋体" w:cs="宋体"/>
                <w:kern w:val="0"/>
                <w:sz w:val="18"/>
                <w:szCs w:val="18"/>
              </w:rPr>
            </w:pPr>
          </w:p>
        </w:tc>
      </w:tr>
      <w:tr w14:paraId="6D6A5AE8">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B88973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21EEB48">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37350731">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861BB12">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285253F8">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96C0DEF">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15F768C">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653A1EB">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51776BAB">
            <w:pPr>
              <w:widowControl/>
              <w:jc w:val="center"/>
              <w:rPr>
                <w:rFonts w:hint="eastAsia" w:ascii="宋体" w:hAnsi="宋体" w:cs="宋体"/>
                <w:kern w:val="0"/>
                <w:sz w:val="18"/>
                <w:szCs w:val="18"/>
              </w:rPr>
            </w:pPr>
          </w:p>
        </w:tc>
      </w:tr>
      <w:tr w14:paraId="56FA53E5">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42E63A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2B2C52E">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3F434DAD">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407C921">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9BBC45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3671C4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5B4F39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9F19DE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5429928">
            <w:pPr>
              <w:widowControl/>
              <w:jc w:val="center"/>
              <w:rPr>
                <w:rFonts w:hint="eastAsia" w:ascii="宋体" w:hAnsi="宋体" w:cs="宋体"/>
                <w:kern w:val="0"/>
                <w:sz w:val="18"/>
                <w:szCs w:val="18"/>
              </w:rPr>
            </w:pPr>
          </w:p>
        </w:tc>
      </w:tr>
      <w:tr w14:paraId="5B0359FD">
        <w:tblPrEx>
          <w:tblCellMar>
            <w:top w:w="0" w:type="dxa"/>
            <w:left w:w="108" w:type="dxa"/>
            <w:bottom w:w="0" w:type="dxa"/>
            <w:right w:w="108" w:type="dxa"/>
          </w:tblCellMar>
        </w:tblPrEx>
        <w:trPr>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71532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28FECA4">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66761183">
            <w:pPr>
              <w:jc w:val="center"/>
            </w:pPr>
            <w:r>
              <w:rPr>
                <w:rFonts w:ascii="宋体" w:hAnsi="宋体"/>
                <w:sz w:val="18"/>
              </w:rPr>
              <w:t>0.50</w:t>
            </w:r>
          </w:p>
        </w:tc>
        <w:tc>
          <w:tcPr>
            <w:tcW w:w="1276" w:type="dxa"/>
            <w:tcBorders>
              <w:top w:val="nil"/>
              <w:left w:val="nil"/>
              <w:bottom w:val="single" w:color="auto" w:sz="4" w:space="0"/>
              <w:right w:val="single" w:color="auto" w:sz="4" w:space="0"/>
            </w:tcBorders>
            <w:shd w:val="clear" w:color="auto" w:fill="auto"/>
            <w:vAlign w:val="center"/>
          </w:tcPr>
          <w:p w14:paraId="5A8AC8CD">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194634C5">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5632A4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85AC9C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DFBB02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BA1D8B5">
            <w:pPr>
              <w:widowControl/>
              <w:jc w:val="center"/>
              <w:rPr>
                <w:rFonts w:hint="eastAsia" w:ascii="宋体" w:hAnsi="宋体" w:cs="宋体"/>
                <w:kern w:val="0"/>
                <w:sz w:val="18"/>
                <w:szCs w:val="18"/>
              </w:rPr>
            </w:pPr>
          </w:p>
        </w:tc>
      </w:tr>
      <w:tr w14:paraId="53F1A552">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AA02EA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E29A9A8">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7F5E83B2">
            <w:pPr>
              <w:jc w:val="center"/>
            </w:pPr>
            <w:r>
              <w:rPr>
                <w:rFonts w:ascii="宋体" w:hAnsi="宋体"/>
                <w:sz w:val="18"/>
              </w:rPr>
              <w:t>621.</w:t>
            </w:r>
            <w:r>
              <w:rPr>
                <w:rFonts w:hint="eastAsia" w:ascii="宋体" w:hAnsi="宋体"/>
                <w:sz w:val="18"/>
              </w:rPr>
              <w:t>54</w:t>
            </w:r>
          </w:p>
        </w:tc>
        <w:tc>
          <w:tcPr>
            <w:tcW w:w="1276" w:type="dxa"/>
            <w:tcBorders>
              <w:top w:val="nil"/>
              <w:left w:val="nil"/>
              <w:bottom w:val="single" w:color="auto" w:sz="4" w:space="0"/>
              <w:right w:val="single" w:color="auto" w:sz="4" w:space="0"/>
            </w:tcBorders>
            <w:shd w:val="clear" w:color="auto" w:fill="auto"/>
            <w:vAlign w:val="center"/>
          </w:tcPr>
          <w:p w14:paraId="67EF328E">
            <w:pPr>
              <w:jc w:val="center"/>
            </w:pPr>
            <w:r>
              <w:rPr>
                <w:rFonts w:ascii="宋体" w:hAnsi="宋体"/>
                <w:sz w:val="18"/>
              </w:rPr>
              <w:t>1,048.62</w:t>
            </w:r>
          </w:p>
        </w:tc>
        <w:tc>
          <w:tcPr>
            <w:tcW w:w="1701" w:type="dxa"/>
            <w:tcBorders>
              <w:top w:val="nil"/>
              <w:left w:val="nil"/>
              <w:bottom w:val="single" w:color="auto" w:sz="4" w:space="0"/>
              <w:right w:val="single" w:color="auto" w:sz="4" w:space="0"/>
            </w:tcBorders>
            <w:shd w:val="clear" w:color="auto" w:fill="auto"/>
            <w:vAlign w:val="center"/>
          </w:tcPr>
          <w:p w14:paraId="5E736B31">
            <w:pPr>
              <w:jc w:val="center"/>
            </w:pPr>
            <w:r>
              <w:rPr>
                <w:rFonts w:ascii="宋体" w:hAnsi="宋体"/>
                <w:sz w:val="18"/>
              </w:rPr>
              <w:t>1,044.30</w:t>
            </w:r>
          </w:p>
        </w:tc>
        <w:tc>
          <w:tcPr>
            <w:tcW w:w="1134" w:type="dxa"/>
            <w:tcBorders>
              <w:top w:val="nil"/>
              <w:left w:val="nil"/>
              <w:bottom w:val="single" w:color="auto" w:sz="4" w:space="0"/>
              <w:right w:val="single" w:color="auto" w:sz="4" w:space="0"/>
            </w:tcBorders>
            <w:shd w:val="clear" w:color="auto" w:fill="auto"/>
            <w:vAlign w:val="center"/>
          </w:tcPr>
          <w:p w14:paraId="0CE42F7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8FCA01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E96B2B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6527223">
            <w:pPr>
              <w:widowControl/>
              <w:jc w:val="center"/>
              <w:rPr>
                <w:rFonts w:hint="eastAsia" w:ascii="宋体" w:hAnsi="宋体" w:cs="宋体"/>
                <w:kern w:val="0"/>
                <w:sz w:val="18"/>
                <w:szCs w:val="18"/>
              </w:rPr>
            </w:pPr>
          </w:p>
        </w:tc>
      </w:tr>
      <w:tr w14:paraId="56DD0A34">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601753">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196BB182">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5385807F">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439F71C9">
            <w:pPr>
              <w:widowControl/>
              <w:jc w:val="left"/>
              <w:rPr>
                <w:rFonts w:hint="eastAsia" w:ascii="宋体" w:hAnsi="宋体" w:cs="宋体"/>
                <w:b/>
                <w:bCs/>
                <w:kern w:val="0"/>
                <w:sz w:val="18"/>
                <w:szCs w:val="18"/>
              </w:rPr>
            </w:pPr>
          </w:p>
        </w:tc>
      </w:tr>
      <w:tr w14:paraId="45418424">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8DD5317">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5DC99044">
            <w:pPr>
              <w:jc w:val="left"/>
            </w:pPr>
            <w:r>
              <w:rPr>
                <w:rFonts w:ascii="宋体" w:hAnsi="宋体"/>
                <w:sz w:val="18"/>
              </w:rPr>
              <w:t>以《幼儿园教育指导纲要》和《3—6岁幼儿发展指南》为指导，深入贯彻教育法律法规、政策，实行依法办园，完善制度化、规范化管理。紧紧围绕《昌吉州幼儿园规范办园行为等级评估标准》的要点与标准，进一步提高幼儿一日保教活动质量，保障幼儿园日常工作正常开展。加强幼儿园教研制度建设，充分激励教师开展教育科研的积极性，重视对新教师的培养，促进幼儿身心和谐发展，不断构建学习型幼儿园和创造型教师。为幼儿在园期间生活、学习提供保障。</w:t>
            </w:r>
          </w:p>
        </w:tc>
        <w:tc>
          <w:tcPr>
            <w:tcW w:w="4547" w:type="dxa"/>
            <w:gridSpan w:val="4"/>
            <w:tcBorders>
              <w:top w:val="single" w:color="auto" w:sz="4" w:space="0"/>
              <w:left w:val="nil"/>
              <w:bottom w:val="single" w:color="auto" w:sz="4" w:space="0"/>
              <w:right w:val="single" w:color="auto" w:sz="4" w:space="0"/>
            </w:tcBorders>
            <w:shd w:val="clear" w:color="auto" w:fill="auto"/>
          </w:tcPr>
          <w:p w14:paraId="18B064BC">
            <w:pPr>
              <w:jc w:val="left"/>
            </w:pPr>
            <w:r>
              <w:rPr>
                <w:rFonts w:ascii="宋体" w:hAnsi="宋体"/>
                <w:sz w:val="18"/>
              </w:rPr>
              <w:t>截至2023年12月底，本单位开展教研活动次数完成值20次；开展各类幼儿教师培训次数完成值10次；开展常态化推进</w:t>
            </w:r>
            <w:r>
              <w:rPr>
                <w:rFonts w:hint="eastAsia" w:ascii="宋体" w:hAnsi="宋体"/>
                <w:sz w:val="18"/>
                <w:lang w:eastAsia="zh-CN"/>
              </w:rPr>
              <w:t>党的二十大精神</w:t>
            </w:r>
            <w:r>
              <w:rPr>
                <w:rFonts w:ascii="宋体" w:hAnsi="宋体"/>
                <w:sz w:val="18"/>
              </w:rPr>
              <w:t>学习次数完成值32学时。</w:t>
            </w:r>
          </w:p>
        </w:tc>
        <w:tc>
          <w:tcPr>
            <w:tcW w:w="284" w:type="dxa"/>
            <w:tcBorders>
              <w:top w:val="nil"/>
              <w:left w:val="nil"/>
              <w:bottom w:val="nil"/>
              <w:right w:val="nil"/>
            </w:tcBorders>
            <w:shd w:val="clear" w:color="auto" w:fill="auto"/>
            <w:noWrap/>
            <w:vAlign w:val="center"/>
          </w:tcPr>
          <w:p w14:paraId="42154694">
            <w:pPr>
              <w:widowControl/>
              <w:jc w:val="left"/>
              <w:rPr>
                <w:rFonts w:hint="eastAsia" w:ascii="宋体" w:hAnsi="宋体" w:cs="宋体"/>
                <w:kern w:val="0"/>
                <w:sz w:val="18"/>
                <w:szCs w:val="18"/>
              </w:rPr>
            </w:pPr>
          </w:p>
        </w:tc>
      </w:tr>
      <w:tr w14:paraId="081FC887">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D7733E3">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610E915C">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6EB670B">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0FDCC4B3">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2372C73E">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0552628E">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449B8A92">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1E1FEA98">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9777DBE">
            <w:pPr>
              <w:widowControl/>
              <w:jc w:val="left"/>
              <w:rPr>
                <w:rFonts w:hint="eastAsia" w:ascii="宋体" w:hAnsi="宋体" w:cs="宋体"/>
                <w:b/>
                <w:bCs/>
                <w:kern w:val="0"/>
                <w:sz w:val="18"/>
                <w:szCs w:val="18"/>
              </w:rPr>
            </w:pPr>
          </w:p>
        </w:tc>
      </w:tr>
      <w:tr w14:paraId="332CA1AD">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65CA91A">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BD01DEA">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2A188130">
            <w:pPr>
              <w:jc w:val="center"/>
            </w:pPr>
            <w:r>
              <w:rPr>
                <w:rFonts w:ascii="宋体" w:hAnsi="宋体"/>
                <w:sz w:val="18"/>
              </w:rPr>
              <w:t>开展教研活动次数</w:t>
            </w:r>
          </w:p>
        </w:tc>
        <w:tc>
          <w:tcPr>
            <w:tcW w:w="1276" w:type="dxa"/>
            <w:tcBorders>
              <w:top w:val="nil"/>
              <w:left w:val="nil"/>
              <w:bottom w:val="single" w:color="auto" w:sz="4" w:space="0"/>
              <w:right w:val="single" w:color="auto" w:sz="4" w:space="0"/>
            </w:tcBorders>
            <w:shd w:val="clear" w:color="auto" w:fill="auto"/>
            <w:noWrap/>
            <w:vAlign w:val="center"/>
          </w:tcPr>
          <w:p w14:paraId="0920C690">
            <w:pPr>
              <w:jc w:val="center"/>
            </w:pPr>
            <w:r>
              <w:rPr>
                <w:rFonts w:ascii="宋体" w:hAnsi="宋体"/>
                <w:sz w:val="18"/>
              </w:rPr>
              <w:t>&gt;=20次</w:t>
            </w:r>
          </w:p>
        </w:tc>
        <w:tc>
          <w:tcPr>
            <w:tcW w:w="1701" w:type="dxa"/>
            <w:tcBorders>
              <w:top w:val="nil"/>
              <w:left w:val="nil"/>
              <w:bottom w:val="single" w:color="auto" w:sz="4" w:space="0"/>
              <w:right w:val="single" w:color="auto" w:sz="4" w:space="0"/>
            </w:tcBorders>
            <w:shd w:val="clear" w:color="auto" w:fill="auto"/>
            <w:noWrap/>
            <w:vAlign w:val="center"/>
          </w:tcPr>
          <w:p w14:paraId="496E37A9">
            <w:pPr>
              <w:jc w:val="center"/>
            </w:pPr>
            <w:r>
              <w:rPr>
                <w:rFonts w:ascii="宋体" w:hAnsi="宋体"/>
                <w:sz w:val="18"/>
              </w:rPr>
              <w:t>奇台县古城乡中心幼儿园2023年度工作计划</w:t>
            </w:r>
          </w:p>
        </w:tc>
        <w:tc>
          <w:tcPr>
            <w:tcW w:w="1134" w:type="dxa"/>
            <w:tcBorders>
              <w:top w:val="nil"/>
              <w:left w:val="nil"/>
              <w:bottom w:val="single" w:color="auto" w:sz="4" w:space="0"/>
              <w:right w:val="single" w:color="auto" w:sz="4" w:space="0"/>
            </w:tcBorders>
            <w:shd w:val="clear" w:color="auto" w:fill="auto"/>
            <w:noWrap/>
            <w:vAlign w:val="center"/>
          </w:tcPr>
          <w:p w14:paraId="245A34D3">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33A941BE">
            <w:pPr>
              <w:jc w:val="center"/>
            </w:pPr>
            <w:r>
              <w:rPr>
                <w:rFonts w:ascii="宋体" w:hAnsi="宋体"/>
                <w:sz w:val="18"/>
              </w:rPr>
              <w:t>20次</w:t>
            </w:r>
          </w:p>
        </w:tc>
        <w:tc>
          <w:tcPr>
            <w:tcW w:w="720" w:type="dxa"/>
            <w:tcBorders>
              <w:top w:val="nil"/>
              <w:left w:val="nil"/>
              <w:bottom w:val="single" w:color="auto" w:sz="4" w:space="0"/>
              <w:right w:val="single" w:color="auto" w:sz="4" w:space="0"/>
            </w:tcBorders>
            <w:shd w:val="clear" w:color="auto" w:fill="auto"/>
            <w:noWrap/>
            <w:vAlign w:val="center"/>
          </w:tcPr>
          <w:p w14:paraId="7F4BED9C">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EE786D7">
            <w:pPr>
              <w:widowControl/>
              <w:jc w:val="center"/>
              <w:rPr>
                <w:rFonts w:hint="eastAsia" w:ascii="宋体" w:hAnsi="宋体" w:cs="宋体"/>
                <w:kern w:val="0"/>
                <w:sz w:val="18"/>
                <w:szCs w:val="18"/>
              </w:rPr>
            </w:pPr>
          </w:p>
        </w:tc>
      </w:tr>
      <w:tr w14:paraId="6CD844C3">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2432CD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61BD00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4097969">
            <w:pPr>
              <w:jc w:val="center"/>
            </w:pPr>
            <w:r>
              <w:rPr>
                <w:rFonts w:ascii="宋体" w:hAnsi="宋体"/>
                <w:sz w:val="18"/>
              </w:rPr>
              <w:t>开展各类幼儿教师培训次数</w:t>
            </w:r>
          </w:p>
        </w:tc>
        <w:tc>
          <w:tcPr>
            <w:tcW w:w="1276" w:type="dxa"/>
            <w:tcBorders>
              <w:top w:val="nil"/>
              <w:left w:val="nil"/>
              <w:bottom w:val="single" w:color="auto" w:sz="4" w:space="0"/>
              <w:right w:val="single" w:color="auto" w:sz="4" w:space="0"/>
            </w:tcBorders>
            <w:shd w:val="clear" w:color="auto" w:fill="auto"/>
            <w:noWrap/>
            <w:vAlign w:val="center"/>
          </w:tcPr>
          <w:p w14:paraId="1A838032">
            <w:pPr>
              <w:jc w:val="center"/>
            </w:pPr>
            <w:r>
              <w:rPr>
                <w:rFonts w:ascii="宋体" w:hAnsi="宋体"/>
                <w:sz w:val="18"/>
              </w:rPr>
              <w:t>&gt;=10次</w:t>
            </w:r>
          </w:p>
        </w:tc>
        <w:tc>
          <w:tcPr>
            <w:tcW w:w="1701" w:type="dxa"/>
            <w:tcBorders>
              <w:top w:val="nil"/>
              <w:left w:val="nil"/>
              <w:bottom w:val="single" w:color="auto" w:sz="4" w:space="0"/>
              <w:right w:val="single" w:color="auto" w:sz="4" w:space="0"/>
            </w:tcBorders>
            <w:shd w:val="clear" w:color="auto" w:fill="auto"/>
            <w:noWrap/>
            <w:vAlign w:val="center"/>
          </w:tcPr>
          <w:p w14:paraId="41D9C9D8">
            <w:pPr>
              <w:jc w:val="center"/>
            </w:pPr>
            <w:r>
              <w:rPr>
                <w:rFonts w:ascii="宋体" w:hAnsi="宋体"/>
                <w:sz w:val="18"/>
              </w:rPr>
              <w:t>奇台县古城乡中心幼儿园2023年度工作计划</w:t>
            </w:r>
          </w:p>
        </w:tc>
        <w:tc>
          <w:tcPr>
            <w:tcW w:w="1134" w:type="dxa"/>
            <w:tcBorders>
              <w:top w:val="nil"/>
              <w:left w:val="nil"/>
              <w:bottom w:val="single" w:color="auto" w:sz="4" w:space="0"/>
              <w:right w:val="single" w:color="auto" w:sz="4" w:space="0"/>
            </w:tcBorders>
            <w:shd w:val="clear" w:color="auto" w:fill="auto"/>
            <w:noWrap/>
            <w:vAlign w:val="center"/>
          </w:tcPr>
          <w:p w14:paraId="5B21287A">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221AB553">
            <w:pPr>
              <w:jc w:val="center"/>
            </w:pPr>
            <w:r>
              <w:rPr>
                <w:rFonts w:ascii="宋体" w:hAnsi="宋体"/>
                <w:sz w:val="18"/>
              </w:rPr>
              <w:t>10次</w:t>
            </w:r>
          </w:p>
        </w:tc>
        <w:tc>
          <w:tcPr>
            <w:tcW w:w="720" w:type="dxa"/>
            <w:tcBorders>
              <w:top w:val="nil"/>
              <w:left w:val="nil"/>
              <w:bottom w:val="single" w:color="auto" w:sz="4" w:space="0"/>
              <w:right w:val="single" w:color="auto" w:sz="4" w:space="0"/>
            </w:tcBorders>
            <w:shd w:val="clear" w:color="auto" w:fill="auto"/>
            <w:noWrap/>
            <w:vAlign w:val="center"/>
          </w:tcPr>
          <w:p w14:paraId="75AB054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CF70DC6">
            <w:pPr>
              <w:widowControl/>
              <w:jc w:val="center"/>
              <w:rPr>
                <w:rFonts w:hint="eastAsia" w:ascii="宋体" w:hAnsi="宋体" w:cs="宋体"/>
                <w:kern w:val="0"/>
                <w:sz w:val="18"/>
                <w:szCs w:val="18"/>
              </w:rPr>
            </w:pPr>
          </w:p>
        </w:tc>
      </w:tr>
      <w:tr w14:paraId="4DAA8498">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FD2D2E4">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5F15DF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7AE2D69">
            <w:pPr>
              <w:jc w:val="center"/>
            </w:pPr>
            <w:r>
              <w:rPr>
                <w:rFonts w:ascii="宋体" w:hAnsi="宋体"/>
                <w:sz w:val="18"/>
              </w:rPr>
              <w:t>常态化推进</w:t>
            </w:r>
            <w:r>
              <w:rPr>
                <w:rFonts w:hint="eastAsia" w:ascii="宋体" w:hAnsi="宋体"/>
                <w:sz w:val="18"/>
                <w:lang w:eastAsia="zh-CN"/>
              </w:rPr>
              <w:t>党的二十大精神</w:t>
            </w:r>
            <w:r>
              <w:rPr>
                <w:rFonts w:ascii="宋体" w:hAnsi="宋体"/>
                <w:sz w:val="18"/>
              </w:rPr>
              <w:t>学习</w:t>
            </w:r>
          </w:p>
        </w:tc>
        <w:tc>
          <w:tcPr>
            <w:tcW w:w="1276" w:type="dxa"/>
            <w:tcBorders>
              <w:top w:val="nil"/>
              <w:left w:val="nil"/>
              <w:bottom w:val="single" w:color="auto" w:sz="4" w:space="0"/>
              <w:right w:val="single" w:color="auto" w:sz="4" w:space="0"/>
            </w:tcBorders>
            <w:shd w:val="clear" w:color="auto" w:fill="auto"/>
            <w:noWrap/>
            <w:vAlign w:val="center"/>
          </w:tcPr>
          <w:p w14:paraId="2010F1D5">
            <w:pPr>
              <w:jc w:val="center"/>
            </w:pPr>
            <w:r>
              <w:rPr>
                <w:rFonts w:ascii="宋体" w:hAnsi="宋体"/>
                <w:sz w:val="18"/>
              </w:rPr>
              <w:t>&gt;=32学时</w:t>
            </w:r>
          </w:p>
        </w:tc>
        <w:tc>
          <w:tcPr>
            <w:tcW w:w="1701" w:type="dxa"/>
            <w:tcBorders>
              <w:top w:val="nil"/>
              <w:left w:val="nil"/>
              <w:bottom w:val="single" w:color="auto" w:sz="4" w:space="0"/>
              <w:right w:val="single" w:color="auto" w:sz="4" w:space="0"/>
            </w:tcBorders>
            <w:shd w:val="clear" w:color="auto" w:fill="auto"/>
            <w:noWrap/>
            <w:vAlign w:val="center"/>
          </w:tcPr>
          <w:p w14:paraId="451A464E">
            <w:pPr>
              <w:jc w:val="center"/>
            </w:pPr>
            <w:r>
              <w:rPr>
                <w:rFonts w:ascii="宋体" w:hAnsi="宋体"/>
                <w:sz w:val="18"/>
              </w:rPr>
              <w:t>奇台县古城乡中心幼儿园2023年度工作计划</w:t>
            </w:r>
          </w:p>
        </w:tc>
        <w:tc>
          <w:tcPr>
            <w:tcW w:w="1134" w:type="dxa"/>
            <w:tcBorders>
              <w:top w:val="nil"/>
              <w:left w:val="nil"/>
              <w:bottom w:val="single" w:color="auto" w:sz="4" w:space="0"/>
              <w:right w:val="single" w:color="auto" w:sz="4" w:space="0"/>
            </w:tcBorders>
            <w:shd w:val="clear" w:color="auto" w:fill="auto"/>
            <w:noWrap/>
            <w:vAlign w:val="center"/>
          </w:tcPr>
          <w:p w14:paraId="1C07F495">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783EAE39">
            <w:pPr>
              <w:jc w:val="center"/>
            </w:pPr>
            <w:r>
              <w:rPr>
                <w:rFonts w:ascii="宋体" w:hAnsi="宋体"/>
                <w:sz w:val="18"/>
              </w:rPr>
              <w:t>32学时</w:t>
            </w:r>
          </w:p>
        </w:tc>
        <w:tc>
          <w:tcPr>
            <w:tcW w:w="720" w:type="dxa"/>
            <w:tcBorders>
              <w:top w:val="nil"/>
              <w:left w:val="nil"/>
              <w:bottom w:val="single" w:color="auto" w:sz="4" w:space="0"/>
              <w:right w:val="single" w:color="auto" w:sz="4" w:space="0"/>
            </w:tcBorders>
            <w:shd w:val="clear" w:color="auto" w:fill="auto"/>
            <w:noWrap/>
            <w:vAlign w:val="center"/>
          </w:tcPr>
          <w:p w14:paraId="17AEC675">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70032D3">
            <w:pPr>
              <w:widowControl/>
              <w:jc w:val="center"/>
              <w:rPr>
                <w:rFonts w:hint="eastAsia" w:ascii="宋体" w:hAnsi="宋体" w:cs="宋体"/>
                <w:kern w:val="0"/>
                <w:sz w:val="18"/>
                <w:szCs w:val="18"/>
              </w:rPr>
            </w:pPr>
          </w:p>
        </w:tc>
      </w:tr>
    </w:tbl>
    <w:p w14:paraId="4D5D513A">
      <w:pPr>
        <w:jc w:val="center"/>
        <w:rPr>
          <w:rFonts w:hint="eastAsia" w:ascii="宋体" w:hAnsi="宋体" w:cs="宋体"/>
          <w:b/>
          <w:bCs/>
          <w:kern w:val="0"/>
          <w:sz w:val="28"/>
          <w:szCs w:val="28"/>
        </w:rPr>
      </w:pPr>
    </w:p>
    <w:p w14:paraId="21ADA10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D081D6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BEAA3F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5DD7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A13FD56">
            <w:pPr>
              <w:jc w:val="center"/>
            </w:pPr>
            <w:r>
              <w:rPr>
                <w:rFonts w:ascii="宋体" w:hAnsi="宋体"/>
                <w:sz w:val="18"/>
              </w:rPr>
              <w:t>昌州财教（2022）82号2023年新疆西藏等地区教育特殊补助资金-园舍维修</w:t>
            </w:r>
          </w:p>
        </w:tc>
      </w:tr>
      <w:tr w14:paraId="23A5D11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A1C8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50A5DF6C">
            <w:pPr>
              <w:jc w:val="center"/>
            </w:pPr>
            <w:r>
              <w:rPr>
                <w:rFonts w:hint="eastAsia" w:ascii="宋体" w:hAnsi="宋体"/>
                <w:sz w:val="18"/>
              </w:rPr>
              <w:t>奇台县古城乡中心幼儿园</w:t>
            </w:r>
          </w:p>
        </w:tc>
        <w:tc>
          <w:tcPr>
            <w:tcW w:w="1275" w:type="dxa"/>
            <w:gridSpan w:val="2"/>
            <w:tcBorders>
              <w:top w:val="nil"/>
              <w:left w:val="nil"/>
              <w:bottom w:val="single" w:color="auto" w:sz="4" w:space="0"/>
              <w:right w:val="single" w:color="000000" w:sz="4" w:space="0"/>
            </w:tcBorders>
            <w:shd w:val="clear" w:color="auto" w:fill="auto"/>
            <w:vAlign w:val="center"/>
          </w:tcPr>
          <w:p w14:paraId="06791C5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F40CA82">
            <w:pPr>
              <w:jc w:val="center"/>
            </w:pPr>
            <w:r>
              <w:rPr>
                <w:rFonts w:hint="eastAsia" w:ascii="宋体" w:hAnsi="宋体"/>
                <w:sz w:val="18"/>
              </w:rPr>
              <w:t>奇台县古城乡中心幼儿园</w:t>
            </w:r>
          </w:p>
        </w:tc>
      </w:tr>
      <w:tr w14:paraId="2B707EA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524C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3F1E0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36FA1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C8328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EA34B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981B4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FF235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9F65D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7511F8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B6E97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52741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DFCA8CC">
            <w:pPr>
              <w:jc w:val="center"/>
            </w:pPr>
            <w:r>
              <w:rPr>
                <w:rFonts w:ascii="宋体" w:hAnsi="宋体"/>
                <w:sz w:val="18"/>
              </w:rPr>
              <w:t>46.12</w:t>
            </w:r>
          </w:p>
        </w:tc>
        <w:tc>
          <w:tcPr>
            <w:tcW w:w="1125" w:type="dxa"/>
            <w:tcBorders>
              <w:top w:val="nil"/>
              <w:left w:val="nil"/>
              <w:bottom w:val="single" w:color="auto" w:sz="4" w:space="0"/>
              <w:right w:val="single" w:color="auto" w:sz="4" w:space="0"/>
            </w:tcBorders>
            <w:shd w:val="clear" w:color="auto" w:fill="auto"/>
            <w:noWrap/>
            <w:vAlign w:val="center"/>
          </w:tcPr>
          <w:p w14:paraId="10E49C90">
            <w:pPr>
              <w:jc w:val="center"/>
            </w:pPr>
            <w:r>
              <w:rPr>
                <w:rFonts w:ascii="宋体" w:hAnsi="宋体"/>
                <w:sz w:val="18"/>
              </w:rPr>
              <w:t>46.12</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D56FCEE">
            <w:pPr>
              <w:jc w:val="center"/>
            </w:pPr>
            <w:r>
              <w:rPr>
                <w:rFonts w:ascii="宋体" w:hAnsi="宋体"/>
                <w:sz w:val="18"/>
              </w:rPr>
              <w:t>46.12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D320E46">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45A8F24">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132075C">
            <w:pPr>
              <w:jc w:val="center"/>
            </w:pPr>
            <w:r>
              <w:rPr>
                <w:rFonts w:ascii="宋体" w:hAnsi="宋体"/>
                <w:sz w:val="18"/>
              </w:rPr>
              <w:t>10.00</w:t>
            </w:r>
          </w:p>
        </w:tc>
      </w:tr>
      <w:tr w14:paraId="56C458A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E324B7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86DA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266C2F6">
            <w:pPr>
              <w:jc w:val="center"/>
            </w:pPr>
            <w:r>
              <w:rPr>
                <w:rFonts w:ascii="宋体" w:hAnsi="宋体"/>
                <w:sz w:val="18"/>
              </w:rPr>
              <w:t>46.12</w:t>
            </w:r>
          </w:p>
        </w:tc>
        <w:tc>
          <w:tcPr>
            <w:tcW w:w="1125" w:type="dxa"/>
            <w:tcBorders>
              <w:top w:val="nil"/>
              <w:left w:val="nil"/>
              <w:bottom w:val="single" w:color="auto" w:sz="4" w:space="0"/>
              <w:right w:val="single" w:color="auto" w:sz="4" w:space="0"/>
            </w:tcBorders>
            <w:shd w:val="clear" w:color="auto" w:fill="auto"/>
            <w:noWrap/>
            <w:vAlign w:val="center"/>
          </w:tcPr>
          <w:p w14:paraId="6B524CB4">
            <w:pPr>
              <w:jc w:val="center"/>
            </w:pPr>
            <w:r>
              <w:rPr>
                <w:rFonts w:ascii="宋体" w:hAnsi="宋体"/>
                <w:sz w:val="18"/>
              </w:rPr>
              <w:t>46.12</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F55809D">
            <w:pPr>
              <w:jc w:val="center"/>
            </w:pPr>
            <w:r>
              <w:rPr>
                <w:rFonts w:ascii="宋体" w:hAnsi="宋体"/>
                <w:sz w:val="18"/>
              </w:rPr>
              <w:t>46.12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E33DE2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6DF47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ECE98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2ABA7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8ABC4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663B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B0EF88F">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8626EA0">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33AC074">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FF5CAD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372F2B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BD55B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A35307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94121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2B11D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FCF2E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341FDC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59040E8">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A16E6AA">
            <w:pPr>
              <w:jc w:val="left"/>
            </w:pPr>
            <w:r>
              <w:rPr>
                <w:rFonts w:ascii="宋体" w:hAnsi="宋体"/>
                <w:sz w:val="18"/>
              </w:rPr>
              <w:t>此项目为园舍维修及设施设备购置款46.12万元，用于各部分换及加装教学楼暖气，维修阳光顶棚1300平方米，用于设备购置采购，可以有效改善现有办学条件，幼儿与及家长满意度达到95%以上。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7B9BCE30">
            <w:pPr>
              <w:jc w:val="left"/>
            </w:pPr>
            <w:r>
              <w:rPr>
                <w:rFonts w:ascii="宋体" w:hAnsi="宋体"/>
                <w:sz w:val="18"/>
              </w:rPr>
              <w:t>维修阳光顶棚面积：1300；购置设备数量：25；采购玩教具：1；维修改造验收合格率：100；设备购置验收合格率：100；维修开工的时间：2023；维修完成的时间：2023；项目预算控制率：100；维修改造及设备利用率：100%；师生满意度（%）：95%</w:t>
            </w:r>
          </w:p>
        </w:tc>
      </w:tr>
      <w:tr w14:paraId="32BB00C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5B0816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F60E6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38890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2CCB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677CF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D6235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B600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3122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F8E6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A83424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B19452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37FD7B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A8377C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097B1AA">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687979A">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ACFEEC6">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607F74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AA60E00">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F73DA1B">
            <w:pPr>
              <w:widowControl/>
              <w:jc w:val="left"/>
              <w:rPr>
                <w:rFonts w:hint="eastAsia" w:ascii="宋体" w:hAnsi="宋体" w:cs="宋体"/>
                <w:color w:val="000000"/>
                <w:kern w:val="0"/>
                <w:sz w:val="18"/>
                <w:szCs w:val="18"/>
              </w:rPr>
            </w:pPr>
          </w:p>
        </w:tc>
      </w:tr>
      <w:tr w14:paraId="318B646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892A36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C93080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FA6A53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1D182E">
            <w:pPr>
              <w:jc w:val="center"/>
            </w:pPr>
            <w:r>
              <w:rPr>
                <w:rFonts w:ascii="宋体" w:hAnsi="宋体"/>
                <w:sz w:val="18"/>
              </w:rPr>
              <w:t>维修阳光顶棚面积</w:t>
            </w:r>
          </w:p>
        </w:tc>
        <w:tc>
          <w:tcPr>
            <w:tcW w:w="1125" w:type="dxa"/>
            <w:tcBorders>
              <w:top w:val="nil"/>
              <w:left w:val="nil"/>
              <w:bottom w:val="single" w:color="auto" w:sz="4" w:space="0"/>
              <w:right w:val="single" w:color="auto" w:sz="4" w:space="0"/>
            </w:tcBorders>
            <w:shd w:val="clear" w:color="auto" w:fill="auto"/>
            <w:vAlign w:val="center"/>
          </w:tcPr>
          <w:p w14:paraId="42357773">
            <w:pPr>
              <w:jc w:val="center"/>
            </w:pPr>
            <w:r>
              <w:rPr>
                <w:rFonts w:ascii="宋体" w:hAnsi="宋体"/>
                <w:sz w:val="18"/>
              </w:rPr>
              <w:t>=1300平方米</w:t>
            </w:r>
          </w:p>
        </w:tc>
        <w:tc>
          <w:tcPr>
            <w:tcW w:w="1229" w:type="dxa"/>
            <w:tcBorders>
              <w:top w:val="nil"/>
              <w:left w:val="nil"/>
              <w:bottom w:val="single" w:color="auto" w:sz="4" w:space="0"/>
              <w:right w:val="single" w:color="auto" w:sz="4" w:space="0"/>
            </w:tcBorders>
            <w:shd w:val="clear" w:color="auto" w:fill="auto"/>
            <w:vAlign w:val="center"/>
          </w:tcPr>
          <w:p w14:paraId="18344F58">
            <w:pPr>
              <w:jc w:val="center"/>
            </w:pPr>
            <w:r>
              <w:rPr>
                <w:rFonts w:ascii="宋体" w:hAnsi="宋体"/>
                <w:sz w:val="18"/>
              </w:rPr>
              <w:t>=1300平方米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9D4B145">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FA176C9">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56EB3D">
            <w:pPr>
              <w:jc w:val="center"/>
            </w:pPr>
          </w:p>
        </w:tc>
      </w:tr>
      <w:tr w14:paraId="58F49B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982DD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24850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C1110A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B9853A">
            <w:pPr>
              <w:jc w:val="center"/>
            </w:pPr>
            <w:r>
              <w:rPr>
                <w:rFonts w:ascii="宋体" w:hAnsi="宋体"/>
                <w:sz w:val="18"/>
              </w:rPr>
              <w:t>购置设备数量</w:t>
            </w:r>
          </w:p>
        </w:tc>
        <w:tc>
          <w:tcPr>
            <w:tcW w:w="1125" w:type="dxa"/>
            <w:tcBorders>
              <w:top w:val="nil"/>
              <w:left w:val="nil"/>
              <w:bottom w:val="single" w:color="auto" w:sz="4" w:space="0"/>
              <w:right w:val="single" w:color="auto" w:sz="4" w:space="0"/>
            </w:tcBorders>
            <w:shd w:val="clear" w:color="auto" w:fill="auto"/>
            <w:vAlign w:val="center"/>
          </w:tcPr>
          <w:p w14:paraId="4938EDBE">
            <w:pPr>
              <w:jc w:val="center"/>
            </w:pPr>
            <w:r>
              <w:rPr>
                <w:rFonts w:ascii="宋体" w:hAnsi="宋体"/>
                <w:sz w:val="18"/>
              </w:rPr>
              <w:t>=25台</w:t>
            </w:r>
          </w:p>
        </w:tc>
        <w:tc>
          <w:tcPr>
            <w:tcW w:w="1229" w:type="dxa"/>
            <w:tcBorders>
              <w:top w:val="nil"/>
              <w:left w:val="nil"/>
              <w:bottom w:val="single" w:color="auto" w:sz="4" w:space="0"/>
              <w:right w:val="single" w:color="auto" w:sz="4" w:space="0"/>
            </w:tcBorders>
            <w:shd w:val="clear" w:color="auto" w:fill="auto"/>
            <w:vAlign w:val="center"/>
          </w:tcPr>
          <w:p w14:paraId="28056C8A">
            <w:pPr>
              <w:jc w:val="center"/>
            </w:pPr>
            <w:r>
              <w:rPr>
                <w:rFonts w:ascii="宋体" w:hAnsi="宋体"/>
                <w:sz w:val="18"/>
              </w:rPr>
              <w:t>=25台</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321ADCA">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E151F68">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62D0E4">
            <w:pPr>
              <w:jc w:val="center"/>
            </w:pPr>
          </w:p>
        </w:tc>
      </w:tr>
      <w:tr w14:paraId="7E412E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F52A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68EC8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6464CC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FC83C6">
            <w:pPr>
              <w:jc w:val="center"/>
            </w:pPr>
            <w:r>
              <w:rPr>
                <w:rFonts w:ascii="宋体" w:hAnsi="宋体"/>
                <w:sz w:val="18"/>
              </w:rPr>
              <w:t>采购玩教具</w:t>
            </w:r>
          </w:p>
        </w:tc>
        <w:tc>
          <w:tcPr>
            <w:tcW w:w="1125" w:type="dxa"/>
            <w:tcBorders>
              <w:top w:val="nil"/>
              <w:left w:val="nil"/>
              <w:bottom w:val="single" w:color="auto" w:sz="4" w:space="0"/>
              <w:right w:val="single" w:color="auto" w:sz="4" w:space="0"/>
            </w:tcBorders>
            <w:shd w:val="clear" w:color="auto" w:fill="auto"/>
            <w:vAlign w:val="center"/>
          </w:tcPr>
          <w:p w14:paraId="2F582B15">
            <w:pPr>
              <w:jc w:val="center"/>
            </w:pPr>
            <w:r>
              <w:rPr>
                <w:rFonts w:ascii="宋体" w:hAnsi="宋体"/>
                <w:sz w:val="18"/>
              </w:rPr>
              <w:t>=1批</w:t>
            </w:r>
          </w:p>
        </w:tc>
        <w:tc>
          <w:tcPr>
            <w:tcW w:w="1229" w:type="dxa"/>
            <w:tcBorders>
              <w:top w:val="nil"/>
              <w:left w:val="nil"/>
              <w:bottom w:val="single" w:color="auto" w:sz="4" w:space="0"/>
              <w:right w:val="single" w:color="auto" w:sz="4" w:space="0"/>
            </w:tcBorders>
            <w:shd w:val="clear" w:color="auto" w:fill="auto"/>
            <w:vAlign w:val="center"/>
          </w:tcPr>
          <w:p w14:paraId="64798A89">
            <w:pPr>
              <w:jc w:val="center"/>
            </w:pPr>
            <w:r>
              <w:rPr>
                <w:rFonts w:ascii="宋体" w:hAnsi="宋体"/>
                <w:sz w:val="18"/>
              </w:rPr>
              <w:t>=1批</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C495AB">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1AE8A2E">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FF7BE03">
            <w:pPr>
              <w:jc w:val="center"/>
            </w:pPr>
          </w:p>
        </w:tc>
      </w:tr>
      <w:tr w14:paraId="35A627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A25BF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AFD14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3FB640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387FCF">
            <w:pPr>
              <w:jc w:val="center"/>
            </w:pPr>
            <w:r>
              <w:rPr>
                <w:rFonts w:ascii="宋体" w:hAnsi="宋体"/>
                <w:sz w:val="18"/>
              </w:rPr>
              <w:t>维修改造验收合格率</w:t>
            </w:r>
          </w:p>
        </w:tc>
        <w:tc>
          <w:tcPr>
            <w:tcW w:w="1125" w:type="dxa"/>
            <w:tcBorders>
              <w:top w:val="nil"/>
              <w:left w:val="nil"/>
              <w:bottom w:val="single" w:color="auto" w:sz="4" w:space="0"/>
              <w:right w:val="single" w:color="auto" w:sz="4" w:space="0"/>
            </w:tcBorders>
            <w:shd w:val="clear" w:color="auto" w:fill="auto"/>
            <w:vAlign w:val="center"/>
          </w:tcPr>
          <w:p w14:paraId="088C154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119CA1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569D6A0">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85B99E8">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D2C4028">
            <w:pPr>
              <w:jc w:val="center"/>
            </w:pPr>
          </w:p>
        </w:tc>
      </w:tr>
      <w:tr w14:paraId="2F9E59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438C3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65F67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ADE63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65866D">
            <w:pPr>
              <w:jc w:val="center"/>
            </w:pPr>
            <w:r>
              <w:rPr>
                <w:rFonts w:ascii="宋体" w:hAnsi="宋体"/>
                <w:sz w:val="18"/>
              </w:rPr>
              <w:t>设备购置验收合格率</w:t>
            </w:r>
          </w:p>
        </w:tc>
        <w:tc>
          <w:tcPr>
            <w:tcW w:w="1125" w:type="dxa"/>
            <w:tcBorders>
              <w:top w:val="nil"/>
              <w:left w:val="nil"/>
              <w:bottom w:val="single" w:color="auto" w:sz="4" w:space="0"/>
              <w:right w:val="single" w:color="auto" w:sz="4" w:space="0"/>
            </w:tcBorders>
            <w:shd w:val="clear" w:color="auto" w:fill="auto"/>
            <w:vAlign w:val="center"/>
          </w:tcPr>
          <w:p w14:paraId="09E2D12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D7E789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7E443BE">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B07AD88">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992E9F">
            <w:pPr>
              <w:jc w:val="center"/>
            </w:pPr>
          </w:p>
        </w:tc>
      </w:tr>
      <w:tr w14:paraId="09CCF6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CD6EB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1D8A1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447A13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00CDC4">
            <w:pPr>
              <w:jc w:val="center"/>
            </w:pPr>
            <w:r>
              <w:rPr>
                <w:rFonts w:ascii="宋体" w:hAnsi="宋体"/>
                <w:sz w:val="18"/>
              </w:rPr>
              <w:t>维修开工的时间</w:t>
            </w:r>
          </w:p>
        </w:tc>
        <w:tc>
          <w:tcPr>
            <w:tcW w:w="1125" w:type="dxa"/>
            <w:tcBorders>
              <w:top w:val="nil"/>
              <w:left w:val="nil"/>
              <w:bottom w:val="single" w:color="auto" w:sz="4" w:space="0"/>
              <w:right w:val="single" w:color="auto" w:sz="4" w:space="0"/>
            </w:tcBorders>
            <w:shd w:val="clear" w:color="auto" w:fill="auto"/>
            <w:vAlign w:val="center"/>
          </w:tcPr>
          <w:p w14:paraId="78E2ABAC">
            <w:pPr>
              <w:jc w:val="center"/>
            </w:pPr>
            <w:r>
              <w:rPr>
                <w:rFonts w:ascii="宋体" w:hAnsi="宋体"/>
                <w:sz w:val="18"/>
              </w:rPr>
              <w:t>=2023年7月</w:t>
            </w:r>
          </w:p>
        </w:tc>
        <w:tc>
          <w:tcPr>
            <w:tcW w:w="1229" w:type="dxa"/>
            <w:tcBorders>
              <w:top w:val="nil"/>
              <w:left w:val="nil"/>
              <w:bottom w:val="single" w:color="auto" w:sz="4" w:space="0"/>
              <w:right w:val="single" w:color="auto" w:sz="4" w:space="0"/>
            </w:tcBorders>
            <w:shd w:val="clear" w:color="auto" w:fill="auto"/>
            <w:vAlign w:val="center"/>
          </w:tcPr>
          <w:p w14:paraId="2AE0CCAA">
            <w:pPr>
              <w:jc w:val="center"/>
            </w:pPr>
            <w:r>
              <w:rPr>
                <w:rFonts w:ascii="宋体" w:hAnsi="宋体"/>
                <w:sz w:val="18"/>
              </w:rPr>
              <w:t>=2023年7月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D184DE2">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8708C73">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0C8FE35">
            <w:pPr>
              <w:jc w:val="center"/>
            </w:pPr>
          </w:p>
        </w:tc>
      </w:tr>
      <w:tr w14:paraId="53D42F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16456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726FA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31C8E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F46BEE">
            <w:pPr>
              <w:jc w:val="center"/>
            </w:pPr>
            <w:r>
              <w:rPr>
                <w:rFonts w:ascii="宋体" w:hAnsi="宋体"/>
                <w:sz w:val="18"/>
              </w:rPr>
              <w:t>维修完成的时间</w:t>
            </w:r>
          </w:p>
        </w:tc>
        <w:tc>
          <w:tcPr>
            <w:tcW w:w="1125" w:type="dxa"/>
            <w:tcBorders>
              <w:top w:val="nil"/>
              <w:left w:val="nil"/>
              <w:bottom w:val="single" w:color="auto" w:sz="4" w:space="0"/>
              <w:right w:val="single" w:color="auto" w:sz="4" w:space="0"/>
            </w:tcBorders>
            <w:shd w:val="clear" w:color="auto" w:fill="auto"/>
            <w:vAlign w:val="center"/>
          </w:tcPr>
          <w:p w14:paraId="10DD5D89">
            <w:pPr>
              <w:jc w:val="center"/>
            </w:pPr>
            <w:r>
              <w:rPr>
                <w:rFonts w:ascii="宋体" w:hAnsi="宋体"/>
                <w:sz w:val="18"/>
              </w:rPr>
              <w:t>=2023年8月</w:t>
            </w:r>
          </w:p>
        </w:tc>
        <w:tc>
          <w:tcPr>
            <w:tcW w:w="1229" w:type="dxa"/>
            <w:tcBorders>
              <w:top w:val="nil"/>
              <w:left w:val="nil"/>
              <w:bottom w:val="single" w:color="auto" w:sz="4" w:space="0"/>
              <w:right w:val="single" w:color="auto" w:sz="4" w:space="0"/>
            </w:tcBorders>
            <w:shd w:val="clear" w:color="auto" w:fill="auto"/>
            <w:vAlign w:val="center"/>
          </w:tcPr>
          <w:p w14:paraId="1759FC9B">
            <w:pPr>
              <w:jc w:val="center"/>
            </w:pPr>
            <w:r>
              <w:rPr>
                <w:rFonts w:ascii="宋体" w:hAnsi="宋体"/>
                <w:sz w:val="18"/>
              </w:rPr>
              <w:t>=2023年8月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3C83BF">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697347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1C59439">
            <w:pPr>
              <w:jc w:val="center"/>
            </w:pPr>
          </w:p>
        </w:tc>
      </w:tr>
      <w:tr w14:paraId="329A33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29E8C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8D362D8">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083E8C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864BA6">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1E10F6F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BDF75D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6B97D1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500EB7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F553334">
            <w:pPr>
              <w:jc w:val="center"/>
            </w:pPr>
          </w:p>
        </w:tc>
      </w:tr>
      <w:tr w14:paraId="26224C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C8A87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CF3518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D8C0E72">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131A29">
            <w:pPr>
              <w:jc w:val="center"/>
            </w:pPr>
            <w:r>
              <w:rPr>
                <w:rFonts w:ascii="宋体" w:hAnsi="宋体"/>
                <w:sz w:val="18"/>
              </w:rPr>
              <w:t>维修改造及设备利用率</w:t>
            </w:r>
          </w:p>
        </w:tc>
        <w:tc>
          <w:tcPr>
            <w:tcW w:w="1125" w:type="dxa"/>
            <w:tcBorders>
              <w:top w:val="nil"/>
              <w:left w:val="nil"/>
              <w:bottom w:val="single" w:color="auto" w:sz="4" w:space="0"/>
              <w:right w:val="single" w:color="auto" w:sz="4" w:space="0"/>
            </w:tcBorders>
            <w:shd w:val="clear" w:color="auto" w:fill="auto"/>
            <w:vAlign w:val="center"/>
          </w:tcPr>
          <w:p w14:paraId="44DF5C5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7E6D12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F25A38">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87C181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BB627D1">
            <w:pPr>
              <w:jc w:val="center"/>
            </w:pPr>
          </w:p>
        </w:tc>
      </w:tr>
      <w:tr w14:paraId="6630844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E0807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AD1FA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BA371D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539688">
            <w:pPr>
              <w:jc w:val="center"/>
            </w:pPr>
            <w:r>
              <w:rPr>
                <w:rFonts w:ascii="宋体" w:hAnsi="宋体"/>
                <w:sz w:val="18"/>
              </w:rPr>
              <w:t>师生满意度（%）</w:t>
            </w:r>
          </w:p>
        </w:tc>
        <w:tc>
          <w:tcPr>
            <w:tcW w:w="1125" w:type="dxa"/>
            <w:tcBorders>
              <w:top w:val="nil"/>
              <w:left w:val="nil"/>
              <w:bottom w:val="single" w:color="auto" w:sz="4" w:space="0"/>
              <w:right w:val="single" w:color="auto" w:sz="4" w:space="0"/>
            </w:tcBorders>
            <w:shd w:val="clear" w:color="auto" w:fill="auto"/>
            <w:vAlign w:val="center"/>
          </w:tcPr>
          <w:p w14:paraId="29C2AD2F">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2C7AAC62">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933E9F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7A2A12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50E71CD">
            <w:pPr>
              <w:jc w:val="center"/>
            </w:pPr>
          </w:p>
        </w:tc>
      </w:tr>
      <w:tr w14:paraId="2D89D8D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E4EE06B">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63046028">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9E9BEF7">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74FDACD">
            <w:pPr>
              <w:jc w:val="center"/>
            </w:pPr>
          </w:p>
        </w:tc>
      </w:tr>
      <w:bookmarkEnd w:id="30"/>
    </w:tbl>
    <w:p w14:paraId="290A851D">
      <w:pPr>
        <w:ind w:firstLine="640" w:firstLineChars="200"/>
        <w:jc w:val="left"/>
        <w:rPr>
          <w:rFonts w:ascii="仿宋_GB2312" w:eastAsia="仿宋_GB2312"/>
          <w:sz w:val="32"/>
          <w:szCs w:val="32"/>
        </w:rPr>
      </w:pPr>
    </w:p>
    <w:p w14:paraId="3BC1F17F">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A5A5607">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07B28393">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666E62F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33D758E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77B429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EB70B3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4F367E8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8A0950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382DA4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DFDC06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C9D4C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BF4AF1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4ED9BD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6A80271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168D96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E6A014A">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03C053CC">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045B5968">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3F81A946">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6C47A8A3">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141D56A0">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4490F0B2">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076EBBD4">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3E285B5A">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2D457366">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5C68D28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C60F037">
      <w:pPr>
        <w:ind w:firstLine="640" w:firstLineChars="200"/>
        <w:rPr>
          <w:rFonts w:ascii="仿宋_GB2312" w:eastAsia="仿宋_GB2312"/>
          <w:sz w:val="32"/>
          <w:szCs w:val="32"/>
        </w:rPr>
      </w:pPr>
    </w:p>
    <w:p w14:paraId="6DEC34C9">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09808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54B06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3F54B06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9F0528"/>
    <w:rsid w:val="00007B4E"/>
    <w:rsid w:val="001C63A2"/>
    <w:rsid w:val="00213C59"/>
    <w:rsid w:val="0024360C"/>
    <w:rsid w:val="003210CE"/>
    <w:rsid w:val="003D6D84"/>
    <w:rsid w:val="00463A26"/>
    <w:rsid w:val="004A4BD6"/>
    <w:rsid w:val="006807A3"/>
    <w:rsid w:val="006868F2"/>
    <w:rsid w:val="006B5DA1"/>
    <w:rsid w:val="006E7955"/>
    <w:rsid w:val="007C0C2D"/>
    <w:rsid w:val="007D4C7F"/>
    <w:rsid w:val="00880CDC"/>
    <w:rsid w:val="009216FA"/>
    <w:rsid w:val="00925C19"/>
    <w:rsid w:val="00995D0C"/>
    <w:rsid w:val="009F0528"/>
    <w:rsid w:val="00AB0A41"/>
    <w:rsid w:val="00B70D59"/>
    <w:rsid w:val="00C03447"/>
    <w:rsid w:val="00C96D76"/>
    <w:rsid w:val="00D91457"/>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3E31B0"/>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174846"/>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5250</Words>
  <Characters>6121</Characters>
  <Lines>56</Lines>
  <Paragraphs>15</Paragraphs>
  <TotalTime>33</TotalTime>
  <ScaleCrop>false</ScaleCrop>
  <LinksUpToDate>false</LinksUpToDate>
  <CharactersWithSpaces>6130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摘星</cp:lastModifiedBy>
  <dcterms:modified xsi:type="dcterms:W3CDTF">2025-07-15T03:52:59Z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eyJoZGlkIjoiMTgyY2Y5Y2UxZjkwY2NiYzg1MTM4ZmQzOTFhYWJhY2IiLCJ1c2VySWQiOiIzMDg3MDI3MzAifQ==</vt:lpwstr>
  </property>
</Properties>
</file>