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color w:val="auto"/>
          <w:kern w:val="0"/>
          <w:sz w:val="52"/>
          <w:szCs w:val="52"/>
        </w:rPr>
      </w:pPr>
      <w:bookmarkStart w:id="9" w:name="_GoBack"/>
      <w:bookmarkEnd w:id="9"/>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昌吉州中小学校园环境改造提升工程</w:t>
      </w:r>
      <w:r>
        <w:rPr>
          <w:rFonts w:eastAsia="方正小标宋_GBK"/>
          <w:kern w:val="0"/>
          <w:sz w:val="48"/>
          <w:szCs w:val="48"/>
        </w:rPr>
        <w:t>资金项目支出绩效评价报告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lang w:val="en-US" w:eastAsia="zh-CN"/>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2"/>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昌吉州中小学校园环境改造提升工程</w:t>
      </w:r>
    </w:p>
    <w:p>
      <w:pPr>
        <w:spacing w:line="700" w:lineRule="exact"/>
        <w:jc w:val="left"/>
        <w:rPr>
          <w:rFonts w:hint="default" w:eastAsia="仿宋_GB2312"/>
          <w:kern w:val="0"/>
          <w:sz w:val="36"/>
          <w:szCs w:val="36"/>
          <w:lang w:val="en-US" w:eastAsia="zh-CN"/>
        </w:rPr>
      </w:pPr>
      <w:r>
        <w:rPr>
          <w:rFonts w:eastAsia="仿宋_GB2312"/>
          <w:kern w:val="0"/>
          <w:sz w:val="36"/>
          <w:szCs w:val="36"/>
        </w:rPr>
        <w:t>实施单位（公章）</w:t>
      </w:r>
      <w:r>
        <w:rPr>
          <w:rFonts w:hint="eastAsia" w:eastAsia="仿宋_GB2312"/>
          <w:kern w:val="0"/>
          <w:sz w:val="36"/>
          <w:szCs w:val="36"/>
          <w:lang w:eastAsia="zh-CN"/>
        </w:rPr>
        <w:t>：</w:t>
      </w:r>
      <w:r>
        <w:rPr>
          <w:rFonts w:hint="eastAsia" w:eastAsia="仿宋_GB2312"/>
          <w:kern w:val="0"/>
          <w:sz w:val="36"/>
          <w:szCs w:val="36"/>
          <w:lang w:val="en-US" w:eastAsia="zh-CN"/>
        </w:rPr>
        <w:t>奇台县第五小学</w:t>
      </w:r>
    </w:p>
    <w:p>
      <w:pPr>
        <w:spacing w:line="700" w:lineRule="exact"/>
        <w:jc w:val="left"/>
        <w:rPr>
          <w:rFonts w:hint="default" w:eastAsia="仿宋_GB2312"/>
          <w:kern w:val="0"/>
          <w:sz w:val="36"/>
          <w:szCs w:val="36"/>
          <w:lang w:val="en-US" w:eastAsia="zh-CN"/>
        </w:rPr>
      </w:pPr>
      <w:r>
        <w:rPr>
          <w:rFonts w:eastAsia="仿宋_GB2312"/>
          <w:kern w:val="0"/>
          <w:sz w:val="36"/>
          <w:szCs w:val="36"/>
        </w:rPr>
        <w:t>主管部门（公章）：</w:t>
      </w:r>
      <w:r>
        <w:rPr>
          <w:rFonts w:hint="eastAsia" w:eastAsia="仿宋_GB2312"/>
          <w:kern w:val="0"/>
          <w:sz w:val="36"/>
          <w:szCs w:val="36"/>
          <w:lang w:val="en-US" w:eastAsia="zh-CN"/>
        </w:rPr>
        <w:t>奇台县教育局</w:t>
      </w:r>
    </w:p>
    <w:p>
      <w:pPr>
        <w:spacing w:line="700" w:lineRule="exact"/>
        <w:jc w:val="left"/>
        <w:rPr>
          <w:rFonts w:hint="default" w:eastAsia="仿宋_GB2312"/>
          <w:kern w:val="0"/>
          <w:sz w:val="36"/>
          <w:szCs w:val="36"/>
          <w:lang w:val="en-US" w:eastAsia="zh-CN"/>
        </w:rPr>
      </w:pPr>
      <w:r>
        <w:rPr>
          <w:rFonts w:eastAsia="仿宋_GB2312"/>
          <w:kern w:val="0"/>
          <w:sz w:val="36"/>
          <w:szCs w:val="36"/>
        </w:rPr>
        <w:t>项目负责人（签章）：</w:t>
      </w:r>
      <w:r>
        <w:rPr>
          <w:rFonts w:hint="eastAsia" w:eastAsia="仿宋_GB2312"/>
          <w:kern w:val="0"/>
          <w:sz w:val="36"/>
          <w:szCs w:val="36"/>
          <w:lang w:val="en-US" w:eastAsia="zh-CN"/>
        </w:rPr>
        <w:t>马佳佳</w:t>
      </w:r>
    </w:p>
    <w:p>
      <w:pPr>
        <w:spacing w:line="700" w:lineRule="exact"/>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2023</w:t>
      </w:r>
      <w:r>
        <w:rPr>
          <w:rFonts w:eastAsia="仿宋_GB2312"/>
          <w:kern w:val="0"/>
          <w:sz w:val="36"/>
          <w:szCs w:val="36"/>
        </w:rPr>
        <w:t>年</w:t>
      </w:r>
      <w:r>
        <w:rPr>
          <w:rFonts w:hint="eastAsia" w:eastAsia="仿宋_GB2312"/>
          <w:kern w:val="0"/>
          <w:sz w:val="36"/>
          <w:szCs w:val="36"/>
          <w:lang w:val="en-US" w:eastAsia="zh-CN"/>
        </w:rPr>
        <w:t>4</w:t>
      </w:r>
      <w:r>
        <w:rPr>
          <w:rFonts w:eastAsia="仿宋_GB2312"/>
          <w:kern w:val="0"/>
          <w:sz w:val="36"/>
          <w:szCs w:val="36"/>
        </w:rPr>
        <w:t>月</w:t>
      </w:r>
      <w:r>
        <w:rPr>
          <w:rFonts w:hint="eastAsia" w:eastAsia="仿宋_GB2312"/>
          <w:kern w:val="0"/>
          <w:sz w:val="36"/>
          <w:szCs w:val="36"/>
          <w:lang w:val="en-US" w:eastAsia="zh-CN"/>
        </w:rPr>
        <w:t>16</w:t>
      </w:r>
      <w:r>
        <w:rPr>
          <w:rFonts w:eastAsia="仿宋_GB2312"/>
          <w:kern w:val="0"/>
          <w:sz w:val="36"/>
          <w:szCs w:val="36"/>
        </w:rPr>
        <w:t>日</w:t>
      </w:r>
    </w:p>
    <w:p>
      <w:pPr>
        <w:spacing w:line="540" w:lineRule="exact"/>
        <w:jc w:val="center"/>
        <w:rPr>
          <w:rFonts w:eastAsia="仿宋_GB2312"/>
          <w:kern w:val="0"/>
          <w:sz w:val="30"/>
          <w:szCs w:val="30"/>
        </w:rPr>
      </w:pPr>
    </w:p>
    <w:p>
      <w:pPr>
        <w:tabs>
          <w:tab w:val="left" w:pos="617"/>
        </w:tabs>
        <w:spacing w:line="540" w:lineRule="exact"/>
        <w:rPr>
          <w:rStyle w:val="15"/>
          <w:rFonts w:hint="eastAsia" w:eastAsia="黑体"/>
          <w:b w:val="0"/>
          <w:spacing w:val="-4"/>
          <w:sz w:val="32"/>
          <w:szCs w:val="32"/>
          <w:lang w:eastAsia="zh-CN"/>
        </w:rPr>
      </w:pPr>
    </w:p>
    <w:p>
      <w:pPr>
        <w:pStyle w:val="2"/>
        <w:rPr>
          <w:rStyle w:val="15"/>
          <w:rFonts w:hint="eastAsia" w:eastAsia="黑体"/>
          <w:b w:val="0"/>
          <w:bCs/>
          <w:spacing w:val="-4"/>
          <w:sz w:val="32"/>
          <w:szCs w:val="32"/>
          <w:lang w:eastAsia="zh-CN"/>
        </w:rPr>
      </w:pPr>
    </w:p>
    <w:p>
      <w:pPr>
        <w:rPr>
          <w:rFonts w:hint="eastAsia"/>
          <w:lang w:eastAsia="zh-CN"/>
        </w:r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spacing w:line="560" w:lineRule="exact"/>
        <w:ind w:firstLine="640" w:firstLineChars="200"/>
        <w:rPr>
          <w:rStyle w:val="15"/>
          <w:rFonts w:hint="eastAsia" w:eastAsia="黑体"/>
          <w:b w:val="0"/>
          <w:bCs/>
          <w:spacing w:val="-4"/>
          <w:sz w:val="32"/>
          <w:szCs w:val="32"/>
          <w:highlight w:val="yellow"/>
          <w:lang w:eastAsia="zh-CN"/>
        </w:rPr>
      </w:pPr>
      <w:r>
        <w:rPr>
          <w:rFonts w:hint="eastAsia" w:eastAsia="仿宋_GB2312"/>
          <w:sz w:val="32"/>
          <w:szCs w:val="32"/>
          <w:lang w:val="en-US" w:eastAsia="zh-CN"/>
        </w:rPr>
        <w:t>在“十四五”时期，是乘势而上开启建设社会主义现代化国家新征程、向第二个百年奋斗目标进军的第一个五年，按照党中央、国务院关于加强县域高中建设的决策部署，为整体提升县</w:t>
      </w:r>
      <w:r>
        <w:rPr>
          <w:rFonts w:hint="eastAsia" w:eastAsia="仿宋_GB2312"/>
          <w:sz w:val="32"/>
          <w:szCs w:val="32"/>
          <w:highlight w:val="none"/>
          <w:lang w:val="en-US" w:eastAsia="zh-CN"/>
        </w:rPr>
        <w:t>中办学条件，根据州人民政府《关于做好中小学校园环境改造提升工程的通知》</w:t>
      </w:r>
      <w:r>
        <w:rPr>
          <w:rFonts w:hint="eastAsia" w:eastAsia="仿宋_GB2312"/>
          <w:sz w:val="32"/>
          <w:szCs w:val="32"/>
          <w:highlight w:val="none"/>
        </w:rPr>
        <w:t>（昌州政办通[2023]92号）</w:t>
      </w:r>
      <w:r>
        <w:rPr>
          <w:rFonts w:hint="eastAsia" w:eastAsia="仿宋_GB2312"/>
          <w:sz w:val="32"/>
          <w:szCs w:val="32"/>
          <w:highlight w:val="none"/>
          <w:lang w:val="en-US" w:eastAsia="zh-CN"/>
        </w:rPr>
        <w:t>文件要求，</w:t>
      </w:r>
      <w:r>
        <w:rPr>
          <w:rFonts w:hint="eastAsia" w:eastAsia="仿宋_GB2312"/>
          <w:sz w:val="32"/>
          <w:szCs w:val="32"/>
        </w:rPr>
        <w:t>奇台县第五小学校园</w:t>
      </w:r>
      <w:r>
        <w:rPr>
          <w:rFonts w:hint="eastAsia" w:eastAsia="仿宋_GB2312"/>
          <w:sz w:val="32"/>
          <w:szCs w:val="32"/>
          <w:highlight w:val="none"/>
          <w:lang w:val="en-US" w:eastAsia="zh-CN"/>
        </w:rPr>
        <w:t>致力于校园文化建设，发挥校园文化育人功能，对校园校舍、体育馆进行维修改造，促进普通初中新课程新教材实施具有重要意义</w:t>
      </w:r>
      <w:r>
        <w:rPr>
          <w:rStyle w:val="15"/>
          <w:rFonts w:hint="eastAsia" w:eastAsia="黑体"/>
          <w:b w:val="0"/>
          <w:bCs/>
          <w:spacing w:val="-4"/>
          <w:sz w:val="32"/>
          <w:szCs w:val="32"/>
          <w:highlight w:val="none"/>
          <w:lang w:eastAsia="zh-CN"/>
        </w:rPr>
        <w:t>。</w:t>
      </w:r>
    </w:p>
    <w:p>
      <w:pPr>
        <w:pStyle w:val="2"/>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pPr>
        <w:spacing w:line="560" w:lineRule="exact"/>
        <w:ind w:firstLine="600" w:firstLineChars="200"/>
        <w:rPr>
          <w:rFonts w:hint="eastAsia" w:eastAsia="黑体"/>
          <w:highlight w:val="yellow"/>
          <w:lang w:eastAsia="zh-CN"/>
        </w:rPr>
      </w:pPr>
      <w:r>
        <w:rPr>
          <w:rFonts w:hint="eastAsia" w:ascii="仿宋_GB2312" w:hAnsi="仿宋_GB2312" w:eastAsia="仿宋_GB2312" w:cs="仿宋_GB2312"/>
          <w:sz w:val="30"/>
          <w:szCs w:val="30"/>
          <w:highlight w:val="none"/>
          <w:lang w:val="en-US" w:eastAsia="zh-CN"/>
        </w:rPr>
        <w:t>根据昌吉州人民政府《关于做好中小学校园环境改造提升工程的通知》（昌州政办通[2023]92号）拟投入151万元改善校园环境。通过项目的实施完成各类指标.维修改造工程数量3个、维修改造任务完成率达100%、维修改造验收合格率达100%、项目资金支付率大于等于90%、维修改造按期完成率达100%、项目预算控制率小于等于100%、广大师生员工的教学环境得到改善</w:t>
      </w:r>
      <w:r>
        <w:rPr>
          <w:rFonts w:hint="eastAsia" w:eastAsia="仿宋_GB2312"/>
          <w:sz w:val="32"/>
          <w:szCs w:val="32"/>
          <w:lang w:eastAsia="zh-CN"/>
        </w:rPr>
        <w:t>。</w:t>
      </w:r>
    </w:p>
    <w:p>
      <w:pPr>
        <w:spacing w:line="560" w:lineRule="exact"/>
        <w:ind w:firstLine="640" w:firstLineChars="200"/>
        <w:rPr>
          <w:rFonts w:hint="eastAsia" w:eastAsia="仿宋_GB2312"/>
          <w:lang w:eastAsia="zh-CN"/>
        </w:rPr>
      </w:pPr>
      <w:r>
        <w:rPr>
          <w:rFonts w:eastAsia="仿宋_GB2312"/>
          <w:sz w:val="32"/>
          <w:szCs w:val="32"/>
        </w:rPr>
        <w:t>项目实施情况：</w:t>
      </w:r>
      <w:r>
        <w:rPr>
          <w:rFonts w:hint="eastAsia" w:eastAsia="仿宋_GB2312"/>
          <w:sz w:val="32"/>
          <w:szCs w:val="32"/>
        </w:rPr>
        <w:t>通过项目的实施进一步改善奇台县第五小学校</w:t>
      </w:r>
      <w:r>
        <w:rPr>
          <w:rFonts w:hint="eastAsia" w:eastAsia="仿宋_GB2312"/>
          <w:sz w:val="32"/>
          <w:szCs w:val="32"/>
          <w:lang w:val="en-US" w:eastAsia="zh-CN"/>
        </w:rPr>
        <w:t>校</w:t>
      </w:r>
      <w:r>
        <w:rPr>
          <w:rFonts w:hint="eastAsia" w:eastAsia="仿宋_GB2312"/>
          <w:sz w:val="32"/>
          <w:szCs w:val="32"/>
        </w:rPr>
        <w:t>园硬件建设，</w:t>
      </w:r>
      <w:r>
        <w:rPr>
          <w:rFonts w:hint="eastAsia" w:eastAsia="仿宋_GB2312"/>
          <w:sz w:val="32"/>
          <w:szCs w:val="32"/>
          <w:lang w:val="en-US" w:eastAsia="zh-CN"/>
        </w:rPr>
        <w:t>维修改造面积为24840</w:t>
      </w:r>
      <w:r>
        <w:rPr>
          <w:rFonts w:hint="eastAsia" w:eastAsia="仿宋_GB2312"/>
          <w:sz w:val="32"/>
          <w:szCs w:val="32"/>
        </w:rPr>
        <w:t>平方米</w:t>
      </w:r>
      <w:r>
        <w:rPr>
          <w:rFonts w:hint="eastAsia" w:eastAsia="仿宋_GB2312"/>
          <w:sz w:val="32"/>
          <w:szCs w:val="32"/>
          <w:lang w:eastAsia="zh-CN"/>
        </w:rPr>
        <w:t>，</w:t>
      </w:r>
      <w:r>
        <w:rPr>
          <w:rFonts w:hint="eastAsia" w:eastAsia="仿宋_GB2312"/>
          <w:sz w:val="32"/>
          <w:szCs w:val="32"/>
        </w:rPr>
        <w:t>促进教学实施新课程新教材重要意义，广大师生员工的教学环境得到改善</w:t>
      </w:r>
      <w:r>
        <w:rPr>
          <w:rFonts w:hint="eastAsia" w:eastAsia="仿宋_GB2312"/>
          <w:sz w:val="32"/>
          <w:szCs w:val="32"/>
          <w:lang w:eastAsia="zh-CN"/>
        </w:rPr>
        <w:t>。</w:t>
      </w:r>
    </w:p>
    <w:p>
      <w:pPr>
        <w:spacing w:line="560" w:lineRule="exact"/>
        <w:ind w:firstLine="643" w:firstLineChars="200"/>
        <w:rPr>
          <w:rFonts w:eastAsia="仿宋_GB2312"/>
          <w:b/>
          <w:bCs/>
          <w:sz w:val="32"/>
          <w:szCs w:val="32"/>
        </w:rPr>
      </w:pPr>
      <w:r>
        <w:rPr>
          <w:rFonts w:eastAsia="仿宋_GB2312"/>
          <w:b/>
          <w:bCs/>
          <w:sz w:val="32"/>
          <w:szCs w:val="32"/>
        </w:rPr>
        <w:t>3、资金投入和使用情况</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（1）资金投入情况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该项目年初预算数151万元，全年预算数151万元，实际总投入151万元，该项目资金已全部落实到位，资金来源为自治区转移支付资金。</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（2）资金使用情况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该项目年初预算数151万元，全年预算数151万元，全年执行数103.91万元，预算执行率为68.81%，主要用于：奇台县第五小学的校园环境改造和维修，使教学环境得到改善。</w:t>
      </w:r>
    </w:p>
    <w:p>
      <w:pPr>
        <w:spacing w:line="560" w:lineRule="exact"/>
        <w:ind w:firstLine="643"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1、总体目标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根据昌吉州人民政府《关于做好中小学校园环境改造提升工程的通知》（昌州政办通[2023]92号）拟投入151万元改善校园环境。通过项目的实施完成各类指标.维修改造工程数量3个、维修改造任务完成率达100%、维修改造验收合格率达100%、项目资金支付率大于等于90%、维修改造按期完成率达100%、项目预算控制率小于等于100%、广大师生员工的教学环境得到改善，师生满意度大于等于90%。</w:t>
      </w:r>
    </w:p>
    <w:p>
      <w:pPr>
        <w:numPr>
          <w:ilvl w:val="0"/>
          <w:numId w:val="1"/>
        </w:numPr>
        <w:spacing w:line="560" w:lineRule="exact"/>
        <w:ind w:left="0" w:leftChars="0" w:firstLine="640" w:firstLineChars="200"/>
        <w:rPr>
          <w:rFonts w:eastAsia="仿宋_GB2312"/>
          <w:sz w:val="32"/>
          <w:szCs w:val="32"/>
        </w:rPr>
      </w:pPr>
      <w:r>
        <w:rPr>
          <w:rFonts w:eastAsia="仿宋_GB2312"/>
          <w:sz w:val="32"/>
          <w:szCs w:val="32"/>
        </w:rPr>
        <w:t>阶段性目标</w:t>
      </w:r>
    </w:p>
    <w:p>
      <w:pPr>
        <w:numPr>
          <w:ilvl w:val="0"/>
          <w:numId w:val="0"/>
        </w:numPr>
        <w:spacing w:line="560" w:lineRule="exact"/>
        <w:ind w:firstLine="640" w:firstLineChars="200"/>
        <w:rPr>
          <w:rFonts w:hint="eastAsia" w:ascii="仿宋_GB2312" w:hAnsi="仿宋_GB2312" w:eastAsia="仿宋_GB2312" w:cs="仿宋_GB2312"/>
          <w:color w:val="FF0000"/>
          <w:sz w:val="30"/>
          <w:szCs w:val="30"/>
          <w:highlight w:val="none"/>
          <w:lang w:val="en-US" w:eastAsia="zh-CN"/>
        </w:rPr>
      </w:pPr>
      <w:r>
        <w:rPr>
          <w:rFonts w:hint="eastAsia" w:eastAsia="仿宋_GB2312"/>
          <w:sz w:val="32"/>
          <w:szCs w:val="32"/>
          <w:highlight w:val="none"/>
          <w:lang w:val="en-US" w:eastAsia="zh-CN"/>
        </w:rPr>
        <w:t>对</w:t>
      </w:r>
      <w:r>
        <w:rPr>
          <w:rFonts w:hint="eastAsia" w:eastAsia="仿宋_GB2312"/>
          <w:sz w:val="32"/>
          <w:szCs w:val="32"/>
        </w:rPr>
        <w:t>奇台县第五小学校</w:t>
      </w:r>
      <w:r>
        <w:rPr>
          <w:rFonts w:hint="eastAsia" w:eastAsia="仿宋_GB2312"/>
          <w:sz w:val="32"/>
          <w:szCs w:val="32"/>
          <w:highlight w:val="none"/>
          <w:lang w:val="en-US" w:eastAsia="zh-CN"/>
        </w:rPr>
        <w:t>进行维修改造面积为24840平方米，维修改造验收合格率为100%；项目按计划开工时间：2023年7月；改善广大师生员工的教学环境。</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pStyle w:val="18"/>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昌吉州中小学校园环境改造提升工程</w:t>
      </w:r>
      <w:r>
        <w:rPr>
          <w:rFonts w:hint="eastAsia" w:ascii="仿宋_GB2312" w:hAnsi="仿宋_GB2312" w:eastAsia="仿宋_GB2312" w:cs="仿宋_GB2312"/>
          <w:sz w:val="32"/>
          <w:szCs w:val="32"/>
          <w:highlight w:val="none"/>
          <w:lang w:val="en-US" w:eastAsia="zh-CN"/>
        </w:rPr>
        <w:t>项目</w:t>
      </w:r>
      <w:r>
        <w:rPr>
          <w:rFonts w:hint="eastAsia" w:ascii="仿宋_GB2312" w:hAnsi="仿宋_GB2312" w:eastAsia="仿宋_GB2312" w:cs="仿宋_GB2312"/>
          <w:sz w:val="32"/>
          <w:szCs w:val="32"/>
          <w:highlight w:val="none"/>
        </w:rPr>
        <w:t>所包含的全部项目内容。</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60"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次评价从项目决策（包括绩效目标、决策过程）、项目管理（包括项目资金、项目实施）、项目产出（包括项目产出数量、产出质量、产出时效和产出成本）项目效益四个维度对昌吉州中小学校园环境改造提升工程项目进行评价，评价核心为专项资金的支出完成情况和效果。</w:t>
      </w:r>
    </w:p>
    <w:p>
      <w:pPr>
        <w:spacing w:line="560" w:lineRule="exact"/>
        <w:ind w:firstLine="643" w:firstLineChars="200"/>
      </w:pPr>
      <w:r>
        <w:rPr>
          <w:rFonts w:eastAsia="楷体_GB2312"/>
          <w:b/>
          <w:bCs/>
          <w:sz w:val="32"/>
          <w:szCs w:val="32"/>
        </w:rPr>
        <w:t>（二）绩效评价原则、评价指标体系（详情见表1）、评价方法、评价标准。</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w:t>
      </w:r>
      <w:r>
        <w:rPr>
          <w:rFonts w:hint="eastAsia" w:eastAsia="仿宋_GB2312"/>
          <w:color w:val="000000"/>
          <w:spacing w:val="17"/>
          <w:sz w:val="32"/>
          <w:szCs w:val="32"/>
          <w:lang w:val="en-US" w:eastAsia="zh-CN"/>
        </w:rPr>
        <w:t>计划标准和历史</w:t>
      </w:r>
      <w:r>
        <w:rPr>
          <w:rFonts w:hint="eastAsia" w:eastAsia="仿宋_GB2312"/>
          <w:color w:val="000000"/>
          <w:spacing w:val="17"/>
          <w:sz w:val="32"/>
          <w:szCs w:val="32"/>
        </w:rPr>
        <w:t>标准。</w:t>
      </w:r>
    </w:p>
    <w:p>
      <w:pPr>
        <w:spacing w:line="560" w:lineRule="exact"/>
        <w:ind w:firstLine="708" w:firstLineChars="200"/>
        <w:rPr>
          <w:rFonts w:eastAsia="仿宋_GB2312"/>
          <w:color w:val="000000"/>
          <w:spacing w:val="17"/>
          <w:sz w:val="32"/>
          <w:szCs w:val="32"/>
        </w:rPr>
      </w:pPr>
      <w:bookmarkStart w:id="0" w:name="_Toc31464"/>
      <w:bookmarkStart w:id="1" w:name="_Toc17882"/>
      <w:r>
        <w:rPr>
          <w:rFonts w:hint="eastAsia" w:eastAsia="仿宋_GB2312"/>
          <w:color w:val="000000"/>
          <w:spacing w:val="17"/>
          <w:sz w:val="32"/>
          <w:szCs w:val="32"/>
        </w:rPr>
        <w:t>计划标准：指以预先制定的目标、计划、预算、定额等作为评价标准。</w:t>
      </w:r>
      <w:bookmarkEnd w:id="0"/>
      <w:bookmarkEnd w:id="1"/>
    </w:p>
    <w:p>
      <w:pPr>
        <w:spacing w:line="560" w:lineRule="exact"/>
        <w:ind w:firstLine="708" w:firstLineChars="200"/>
        <w:rPr>
          <w:rFonts w:eastAsia="仿宋_GB2312"/>
          <w:color w:val="000000"/>
          <w:spacing w:val="17"/>
          <w:sz w:val="32"/>
          <w:szCs w:val="32"/>
        </w:rPr>
      </w:pPr>
      <w:bookmarkStart w:id="2" w:name="_Toc2318"/>
      <w:bookmarkStart w:id="3" w:name="_Toc5633"/>
      <w:r>
        <w:rPr>
          <w:rFonts w:hint="eastAsia" w:eastAsia="仿宋_GB2312"/>
          <w:color w:val="000000"/>
          <w:spacing w:val="17"/>
          <w:sz w:val="32"/>
          <w:szCs w:val="32"/>
        </w:rPr>
        <w:t>行业标准：指参照国家公布的行业指标数据制定的评价标准。</w:t>
      </w:r>
      <w:bookmarkEnd w:id="2"/>
      <w:bookmarkEnd w:id="3"/>
    </w:p>
    <w:p>
      <w:pPr>
        <w:spacing w:line="560" w:lineRule="exact"/>
        <w:ind w:firstLine="708" w:firstLineChars="200"/>
        <w:rPr>
          <w:rFonts w:eastAsia="方正仿宋_GBK" w:cs="方正仿宋_GBK"/>
          <w:sz w:val="32"/>
          <w:szCs w:val="32"/>
        </w:rPr>
      </w:pPr>
      <w:bookmarkStart w:id="4" w:name="_Toc16028"/>
      <w:bookmarkStart w:id="5" w:name="_Toc430"/>
      <w:r>
        <w:rPr>
          <w:rFonts w:hint="eastAsia" w:eastAsia="仿宋_GB2312"/>
          <w:color w:val="000000"/>
          <w:spacing w:val="17"/>
          <w:sz w:val="32"/>
          <w:szCs w:val="32"/>
        </w:rPr>
        <w:t>历史标准：指参照历史数据制定的评价标准，为体现绩效改进的原则，在可实现的条件下应当确定相对较高的评价标准。</w:t>
      </w:r>
      <w:bookmarkEnd w:id="4"/>
      <w:bookmarkEnd w:id="5"/>
    </w:p>
    <w:p>
      <w:pPr>
        <w:pStyle w:val="2"/>
        <w:numPr>
          <w:ilvl w:val="0"/>
          <w:numId w:val="3"/>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rPr>
      </w:pPr>
      <w:r>
        <w:rPr>
          <w:rFonts w:hint="eastAsia" w:eastAsia="仿宋_GB2312"/>
          <w:bCs/>
          <w:sz w:val="32"/>
          <w:szCs w:val="32"/>
          <w:lang w:val="en-US" w:eastAsia="zh-CN"/>
        </w:rPr>
        <w:t>1.</w:t>
      </w: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rPr>
      </w:pPr>
      <w:r>
        <w:rPr>
          <w:rFonts w:hint="eastAsia" w:eastAsia="仿宋_GB2312"/>
          <w:bCs/>
          <w:sz w:val="32"/>
          <w:szCs w:val="32"/>
          <w:lang w:val="en-US" w:eastAsia="zh-CN"/>
        </w:rPr>
        <w:t>2.</w:t>
      </w: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sz w:val="32"/>
          <w:szCs w:val="32"/>
        </w:rPr>
      </w:pPr>
      <w:r>
        <w:rPr>
          <w:rFonts w:hint="eastAsia" w:eastAsia="仿宋_GB2312"/>
          <w:bCs/>
          <w:sz w:val="32"/>
          <w:szCs w:val="32"/>
          <w:lang w:val="en-US" w:eastAsia="zh-CN"/>
        </w:rPr>
        <w:t>3.</w:t>
      </w: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lang w:val="en-US" w:eastAsia="zh-CN"/>
        </w:rPr>
      </w:pPr>
      <w:r>
        <w:rPr>
          <w:rFonts w:hint="eastAsia" w:ascii="Times New Roman" w:hAnsi="Times New Roman" w:eastAsia="楷体_GB2312"/>
          <w:lang w:eastAsia="zh-CN"/>
        </w:rPr>
        <w:t>（</w:t>
      </w:r>
      <w:r>
        <w:rPr>
          <w:rFonts w:hint="eastAsia" w:ascii="Times New Roman" w:hAnsi="Times New Roman" w:eastAsia="楷体_GB2312"/>
          <w:lang w:val="en-US" w:eastAsia="zh-CN"/>
        </w:rPr>
        <w:t>一</w:t>
      </w:r>
      <w:r>
        <w:rPr>
          <w:rFonts w:hint="eastAsia" w:ascii="Times New Roman" w:hAnsi="Times New Roman" w:eastAsia="楷体_GB2312"/>
          <w:lang w:eastAsia="zh-CN"/>
        </w:rPr>
        <w:t>）</w:t>
      </w:r>
      <w:r>
        <w:rPr>
          <w:rFonts w:hint="eastAsia" w:ascii="Times New Roman" w:hAnsi="Times New Roman" w:eastAsia="楷体_GB2312"/>
          <w:lang w:val="en-US" w:eastAsia="zh-CN"/>
        </w:rPr>
        <w:t>评价情况</w:t>
      </w:r>
    </w:p>
    <w:p>
      <w:pPr>
        <w:shd w:val="clear"/>
        <w:spacing w:line="600" w:lineRule="exact"/>
        <w:ind w:firstLine="640" w:firstLineChars="200"/>
        <w:outlineLvl w:val="0"/>
        <w:rPr>
          <w:rFonts w:hint="default"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lang w:val="en-US" w:eastAsia="zh-CN"/>
        </w:rPr>
      </w:pPr>
      <w:r>
        <w:rPr>
          <w:rFonts w:hint="eastAsia" w:ascii="Times New Roman" w:hAnsi="Times New Roman" w:eastAsia="楷体_GB2312" w:cs="Times New Roman"/>
          <w:lang w:eastAsia="zh-CN"/>
        </w:rPr>
        <w:t>（</w:t>
      </w:r>
      <w:r>
        <w:rPr>
          <w:rFonts w:hint="eastAsia" w:ascii="Times New Roman" w:hAnsi="Times New Roman" w:eastAsia="楷体_GB2312" w:cs="Times New Roman"/>
          <w:lang w:val="en-US" w:eastAsia="zh-CN"/>
        </w:rPr>
        <w:t>二</w:t>
      </w:r>
      <w:r>
        <w:rPr>
          <w:rFonts w:hint="eastAsia" w:ascii="Times New Roman" w:hAnsi="Times New Roman" w:eastAsia="楷体_GB2312" w:cs="Times New Roman"/>
          <w:lang w:eastAsia="zh-CN"/>
        </w:rPr>
        <w:t>）</w:t>
      </w:r>
      <w:r>
        <w:rPr>
          <w:rFonts w:hint="eastAsia" w:ascii="Times New Roman" w:hAnsi="Times New Roman" w:eastAsia="楷体_GB2312" w:cs="Times New Roman"/>
          <w:lang w:val="en-US" w:eastAsia="zh-CN"/>
        </w:rPr>
        <w:t>评价结论</w:t>
      </w:r>
    </w:p>
    <w:p>
      <w:pPr>
        <w:pStyle w:val="2"/>
        <w:widowControl w:val="0"/>
        <w:spacing w:before="0" w:after="0" w:line="560" w:lineRule="exact"/>
        <w:ind w:firstLine="640" w:firstLineChars="200"/>
        <w:jc w:val="both"/>
        <w:outlineLvl w:val="9"/>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b w:val="0"/>
          <w:bCs w:val="0"/>
          <w:highlight w:val="none"/>
          <w:lang w:val="en-US" w:eastAsia="zh-CN"/>
        </w:rPr>
        <w:t>94.45</w:t>
      </w:r>
      <w:r>
        <w:rPr>
          <w:rFonts w:hint="eastAsia" w:ascii="Times New Roman" w:hAnsi="Times New Roman" w:eastAsia="仿宋_GB2312"/>
          <w:b w:val="0"/>
          <w:bCs w:val="0"/>
          <w:highlight w:val="none"/>
        </w:rPr>
        <w:t>分，属于“优”。其中，项目决策类指标权重为20分，得分为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18.75</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93.75</w:t>
      </w:r>
      <w:r>
        <w:rPr>
          <w:rFonts w:hint="eastAsia"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35.7</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89.25</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sz w:val="30"/>
          <w:szCs w:val="30"/>
          <w:highlight w:val="none"/>
        </w:rPr>
      </w:pPr>
      <w:r>
        <w:rPr>
          <w:rFonts w:ascii="Times New Roman" w:hAnsi="Times New Roman" w:eastAsia="仿宋_GB2312"/>
          <w:sz w:val="30"/>
          <w:szCs w:val="30"/>
          <w:highlight w:val="none"/>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217"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highlight w:val="none"/>
              </w:rPr>
            </w:pPr>
            <w:r>
              <w:rPr>
                <w:rFonts w:hint="eastAsia"/>
                <w:b/>
                <w:bCs/>
                <w:color w:val="000000"/>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highlight w:val="none"/>
              </w:rPr>
            </w:pPr>
            <w:r>
              <w:rPr>
                <w:rFonts w:hint="eastAsia"/>
                <w:b/>
                <w:bCs/>
                <w:color w:val="000000"/>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highlight w:val="none"/>
              </w:rPr>
            </w:pPr>
            <w:r>
              <w:rPr>
                <w:rFonts w:hint="eastAsia"/>
                <w:b/>
                <w:bCs/>
                <w:color w:val="000000"/>
                <w:sz w:val="22"/>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highlight w:val="none"/>
              </w:rPr>
            </w:pPr>
            <w:r>
              <w:rPr>
                <w:rFonts w:hint="eastAsia"/>
                <w:color w:val="000000"/>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highlight w:val="none"/>
                <w:lang w:val="en-US" w:eastAsia="zh-CN"/>
              </w:rPr>
            </w:pPr>
            <w:r>
              <w:rPr>
                <w:rFonts w:hint="eastAsia"/>
                <w:color w:val="000000"/>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highlight w:val="none"/>
                <w:lang w:val="en-US" w:eastAsia="zh-CN"/>
              </w:rPr>
            </w:pPr>
            <w:r>
              <w:rPr>
                <w:rFonts w:hint="eastAsia"/>
                <w:color w:val="000000"/>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highlight w:val="none"/>
              </w:rPr>
            </w:pPr>
            <w:r>
              <w:rPr>
                <w:rFonts w:hint="eastAsia"/>
                <w:color w:val="000000"/>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highlight w:val="none"/>
                <w:lang w:val="en-US" w:eastAsia="zh-CN"/>
              </w:rPr>
            </w:pPr>
            <w:r>
              <w:rPr>
                <w:rFonts w:hint="eastAsia"/>
                <w:color w:val="000000"/>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highlight w:val="none"/>
                <w:lang w:val="en-US" w:eastAsia="zh-CN"/>
              </w:rPr>
            </w:pPr>
            <w:r>
              <w:rPr>
                <w:rFonts w:hint="eastAsia"/>
                <w:color w:val="000000"/>
                <w:sz w:val="22"/>
                <w:highlight w:val="none"/>
                <w:lang w:val="en-US" w:eastAsia="zh-CN"/>
              </w:rPr>
              <w:t>18.75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highlight w:val="none"/>
              </w:rPr>
            </w:pPr>
            <w:r>
              <w:rPr>
                <w:rFonts w:hint="eastAsia"/>
                <w:color w:val="000000"/>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highlight w:val="none"/>
                <w:lang w:val="en-US" w:eastAsia="zh-CN"/>
              </w:rPr>
            </w:pPr>
            <w:r>
              <w:rPr>
                <w:rFonts w:hint="eastAsia"/>
                <w:color w:val="000000"/>
                <w:sz w:val="2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highlight w:val="none"/>
                <w:lang w:val="en-US" w:eastAsia="zh-CN"/>
              </w:rPr>
            </w:pPr>
            <w:r>
              <w:rPr>
                <w:rFonts w:hint="eastAsia"/>
                <w:color w:val="000000"/>
                <w:sz w:val="22"/>
                <w:highlight w:val="none"/>
                <w:lang w:val="en-US" w:eastAsia="zh-CN"/>
              </w:rPr>
              <w:t>35.7</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highlight w:val="none"/>
              </w:rPr>
            </w:pPr>
            <w:r>
              <w:rPr>
                <w:rFonts w:hint="eastAsia"/>
                <w:color w:val="000000"/>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highlight w:val="none"/>
                <w:lang w:val="en-US" w:eastAsia="zh-CN"/>
              </w:rPr>
            </w:pPr>
            <w:r>
              <w:rPr>
                <w:rFonts w:hint="eastAsia"/>
                <w:color w:val="000000"/>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highlight w:val="none"/>
                <w:lang w:val="en-US" w:eastAsia="zh-CN"/>
              </w:rPr>
            </w:pPr>
            <w:r>
              <w:rPr>
                <w:rFonts w:hint="eastAsia"/>
                <w:color w:val="000000"/>
                <w:sz w:val="22"/>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sz w:val="22"/>
                <w:highlight w:val="none"/>
                <w:lang w:val="en-US" w:eastAsia="zh-CN"/>
              </w:rPr>
            </w:pPr>
            <w:r>
              <w:rPr>
                <w:rFonts w:hint="eastAsia"/>
                <w:b/>
                <w:bCs/>
                <w:color w:val="000000"/>
                <w:sz w:val="2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sz w:val="22"/>
                <w:highlight w:val="none"/>
                <w:lang w:val="en-US" w:eastAsia="zh-CN"/>
              </w:rPr>
            </w:pPr>
            <w:r>
              <w:rPr>
                <w:rFonts w:hint="eastAsia"/>
                <w:b/>
                <w:bCs/>
                <w:color w:val="000000"/>
                <w:sz w:val="22"/>
                <w:highlight w:val="none"/>
                <w:lang w:val="en-US" w:eastAsia="zh-CN"/>
              </w:rPr>
              <w:t>94.45</w:t>
            </w:r>
          </w:p>
        </w:tc>
      </w:tr>
    </w:tbl>
    <w:p>
      <w:pPr>
        <w:spacing w:line="560" w:lineRule="exact"/>
        <w:ind w:firstLine="640" w:firstLineChars="200"/>
        <w:rPr>
          <w:rFonts w:eastAsia="黑体"/>
          <w:sz w:val="32"/>
          <w:szCs w:val="32"/>
          <w:highlight w:val="none"/>
        </w:rPr>
      </w:pPr>
      <w:r>
        <w:rPr>
          <w:rFonts w:eastAsia="黑体"/>
          <w:sz w:val="32"/>
          <w:szCs w:val="32"/>
          <w:highlight w:val="none"/>
        </w:rPr>
        <w:t>四、绩效评价指标分析</w:t>
      </w:r>
    </w:p>
    <w:p>
      <w:pPr>
        <w:pStyle w:val="2"/>
        <w:spacing w:before="0" w:after="0" w:line="560" w:lineRule="exact"/>
        <w:ind w:firstLine="643" w:firstLineChars="200"/>
        <w:jc w:val="both"/>
        <w:rPr>
          <w:rFonts w:ascii="Times New Roman" w:hAnsi="Times New Roman" w:eastAsia="楷体_GB2312"/>
          <w:highlight w:val="none"/>
        </w:rPr>
      </w:pPr>
      <w:r>
        <w:rPr>
          <w:rFonts w:ascii="Times New Roman" w:hAnsi="Times New Roman" w:eastAsia="楷体_GB2312"/>
          <w:highlight w:val="none"/>
        </w:rPr>
        <w:t>（一）项目决策情况</w:t>
      </w:r>
    </w:p>
    <w:p>
      <w:pPr>
        <w:shd w:val="clear"/>
        <w:spacing w:line="600" w:lineRule="exact"/>
        <w:ind w:firstLine="600" w:firstLineChars="200"/>
        <w:outlineLvl w:val="0"/>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项目决策类指标包括项目立项、绩效目标和资金投入三方面的内容，由6个三级指标构成，权重分值为20分，实际得分20分，得分率为100%。</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1.项目立项</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（1）立项依据充分性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（2）立项程序规范性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项目申请、设立过程符合相关要求，</w:t>
      </w:r>
      <w:r>
        <w:rPr>
          <w:rFonts w:hint="eastAsia" w:ascii="仿宋_GB2312" w:hAnsi="仿宋_GB2312" w:eastAsia="仿宋_GB2312" w:cs="仿宋_GB2312"/>
          <w:sz w:val="32"/>
          <w:szCs w:val="32"/>
          <w:highlight w:val="none"/>
          <w:lang w:eastAsia="zh-Hans"/>
        </w:rPr>
        <w:t>严格按照审批流程准备符合要求的文件、材料；</w:t>
      </w:r>
      <w:r>
        <w:rPr>
          <w:rFonts w:hint="eastAsia" w:ascii="仿宋_GB2312" w:hAnsi="仿宋_GB2312" w:eastAsia="仿宋_GB2312" w:cs="仿宋_GB2312"/>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绩效评估，保障了程序的规范性。</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2.绩效目标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（1）绩效目标合理性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Hans"/>
        </w:rPr>
        <w:t>年初结合实际工作内容</w:t>
      </w:r>
      <w:r>
        <w:rPr>
          <w:rFonts w:hint="eastAsia" w:ascii="仿宋_GB2312" w:hAnsi="仿宋_GB2312" w:eastAsia="仿宋_GB2312" w:cs="仿宋_GB2312"/>
          <w:sz w:val="32"/>
          <w:szCs w:val="32"/>
          <w:highlight w:val="none"/>
          <w:lang w:val="en-US" w:eastAsia="zh-CN"/>
        </w:rPr>
        <w:t>设定绩效目标</w:t>
      </w:r>
      <w:r>
        <w:rPr>
          <w:rFonts w:hint="eastAsia" w:ascii="仿宋_GB2312" w:hAnsi="仿宋_GB2312" w:eastAsia="仿宋_GB2312" w:cs="仿宋_GB2312"/>
          <w:sz w:val="32"/>
          <w:szCs w:val="32"/>
          <w:highlight w:val="none"/>
          <w:lang w:val="en-US" w:eastAsia="zh-Hans"/>
        </w:rPr>
        <w:t>，绩效目标</w:t>
      </w:r>
      <w:r>
        <w:rPr>
          <w:rFonts w:hint="eastAsia" w:ascii="仿宋_GB2312" w:hAnsi="仿宋_GB2312" w:eastAsia="仿宋_GB2312" w:cs="仿宋_GB2312"/>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（2）绩效指标明确性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3.资金投入</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（1）预算编制科学性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预算编制经过科学论证，提供充分的测算依据佐证资料，预算内容与项目内容相匹配。项目投资额与工作任务相匹配。</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（2）资金分配合理性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资金分配额度与项目单位实际工作内容相适应，资金分配额度合理，资金分配依据充分。</w:t>
      </w:r>
    </w:p>
    <w:p>
      <w:pPr>
        <w:pStyle w:val="2"/>
        <w:numPr>
          <w:ilvl w:val="0"/>
          <w:numId w:val="5"/>
        </w:numPr>
        <w:spacing w:before="0" w:after="0" w:line="560" w:lineRule="exact"/>
        <w:ind w:firstLine="643" w:firstLineChars="200"/>
        <w:jc w:val="both"/>
        <w:rPr>
          <w:rFonts w:ascii="楷体" w:hAnsi="楷体" w:eastAsia="楷体" w:cs="楷体"/>
          <w:highlight w:val="none"/>
        </w:rPr>
      </w:pPr>
      <w:r>
        <w:rPr>
          <w:rFonts w:hint="eastAsia" w:ascii="楷体" w:hAnsi="楷体" w:eastAsia="楷体" w:cs="楷体"/>
          <w:highlight w:val="none"/>
        </w:rPr>
        <w:t>项目过程情况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项目过程类指标包括资金管理和组织实施两方面的内容，由5个三级指标构成，权重分值为20分，实际得分18.75分，得分率为93.75%。</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1.资金管理</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（1）资金到位率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本项目总投资151万元，财政资金及时足额到位，到位率100%，预算资金按计划进度执行。</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（2）预算执行率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预算编制较为详细，项目资金支出总体能够按照预算执行，预算资金支出103.91万元，预算执行率为68.81%。</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（3）资金使用合规性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2.组织实施</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（1）管理制度健全性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（2）制度执行有效性</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1"/>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lang w:val="en-US" w:eastAsia="zh-CN"/>
        </w:rPr>
        <w:t>情况</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项目产出类指标包括产出数量、产出质量、产出时效、产出成本四方面的内容，由7个三级指标构成，权重分为40分，实际得分35.7分，得分率为89.25%。具体产出指标完成情况如下：</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数量指标：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指标1：维修改造工程数量，指标值</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个，实际完成值：=</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rPr>
        <w:t>个，指标完成率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指标2：</w:t>
      </w:r>
      <w:r>
        <w:rPr>
          <w:rFonts w:hint="eastAsia" w:ascii="仿宋_GB2312" w:hAnsi="仿宋_GB2312" w:eastAsia="仿宋_GB2312" w:cs="仿宋_GB2312"/>
          <w:sz w:val="32"/>
          <w:szCs w:val="32"/>
          <w:highlight w:val="none"/>
          <w:lang w:val="en-US" w:eastAsia="zh-CN"/>
        </w:rPr>
        <w:t>维修改造面积，</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&gt;=</w:t>
      </w:r>
      <w:r>
        <w:rPr>
          <w:rFonts w:hint="eastAsia" w:ascii="仿宋_GB2312" w:hAnsi="仿宋_GB2312" w:eastAsia="仿宋_GB2312" w:cs="仿宋_GB2312"/>
          <w:sz w:val="32"/>
          <w:szCs w:val="32"/>
          <w:highlight w:val="none"/>
          <w:lang w:val="en-US" w:eastAsia="zh-CN"/>
        </w:rPr>
        <w:t>24840</w:t>
      </w:r>
      <w:r>
        <w:rPr>
          <w:rFonts w:hint="eastAsia" w:ascii="仿宋_GB2312" w:hAnsi="仿宋_GB2312" w:eastAsia="仿宋_GB2312" w:cs="仿宋_GB2312"/>
          <w:sz w:val="32"/>
          <w:szCs w:val="32"/>
          <w:highlight w:val="none"/>
        </w:rPr>
        <w:t>平方米，实际完成值：=</w:t>
      </w:r>
      <w:r>
        <w:rPr>
          <w:rFonts w:hint="eastAsia" w:ascii="仿宋_GB2312" w:hAnsi="仿宋_GB2312" w:eastAsia="仿宋_GB2312" w:cs="仿宋_GB2312"/>
          <w:sz w:val="32"/>
          <w:szCs w:val="32"/>
          <w:highlight w:val="none"/>
          <w:lang w:val="en-US" w:eastAsia="zh-CN"/>
        </w:rPr>
        <w:t>24840平方米</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质量指标：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维修改造验收合格率，指标值：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 xml:space="preserve"> ，实际完成值：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指标2：项目资金支付率</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&gt;=90%</w:t>
      </w:r>
      <w:r>
        <w:rPr>
          <w:rFonts w:hint="eastAsia" w:ascii="仿宋_GB2312" w:hAnsi="仿宋_GB2312" w:eastAsia="仿宋_GB2312" w:cs="仿宋_GB2312"/>
          <w:sz w:val="32"/>
          <w:szCs w:val="32"/>
          <w:highlight w:val="none"/>
        </w:rPr>
        <w:t xml:space="preserve"> ，实际完成值：</w:t>
      </w:r>
      <w:r>
        <w:rPr>
          <w:rFonts w:hint="eastAsia" w:ascii="仿宋_GB2312" w:hAnsi="仿宋_GB2312" w:eastAsia="仿宋_GB2312" w:cs="仿宋_GB2312"/>
          <w:sz w:val="32"/>
          <w:szCs w:val="32"/>
          <w:highlight w:val="none"/>
          <w:lang w:val="en-US" w:eastAsia="zh-CN"/>
        </w:rPr>
        <w:t>=68.81%</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76.46</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偏差原因：由于财政资金未到位，没有及时支付；改进措施：积极和教育局和财政沟通及时支付。</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3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③</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时效指标：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指标1：</w:t>
      </w:r>
      <w:r>
        <w:rPr>
          <w:rFonts w:hint="eastAsia" w:ascii="仿宋_GB2312" w:hAnsi="仿宋_GB2312" w:eastAsia="仿宋_GB2312" w:cs="仿宋_GB2312"/>
          <w:sz w:val="32"/>
          <w:szCs w:val="32"/>
          <w:highlight w:val="none"/>
        </w:rPr>
        <w:t>项目按计划开工时间，指标值：</w:t>
      </w:r>
      <w:r>
        <w:rPr>
          <w:rFonts w:hint="eastAsia" w:ascii="仿宋_GB2312" w:hAnsi="仿宋_GB2312" w:eastAsia="仿宋_GB2312" w:cs="仿宋_GB2312"/>
          <w:sz w:val="32"/>
          <w:szCs w:val="32"/>
          <w:highlight w:val="none"/>
          <w:lang w:val="en-US" w:eastAsia="zh-CN"/>
        </w:rPr>
        <w:t>&lt;=2023年8月</w:t>
      </w:r>
      <w:r>
        <w:rPr>
          <w:rFonts w:hint="eastAsia" w:ascii="仿宋_GB2312" w:hAnsi="仿宋_GB2312" w:eastAsia="仿宋_GB2312" w:cs="仿宋_GB2312"/>
          <w:sz w:val="32"/>
          <w:szCs w:val="32"/>
          <w:highlight w:val="none"/>
        </w:rPr>
        <w:t xml:space="preserve"> ，实际完成值：</w:t>
      </w:r>
      <w:r>
        <w:rPr>
          <w:rFonts w:hint="eastAsia" w:ascii="仿宋_GB2312" w:hAnsi="仿宋_GB2312" w:eastAsia="仿宋_GB2312" w:cs="仿宋_GB2312"/>
          <w:sz w:val="32"/>
          <w:szCs w:val="32"/>
          <w:highlight w:val="none"/>
          <w:lang w:val="en-US" w:eastAsia="zh-CN"/>
        </w:rPr>
        <w:t>=2023年7月</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指标2：项目按计划完工时间，</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&lt;=2023年9月</w:t>
      </w:r>
      <w:r>
        <w:rPr>
          <w:rFonts w:hint="eastAsia" w:ascii="仿宋_GB2312" w:hAnsi="仿宋_GB2312" w:eastAsia="仿宋_GB2312" w:cs="仿宋_GB2312"/>
          <w:sz w:val="32"/>
          <w:szCs w:val="32"/>
          <w:highlight w:val="none"/>
        </w:rPr>
        <w:t xml:space="preserve"> ，实际完成值：</w:t>
      </w:r>
      <w:r>
        <w:rPr>
          <w:rFonts w:hint="eastAsia" w:ascii="仿宋_GB2312" w:hAnsi="仿宋_GB2312" w:eastAsia="仿宋_GB2312" w:cs="仿宋_GB2312"/>
          <w:sz w:val="32"/>
          <w:szCs w:val="32"/>
          <w:highlight w:val="none"/>
          <w:lang w:val="en-US" w:eastAsia="zh-CN"/>
        </w:rPr>
        <w:t>=2023年8月</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4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④</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成本指标：</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指标1：项目预算控制率，</w:t>
      </w:r>
      <w:r>
        <w:rPr>
          <w:rFonts w:hint="eastAsia" w:ascii="仿宋_GB2312" w:hAnsi="仿宋_GB2312" w:eastAsia="仿宋_GB2312" w:cs="仿宋_GB2312"/>
          <w:sz w:val="32"/>
          <w:szCs w:val="32"/>
          <w:highlight w:val="none"/>
        </w:rPr>
        <w:t>指标值：&lt;=100%，实际完成值：</w:t>
      </w:r>
      <w:r>
        <w:rPr>
          <w:rFonts w:hint="eastAsia" w:ascii="仿宋_GB2312" w:hAnsi="仿宋_GB2312" w:eastAsia="仿宋_GB2312" w:cs="仿宋_GB2312"/>
          <w:sz w:val="32"/>
          <w:szCs w:val="32"/>
          <w:highlight w:val="none"/>
          <w:lang w:val="en-US" w:eastAsia="zh-CN"/>
        </w:rPr>
        <w:t>=68.81%</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68.81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偏差原因：由于财政资金未到位，没有及时支付；改进措施：积极和教育局和财政沟通及时支付。</w:t>
      </w:r>
    </w:p>
    <w:p>
      <w:pPr>
        <w:pStyle w:val="11"/>
        <w:numPr>
          <w:ilvl w:val="0"/>
          <w:numId w:val="5"/>
        </w:numPr>
        <w:spacing w:line="560" w:lineRule="exact"/>
        <w:ind w:firstLine="643"/>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highlight w:val="none"/>
          <w:lang w:val="en-US" w:eastAsia="zh-CN"/>
        </w:rPr>
        <w:t>项目效益类指标包括项目实施效益和满意度两方面的内容，由2个三级指标构成，权重分为20分，实际得分20分，得分率为100%。具体效益指标</w:t>
      </w:r>
      <w:r>
        <w:rPr>
          <w:rFonts w:hint="eastAsia" w:ascii="仿宋_GB2312" w:hAnsi="仿宋_GB2312" w:eastAsia="仿宋_GB2312" w:cs="仿宋_GB2312"/>
          <w:sz w:val="32"/>
          <w:szCs w:val="32"/>
          <w:lang w:val="en-US" w:eastAsia="zh-CN"/>
        </w:rPr>
        <w:t>及满意度指标完成情况如下：</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1.实施效益</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微软雅黑" w:hAnsi="微软雅黑" w:eastAsia="微软雅黑" w:cs="微软雅黑"/>
          <w:sz w:val="32"/>
          <w:szCs w:val="32"/>
          <w:highlight w:val="none"/>
        </w:rPr>
        <w:t>①</w:t>
      </w:r>
      <w:r>
        <w:rPr>
          <w:rFonts w:hint="eastAsia" w:ascii="仿宋_GB2312" w:hAnsi="仿宋_GB2312" w:eastAsia="仿宋_GB2312" w:cs="仿宋_GB2312"/>
          <w:sz w:val="32"/>
          <w:szCs w:val="32"/>
          <w:highlight w:val="none"/>
        </w:rPr>
        <w:t>社会效益指标：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val="en-US" w:eastAsia="zh-CN"/>
        </w:rPr>
        <w:t>指标1：</w:t>
      </w:r>
      <w:r>
        <w:rPr>
          <w:rFonts w:hint="eastAsia" w:ascii="仿宋_GB2312" w:hAnsi="仿宋_GB2312" w:eastAsia="仿宋_GB2312" w:cs="仿宋_GB2312"/>
          <w:sz w:val="32"/>
          <w:szCs w:val="32"/>
          <w:highlight w:val="none"/>
        </w:rPr>
        <w:t>改善广大师生员工的教学环境，指标值：</w:t>
      </w:r>
      <w:r>
        <w:rPr>
          <w:rFonts w:hint="eastAsia" w:ascii="仿宋_GB2312" w:hAnsi="仿宋_GB2312" w:eastAsia="仿宋_GB2312" w:cs="仿宋_GB2312"/>
          <w:sz w:val="32"/>
          <w:szCs w:val="32"/>
          <w:highlight w:val="none"/>
          <w:lang w:val="en-US" w:eastAsia="zh-CN"/>
        </w:rPr>
        <w:t>有效改善</w:t>
      </w:r>
      <w:r>
        <w:rPr>
          <w:rFonts w:hint="eastAsia" w:ascii="仿宋_GB2312" w:hAnsi="仿宋_GB2312" w:eastAsia="仿宋_GB2312" w:cs="仿宋_GB2312"/>
          <w:sz w:val="32"/>
          <w:szCs w:val="32"/>
          <w:highlight w:val="none"/>
        </w:rPr>
        <w:t xml:space="preserve"> ，实际完成值：</w:t>
      </w:r>
      <w:r>
        <w:rPr>
          <w:rFonts w:hint="eastAsia" w:ascii="仿宋_GB2312" w:hAnsi="仿宋_GB2312" w:eastAsia="仿宋_GB2312" w:cs="仿宋_GB2312"/>
          <w:sz w:val="32"/>
          <w:szCs w:val="32"/>
          <w:highlight w:val="none"/>
          <w:lang w:val="en-US" w:eastAsia="zh-CN"/>
        </w:rPr>
        <w:t>有效改善</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2.满意度</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满意度指标</w:t>
      </w:r>
    </w:p>
    <w:p>
      <w:pPr>
        <w:shd w:val="clear"/>
        <w:spacing w:line="600" w:lineRule="exact"/>
        <w:ind w:firstLine="640" w:firstLineChars="200"/>
        <w:outlineLvl w:val="0"/>
        <w:rPr>
          <w:rFonts w:hint="default" w:ascii="Times New Roman" w:hAnsi="Times New Roman" w:eastAsia="黑体" w:cs="Times New Roman"/>
          <w:sz w:val="32"/>
          <w:szCs w:val="32"/>
          <w:lang w:val="en-US" w:eastAsia="zh-Hans"/>
        </w:rPr>
      </w:pPr>
      <w:r>
        <w:rPr>
          <w:rFonts w:hint="eastAsia" w:ascii="仿宋_GB2312" w:hAnsi="仿宋_GB2312" w:eastAsia="仿宋_GB2312" w:cs="仿宋_GB2312"/>
          <w:sz w:val="32"/>
          <w:szCs w:val="32"/>
          <w:highlight w:val="none"/>
          <w:lang w:val="en-US" w:eastAsia="zh-CN"/>
        </w:rPr>
        <w:t>指标1：师生满意度，指标值：&gt;=90%，实际完成值：=90%，指标完成率：100%。</w:t>
      </w:r>
    </w:p>
    <w:p>
      <w:pPr>
        <w:spacing w:line="560" w:lineRule="exact"/>
        <w:ind w:firstLine="640" w:firstLineChars="200"/>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pPr>
        <w:shd w:val="clear"/>
        <w:spacing w:line="600" w:lineRule="exact"/>
        <w:ind w:firstLine="640" w:firstLineChars="200"/>
        <w:outlineLvl w:val="0"/>
        <w:rPr>
          <w:rFonts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昌吉州中小学校园环境改造提升工程项目年初预算</w:t>
      </w:r>
      <w:r>
        <w:rPr>
          <w:rFonts w:hint="eastAsia" w:eastAsia="仿宋_GB2312" w:cs="Times New Roman"/>
          <w:kern w:val="2"/>
          <w:sz w:val="32"/>
          <w:szCs w:val="32"/>
          <w:lang w:val="en-US" w:eastAsia="zh-CN" w:bidi="ar-SA"/>
        </w:rPr>
        <w:t>151</w:t>
      </w:r>
      <w:r>
        <w:rPr>
          <w:rFonts w:hint="eastAsia" w:ascii="Times New Roman" w:hAnsi="Times New Roman" w:eastAsia="仿宋_GB2312" w:cs="Times New Roman"/>
          <w:kern w:val="2"/>
          <w:sz w:val="32"/>
          <w:szCs w:val="32"/>
          <w:lang w:val="en-US" w:eastAsia="zh-CN" w:bidi="ar-SA"/>
        </w:rPr>
        <w:t>万元，全年预算</w:t>
      </w:r>
      <w:r>
        <w:rPr>
          <w:rFonts w:hint="eastAsia" w:eastAsia="仿宋_GB2312" w:cs="Times New Roman"/>
          <w:kern w:val="2"/>
          <w:sz w:val="32"/>
          <w:szCs w:val="32"/>
          <w:lang w:val="en-US" w:eastAsia="zh-CN" w:bidi="ar-SA"/>
        </w:rPr>
        <w:t>151</w:t>
      </w:r>
      <w:r>
        <w:rPr>
          <w:rFonts w:hint="eastAsia" w:ascii="Times New Roman" w:hAnsi="Times New Roman" w:eastAsia="仿宋_GB2312" w:cs="Times New Roman"/>
          <w:kern w:val="2"/>
          <w:sz w:val="32"/>
          <w:szCs w:val="32"/>
          <w:lang w:val="en-US" w:eastAsia="zh-CN" w:bidi="ar-SA"/>
        </w:rPr>
        <w:t>万元，实际支出</w:t>
      </w:r>
      <w:r>
        <w:rPr>
          <w:rFonts w:hint="eastAsia" w:eastAsia="仿宋_GB2312" w:cs="Times New Roman"/>
          <w:kern w:val="2"/>
          <w:sz w:val="32"/>
          <w:szCs w:val="32"/>
          <w:lang w:val="en-US" w:eastAsia="zh-CN" w:bidi="ar-SA"/>
        </w:rPr>
        <w:t>103.91</w:t>
      </w:r>
      <w:r>
        <w:rPr>
          <w:rFonts w:hint="eastAsia" w:ascii="Times New Roman" w:hAnsi="Times New Roman" w:eastAsia="仿宋_GB2312" w:cs="Times New Roman"/>
          <w:kern w:val="2"/>
          <w:sz w:val="32"/>
          <w:szCs w:val="32"/>
          <w:lang w:val="en-US" w:eastAsia="zh-CN" w:bidi="ar-SA"/>
        </w:rPr>
        <w:t>万元，预算执行率为</w:t>
      </w:r>
      <w:r>
        <w:rPr>
          <w:rFonts w:hint="eastAsia" w:eastAsia="仿宋_GB2312" w:cs="Times New Roman"/>
          <w:kern w:val="2"/>
          <w:sz w:val="32"/>
          <w:szCs w:val="32"/>
          <w:lang w:val="en-US" w:eastAsia="zh-CN" w:bidi="ar-SA"/>
        </w:rPr>
        <w:t>68.81</w:t>
      </w:r>
      <w:r>
        <w:rPr>
          <w:rFonts w:hint="eastAsia" w:ascii="Times New Roman" w:hAnsi="Times New Roman" w:eastAsia="仿宋_GB2312" w:cs="Times New Roman"/>
          <w:kern w:val="2"/>
          <w:sz w:val="32"/>
          <w:szCs w:val="32"/>
          <w:lang w:val="en-US" w:eastAsia="zh-CN" w:bidi="ar-SA"/>
        </w:rPr>
        <w:t>%，项目绩效指标总体完成率为</w:t>
      </w:r>
      <w:r>
        <w:rPr>
          <w:rFonts w:hint="eastAsia" w:eastAsia="仿宋_GB2312" w:cs="Times New Roman"/>
          <w:kern w:val="2"/>
          <w:sz w:val="32"/>
          <w:szCs w:val="32"/>
          <w:lang w:val="en-US" w:eastAsia="zh-CN" w:bidi="ar-SA"/>
        </w:rPr>
        <w:t>93.92</w:t>
      </w:r>
      <w:r>
        <w:rPr>
          <w:rFonts w:hint="eastAsia"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Hans" w:bidi="ar-SA"/>
        </w:rPr>
        <w:t>总体</w:t>
      </w:r>
      <w:r>
        <w:rPr>
          <w:rFonts w:hint="eastAsia" w:ascii="Times New Roman" w:hAnsi="Times New Roman" w:eastAsia="仿宋_GB2312" w:cs="Times New Roman"/>
          <w:kern w:val="2"/>
          <w:sz w:val="32"/>
          <w:szCs w:val="32"/>
          <w:lang w:val="en-US" w:eastAsia="zh-CN" w:bidi="ar-SA"/>
        </w:rPr>
        <w:t>偏差率为</w:t>
      </w:r>
      <w:r>
        <w:rPr>
          <w:rFonts w:hint="eastAsia" w:eastAsia="仿宋_GB2312" w:cs="Times New Roman"/>
          <w:kern w:val="2"/>
          <w:sz w:val="32"/>
          <w:szCs w:val="32"/>
          <w:lang w:val="en-US" w:eastAsia="zh-CN" w:bidi="ar-SA"/>
        </w:rPr>
        <w:t>25.11</w:t>
      </w:r>
      <w:r>
        <w:rPr>
          <w:rFonts w:hint="eastAsia"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Hans" w:bidi="ar-SA"/>
        </w:rPr>
        <w:t>偏差</w:t>
      </w:r>
      <w:r>
        <w:rPr>
          <w:rFonts w:hint="eastAsia" w:ascii="Times New Roman" w:hAnsi="Times New Roman" w:eastAsia="仿宋_GB2312" w:cs="Times New Roman"/>
          <w:kern w:val="2"/>
          <w:sz w:val="32"/>
          <w:szCs w:val="32"/>
          <w:lang w:val="en-US" w:eastAsia="zh-CN" w:bidi="ar-SA"/>
        </w:rPr>
        <w:t>原因</w:t>
      </w:r>
      <w:r>
        <w:rPr>
          <w:rFonts w:hint="eastAsia" w:eastAsia="仿宋_GB2312" w:cs="Times New Roman"/>
          <w:kern w:val="2"/>
          <w:sz w:val="32"/>
          <w:szCs w:val="32"/>
          <w:lang w:val="en-US" w:eastAsia="zh-CN" w:bidi="ar-SA"/>
        </w:rPr>
        <w:t>：</w:t>
      </w:r>
      <w:r>
        <w:rPr>
          <w:rFonts w:hint="eastAsia" w:ascii="仿宋_GB2312" w:hAnsi="仿宋_GB2312" w:eastAsia="仿宋_GB2312" w:cs="仿宋_GB2312"/>
          <w:sz w:val="32"/>
          <w:szCs w:val="32"/>
          <w:highlight w:val="none"/>
          <w:lang w:val="en-US" w:eastAsia="zh-CN"/>
        </w:rPr>
        <w:t>由于财政资金未到位，没有及时支付</w:t>
      </w:r>
      <w:r>
        <w:rPr>
          <w:rFonts w:hint="eastAsia"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Hans" w:bidi="ar-SA"/>
        </w:rPr>
        <w:t>改进</w:t>
      </w:r>
      <w:r>
        <w:rPr>
          <w:rFonts w:hint="eastAsia" w:ascii="Times New Roman" w:hAnsi="Times New Roman" w:eastAsia="仿宋_GB2312" w:cs="Times New Roman"/>
          <w:kern w:val="2"/>
          <w:sz w:val="32"/>
          <w:szCs w:val="32"/>
          <w:lang w:val="en-US" w:eastAsia="zh-CN" w:bidi="ar-SA"/>
        </w:rPr>
        <w:t>措施</w:t>
      </w:r>
      <w:r>
        <w:rPr>
          <w:rFonts w:hint="eastAsia" w:eastAsia="仿宋_GB2312" w:cs="Times New Roman"/>
          <w:kern w:val="2"/>
          <w:sz w:val="32"/>
          <w:szCs w:val="32"/>
          <w:lang w:val="en-US" w:eastAsia="zh-CN" w:bidi="ar-SA"/>
        </w:rPr>
        <w:t>：</w:t>
      </w:r>
      <w:r>
        <w:rPr>
          <w:rFonts w:hint="eastAsia" w:ascii="仿宋_GB2312" w:hAnsi="仿宋_GB2312" w:eastAsia="仿宋_GB2312" w:cs="仿宋_GB2312"/>
          <w:sz w:val="32"/>
          <w:szCs w:val="32"/>
          <w:highlight w:val="none"/>
          <w:lang w:val="en-US" w:eastAsia="zh-CN"/>
        </w:rPr>
        <w:t>积极和教育局和财政沟通及时支付。</w:t>
      </w:r>
    </w:p>
    <w:p>
      <w:pPr>
        <w:spacing w:line="560" w:lineRule="exact"/>
        <w:ind w:firstLine="640" w:firstLineChars="200"/>
        <w:rPr>
          <w:rStyle w:val="17"/>
          <w:rFonts w:ascii="Times New Roman" w:hAnsi="Times New Roman" w:cs="Times New Roman"/>
          <w:color w:val="auto"/>
        </w:rPr>
      </w:pPr>
      <w:r>
        <w:rPr>
          <w:rFonts w:hint="eastAsia" w:eastAsia="黑体"/>
          <w:sz w:val="32"/>
          <w:szCs w:val="32"/>
          <w:lang w:eastAsia="zh-Hans"/>
        </w:rPr>
        <w:t>六</w:t>
      </w:r>
      <w:r>
        <w:rPr>
          <w:rFonts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w:t>
      </w:r>
    </w:p>
    <w:p>
      <w:pPr>
        <w:pStyle w:val="2"/>
        <w:spacing w:before="0" w:after="0" w:line="560" w:lineRule="exact"/>
        <w:ind w:firstLine="640" w:firstLineChars="200"/>
        <w:jc w:val="left"/>
        <w:rPr>
          <w:rFonts w:ascii="Times New Roman" w:hAnsi="Times New Roman" w:eastAsia="仿宋_GB2312"/>
          <w:b w:val="0"/>
          <w:bCs w:val="0"/>
          <w:kern w:val="2"/>
        </w:rPr>
      </w:pPr>
      <w:r>
        <w:rPr>
          <w:rFonts w:hint="eastAsia" w:ascii="Times New Roman" w:hAnsi="Times New Roman" w:eastAsia="仿宋_GB2312"/>
          <w:b w:val="0"/>
          <w:bCs w:val="0"/>
          <w:kern w:val="2"/>
          <w:lang w:val="en-US" w:eastAsia="zh-CN"/>
        </w:rPr>
        <w:t>严格落实项目实施进度，确保工程及时完工，资金手续合理合规，支付手续齐全完备</w:t>
      </w:r>
      <w:r>
        <w:rPr>
          <w:rFonts w:ascii="Times New Roman" w:hAnsi="Times New Roman" w:eastAsia="仿宋_GB2312"/>
          <w:b w:val="0"/>
          <w:bCs w:val="0"/>
          <w:kern w:val="2"/>
        </w:rPr>
        <w:t>。</w:t>
      </w:r>
    </w:p>
    <w:p>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2.因轮岗、调动、等因素使我单位绩效工作人员流动频繁，造成了工作衔接不到位的情况。</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3.财力资金有限，支付进度有待提高，影响项目项目的整体评价质量。</w:t>
      </w:r>
    </w:p>
    <w:p>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sz w:val="22"/>
          <w:szCs w:val="28"/>
        </w:rPr>
      </w:pPr>
      <w:r>
        <w:rPr>
          <w:rFonts w:hint="eastAsia" w:ascii="仿宋_GB2312" w:hAnsi="仿宋_GB2312" w:eastAsia="仿宋_GB2312" w:cs="仿宋_GB2312"/>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5.积极沟通，保证资金能及时到位，提高项目支付的进度，提升项目评价的质量</w:t>
      </w:r>
    </w:p>
    <w:p>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6" w:name="page8"/>
      <w:bookmarkEnd w:id="6"/>
      <w:r>
        <w:rPr>
          <w:rFonts w:eastAsia="黑体"/>
          <w:sz w:val="32"/>
          <w:szCs w:val="32"/>
        </w:rPr>
        <w:t>明的问题</w:t>
      </w:r>
    </w:p>
    <w:p>
      <w:pPr>
        <w:pStyle w:val="12"/>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pPr>
        <w:pStyle w:val="12"/>
        <w:spacing w:after="0" w:line="560" w:lineRule="exact"/>
        <w:ind w:left="0" w:leftChars="0" w:firstLine="640"/>
        <w:rPr>
          <w:rFonts w:ascii="仿宋_GB2312" w:hAnsi="仿宋_GB2312" w:eastAsia="仿宋_GB2312" w:cs="仿宋_GB2312"/>
          <w:sz w:val="32"/>
          <w:szCs w:val="32"/>
        </w:rPr>
      </w:pPr>
    </w:p>
    <w:p>
      <w:pPr>
        <w:pStyle w:val="12"/>
        <w:spacing w:after="0" w:line="560" w:lineRule="exact"/>
        <w:ind w:left="0" w:leftChars="0" w:firstLine="640"/>
        <w:rPr>
          <w:rFonts w:ascii="仿宋_GB2312" w:hAnsi="仿宋_GB2312" w:eastAsia="仿宋_GB2312" w:cs="仿宋_GB2312"/>
          <w:sz w:val="32"/>
          <w:szCs w:val="32"/>
        </w:rPr>
      </w:pPr>
    </w:p>
    <w:p>
      <w:pPr>
        <w:pStyle w:val="12"/>
        <w:spacing w:after="0" w:line="560" w:lineRule="exact"/>
        <w:ind w:left="0" w:leftChars="0" w:firstLine="0" w:firstLineChars="0"/>
        <w:rPr>
          <w:rFonts w:ascii="仿宋_GB2312" w:hAnsi="仿宋_GB2312" w:eastAsia="仿宋_GB2312" w:cs="仿宋_GB2312"/>
          <w:sz w:val="32"/>
          <w:szCs w:val="32"/>
        </w:rPr>
      </w:pPr>
    </w:p>
    <w:p>
      <w:pPr>
        <w:widowControl/>
        <w:jc w:val="center"/>
        <w:textAlignment w:val="center"/>
        <w:rPr>
          <w:rFonts w:eastAsia="方正小标宋简体"/>
          <w:b/>
          <w:kern w:val="0"/>
          <w:sz w:val="32"/>
          <w:szCs w:val="32"/>
          <w:lang w:bidi="ar"/>
        </w:rPr>
        <w:sectPr>
          <w:headerReference r:id="rId3" w:type="default"/>
          <w:footerReference r:id="rId4" w:type="default"/>
          <w:pgSz w:w="11906" w:h="16838"/>
          <w:pgMar w:top="1440" w:right="1558" w:bottom="1440" w:left="1800" w:header="851" w:footer="992" w:gutter="0"/>
          <w:cols w:space="425" w:num="1"/>
          <w:docGrid w:type="lines" w:linePitch="312" w:charSpace="0"/>
        </w:sectPr>
      </w:pPr>
    </w:p>
    <w:tbl>
      <w:tblPr>
        <w:tblStyle w:val="13"/>
        <w:tblW w:w="137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05"/>
        <w:gridCol w:w="630"/>
        <w:gridCol w:w="1500"/>
        <w:gridCol w:w="1335"/>
        <w:gridCol w:w="870"/>
        <w:gridCol w:w="780"/>
        <w:gridCol w:w="885"/>
        <w:gridCol w:w="379"/>
        <w:gridCol w:w="941"/>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372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372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5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昌吉州中小学校园环境改造提升工程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2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奇台县第五小学</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0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奇台县第五小学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151.00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151.00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103.91</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68.81%</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6.88分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151</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151</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103.91</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上年结转资金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昌吉州人民政府《关于做好中小学校园环境改造提升工程的通知》（昌州政办通[2023]92号）拟投入151万元改善校园环境。通过项目的实施完成各类指标.维修改造工程数量3个、维修改造任务完成率达100%、维修改造验收合格率达100%、项目资金支付率大于等于90%、维修改造按期完成率达100%、项目预算控制率小于等于100%、广大师生员工的教学环境得到改善，师生满意度大于等于90%..</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维修改造工程数量：3个；维修改造验收合格率：100%；项目按计划开工时间：2023年7月；项目按时间完工时间：=2023年8月；改善广大师生员工的教学环境：有效改善；师生满意度：90%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71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26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021"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7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21"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维修改造任务完成率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=3个</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=3个</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维修改造面积</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&gt;=24840平方米</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=24840平方米</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维修改造验收合格率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7"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项目资金支付率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=68.81%</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2.06</w:t>
            </w: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因为资金手续不齐全导致资金未支付。改进措施：尽快督促手续完善保障资金支付完毕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项目按计划开工时间</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=2023年8月</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=2023年7月</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项目按计划完工时间</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=2023年9月</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=2023年8月</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1"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项目预算控制率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=68.81%</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4.41</w:t>
            </w: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因为资金手续不齐全导致资金未支付。改进措施：尽快督促手续完善保障资金支付完毕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9"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改善广大师生员工教学环境</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有效改善</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有效改善</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师生满意度</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7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6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78.35分</w:t>
            </w:r>
          </w:p>
        </w:tc>
        <w:tc>
          <w:tcPr>
            <w:tcW w:w="202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spacing w:line="600" w:lineRule="exact"/>
        <w:rPr>
          <w:rFonts w:hint="eastAsia" w:ascii="黑体" w:hAnsi="黑体" w:eastAsia="黑体" w:cs="黑体"/>
        </w:rPr>
      </w:pPr>
      <w:r>
        <w:rPr>
          <w:rFonts w:hint="eastAsia" w:ascii="黑体" w:hAnsi="黑体" w:eastAsia="黑体" w:cs="黑体"/>
          <w:bCs/>
          <w:sz w:val="32"/>
          <w:szCs w:val="32"/>
        </w:rPr>
        <w:t>附件1</w:t>
      </w:r>
    </w:p>
    <w:p>
      <w:pPr>
        <w:pStyle w:val="18"/>
        <w:ind w:firstLine="562"/>
        <w:jc w:val="center"/>
        <w:rPr>
          <w:sz w:val="28"/>
          <w:szCs w:val="40"/>
          <w:highlight w:val="none"/>
        </w:rPr>
      </w:pPr>
      <w:bookmarkStart w:id="7" w:name="_Toc26499_WPSOffice_Level2"/>
      <w:bookmarkStart w:id="8" w:name="_Toc30064_WPSOffice_Level1"/>
      <w:r>
        <w:rPr>
          <w:rFonts w:hint="eastAsia"/>
          <w:b/>
          <w:bCs/>
          <w:sz w:val="28"/>
          <w:szCs w:val="40"/>
          <w:highlight w:val="none"/>
          <w:lang w:val="en-US" w:eastAsia="zh-CN"/>
        </w:rPr>
        <w:t>昌吉州中小学校园环境改造提升工程</w:t>
      </w:r>
      <w:r>
        <w:rPr>
          <w:rFonts w:hint="eastAsia"/>
          <w:b/>
          <w:bCs/>
          <w:sz w:val="28"/>
          <w:szCs w:val="40"/>
          <w:highlight w:val="none"/>
        </w:rPr>
        <w:t>项目绩效评价指标体系及综合评分表</w:t>
      </w:r>
      <w:bookmarkEnd w:id="7"/>
      <w:bookmarkEnd w:id="8"/>
    </w:p>
    <w:tbl>
      <w:tblPr>
        <w:tblStyle w:val="13"/>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8"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一级指标</w:t>
            </w:r>
          </w:p>
        </w:tc>
        <w:tc>
          <w:tcPr>
            <w:tcW w:w="301"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二级指标</w:t>
            </w:r>
          </w:p>
        </w:tc>
        <w:tc>
          <w:tcPr>
            <w:tcW w:w="344"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三级指标</w:t>
            </w:r>
          </w:p>
        </w:tc>
        <w:tc>
          <w:tcPr>
            <w:tcW w:w="927"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指标解释</w:t>
            </w:r>
          </w:p>
        </w:tc>
        <w:tc>
          <w:tcPr>
            <w:tcW w:w="2048"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指标说明</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权重</w:t>
            </w:r>
          </w:p>
        </w:tc>
        <w:tc>
          <w:tcPr>
            <w:tcW w:w="537"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p>
          <w:p>
            <w:pPr>
              <w:widowControl/>
              <w:spacing w:line="0" w:lineRule="atLeast"/>
              <w:jc w:val="center"/>
              <w:rPr>
                <w:color w:val="000000"/>
                <w:kern w:val="0"/>
                <w:sz w:val="22"/>
                <w:szCs w:val="22"/>
                <w:highlight w:val="none"/>
              </w:rPr>
            </w:pPr>
            <w:r>
              <w:rPr>
                <w:color w:val="000000"/>
                <w:kern w:val="0"/>
                <w:sz w:val="22"/>
                <w:szCs w:val="22"/>
                <w:highlight w:val="none"/>
              </w:rPr>
              <w:t>决策　</w:t>
            </w: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项目立项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立项依据</w:t>
            </w:r>
          </w:p>
          <w:p>
            <w:pPr>
              <w:widowControl/>
              <w:spacing w:line="0" w:lineRule="atLeast"/>
              <w:jc w:val="center"/>
              <w:rPr>
                <w:color w:val="000000"/>
                <w:kern w:val="0"/>
                <w:sz w:val="22"/>
                <w:szCs w:val="22"/>
                <w:highlight w:val="none"/>
              </w:rPr>
            </w:pPr>
            <w:r>
              <w:rPr>
                <w:color w:val="000000"/>
                <w:kern w:val="0"/>
                <w:sz w:val="22"/>
                <w:szCs w:val="22"/>
                <w:highlight w:val="none"/>
              </w:rPr>
              <w:t>充分性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项目立项是否符合法律法规、相关政策、发展规划以及部门职责，用以反映和考核项目立项依据情况。</w:t>
            </w:r>
          </w:p>
        </w:tc>
        <w:tc>
          <w:tcPr>
            <w:tcW w:w="2048" w:type="pct"/>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①项目立项是否符合国家法律法规、国民经济发展规划和相关政策；</w:t>
            </w:r>
            <w:r>
              <w:rPr>
                <w:color w:val="000000"/>
                <w:kern w:val="0"/>
                <w:sz w:val="22"/>
                <w:szCs w:val="22"/>
                <w:highlight w:val="none"/>
              </w:rPr>
              <w:br w:type="textWrapping"/>
            </w:r>
            <w:r>
              <w:rPr>
                <w:color w:val="000000"/>
                <w:kern w:val="0"/>
                <w:sz w:val="22"/>
                <w:szCs w:val="22"/>
                <w:highlight w:val="none"/>
              </w:rPr>
              <w:t>②项目立项是否符合行业发展规划和政策要求；</w:t>
            </w:r>
            <w:r>
              <w:rPr>
                <w:color w:val="000000"/>
                <w:kern w:val="0"/>
                <w:sz w:val="22"/>
                <w:szCs w:val="22"/>
                <w:highlight w:val="none"/>
              </w:rPr>
              <w:br w:type="textWrapping"/>
            </w:r>
            <w:r>
              <w:rPr>
                <w:color w:val="000000"/>
                <w:kern w:val="0"/>
                <w:sz w:val="22"/>
                <w:szCs w:val="22"/>
                <w:highlight w:val="none"/>
              </w:rPr>
              <w:t>③项目立项是否与部门职责范围相符，属于部门履职所需；</w:t>
            </w:r>
            <w:r>
              <w:rPr>
                <w:color w:val="000000"/>
                <w:kern w:val="0"/>
                <w:sz w:val="22"/>
                <w:szCs w:val="22"/>
                <w:highlight w:val="none"/>
              </w:rPr>
              <w:br w:type="textWrapping"/>
            </w:r>
            <w:r>
              <w:rPr>
                <w:color w:val="000000"/>
                <w:kern w:val="0"/>
                <w:sz w:val="22"/>
                <w:szCs w:val="22"/>
                <w:highlight w:val="none"/>
              </w:rPr>
              <w:t>④项目是否属于公共财政支持范围，是否符合中央、地方事权支出责任划分原则；</w:t>
            </w:r>
            <w:r>
              <w:rPr>
                <w:color w:val="000000"/>
                <w:kern w:val="0"/>
                <w:sz w:val="22"/>
                <w:szCs w:val="22"/>
                <w:highlight w:val="none"/>
              </w:rPr>
              <w:br w:type="textWrapping"/>
            </w:r>
            <w:r>
              <w:rPr>
                <w:color w:val="000000"/>
                <w:kern w:val="0"/>
                <w:sz w:val="22"/>
                <w:szCs w:val="22"/>
                <w:highlight w:val="none"/>
              </w:rPr>
              <w:t>⑤项目是否与相关部门同类项目或部门内部相关项目重复。</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立项程序</w:t>
            </w:r>
          </w:p>
          <w:p>
            <w:pPr>
              <w:widowControl/>
              <w:spacing w:line="0" w:lineRule="atLeast"/>
              <w:jc w:val="center"/>
              <w:rPr>
                <w:color w:val="000000"/>
                <w:kern w:val="0"/>
                <w:sz w:val="22"/>
                <w:szCs w:val="22"/>
                <w:highlight w:val="none"/>
              </w:rPr>
            </w:pPr>
            <w:r>
              <w:rPr>
                <w:color w:val="000000"/>
                <w:kern w:val="0"/>
                <w:sz w:val="22"/>
                <w:szCs w:val="22"/>
                <w:highlight w:val="none"/>
              </w:rPr>
              <w:t>规范性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项目申请、设立过程是否符合相关要求，用以反映和考核项目立项的规范情况。</w:t>
            </w:r>
          </w:p>
        </w:tc>
        <w:tc>
          <w:tcPr>
            <w:tcW w:w="2048" w:type="pct"/>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①项目是否按照规定的程序申请设立；</w:t>
            </w:r>
            <w:r>
              <w:rPr>
                <w:color w:val="000000"/>
                <w:kern w:val="0"/>
                <w:sz w:val="22"/>
                <w:szCs w:val="22"/>
                <w:highlight w:val="none"/>
              </w:rPr>
              <w:br w:type="textWrapping"/>
            </w:r>
            <w:r>
              <w:rPr>
                <w:color w:val="000000"/>
                <w:kern w:val="0"/>
                <w:sz w:val="22"/>
                <w:szCs w:val="22"/>
                <w:highlight w:val="none"/>
              </w:rPr>
              <w:t>②审批文件、材料是否符合相关要求；</w:t>
            </w:r>
            <w:r>
              <w:rPr>
                <w:color w:val="000000"/>
                <w:kern w:val="0"/>
                <w:sz w:val="22"/>
                <w:szCs w:val="22"/>
                <w:highlight w:val="none"/>
              </w:rPr>
              <w:br w:type="textWrapping"/>
            </w:r>
            <w:r>
              <w:rPr>
                <w:color w:val="000000"/>
                <w:kern w:val="0"/>
                <w:sz w:val="22"/>
                <w:szCs w:val="22"/>
                <w:highlight w:val="none"/>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绩效目标</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项目所设定的绩效目标是否依据充分，是否符合客观实际，用以反映和考核项目绩效目标与项目实施的相符情况。</w:t>
            </w:r>
          </w:p>
        </w:tc>
        <w:tc>
          <w:tcPr>
            <w:tcW w:w="2048" w:type="pct"/>
            <w:shd w:val="clear" w:color="000000"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（如未设定预算绩效目标，也可考核其他工作任务目标）</w:t>
            </w:r>
            <w:r>
              <w:rPr>
                <w:color w:val="000000"/>
                <w:kern w:val="0"/>
                <w:sz w:val="22"/>
                <w:szCs w:val="22"/>
                <w:highlight w:val="none"/>
              </w:rPr>
              <w:br w:type="textWrapping"/>
            </w:r>
            <w:r>
              <w:rPr>
                <w:color w:val="000000"/>
                <w:kern w:val="0"/>
                <w:sz w:val="22"/>
                <w:szCs w:val="22"/>
                <w:highlight w:val="none"/>
              </w:rPr>
              <w:t>①项目是否有绩效目标；</w:t>
            </w:r>
            <w:r>
              <w:rPr>
                <w:color w:val="000000"/>
                <w:kern w:val="0"/>
                <w:sz w:val="22"/>
                <w:szCs w:val="22"/>
                <w:highlight w:val="none"/>
              </w:rPr>
              <w:br w:type="textWrapping"/>
            </w:r>
            <w:r>
              <w:rPr>
                <w:color w:val="000000"/>
                <w:kern w:val="0"/>
                <w:sz w:val="22"/>
                <w:szCs w:val="22"/>
                <w:highlight w:val="none"/>
              </w:rPr>
              <w:t>②项目绩效目标与实际工作内容是否具有相关性；</w:t>
            </w:r>
            <w:r>
              <w:rPr>
                <w:color w:val="000000"/>
                <w:kern w:val="0"/>
                <w:sz w:val="22"/>
                <w:szCs w:val="22"/>
                <w:highlight w:val="none"/>
              </w:rPr>
              <w:br w:type="textWrapping"/>
            </w:r>
            <w:r>
              <w:rPr>
                <w:color w:val="000000"/>
                <w:kern w:val="0"/>
                <w:sz w:val="22"/>
                <w:szCs w:val="22"/>
                <w:highlight w:val="none"/>
              </w:rPr>
              <w:t>③项目预期产出效益和效果是否符合正常的业绩水平；</w:t>
            </w:r>
          </w:p>
          <w:p>
            <w:pPr>
              <w:widowControl/>
              <w:spacing w:line="0" w:lineRule="atLeast"/>
              <w:jc w:val="left"/>
              <w:rPr>
                <w:color w:val="000000"/>
                <w:kern w:val="0"/>
                <w:sz w:val="22"/>
                <w:szCs w:val="22"/>
                <w:highlight w:val="none"/>
              </w:rPr>
            </w:pPr>
            <w:r>
              <w:rPr>
                <w:color w:val="000000"/>
                <w:kern w:val="0"/>
                <w:sz w:val="22"/>
                <w:szCs w:val="22"/>
                <w:highlight w:val="none"/>
              </w:rPr>
              <w:t>④是否与预算确定的项目投资额或资金量相匹配。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绩效指标</w:t>
            </w:r>
          </w:p>
          <w:p>
            <w:pPr>
              <w:widowControl/>
              <w:spacing w:line="0" w:lineRule="atLeast"/>
              <w:jc w:val="center"/>
              <w:rPr>
                <w:color w:val="000000"/>
                <w:kern w:val="0"/>
                <w:sz w:val="22"/>
                <w:szCs w:val="22"/>
                <w:highlight w:val="none"/>
              </w:rPr>
            </w:pPr>
            <w:r>
              <w:rPr>
                <w:color w:val="000000"/>
                <w:kern w:val="0"/>
                <w:sz w:val="22"/>
                <w:szCs w:val="22"/>
                <w:highlight w:val="none"/>
              </w:rPr>
              <w:t>明确性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依据绩效目标设定的绩效指标是否清晰、细化、可衡量等，用以反映和考核项目绩效目标的明细化情况。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①是否将项目绩效目标细化分解为具体的绩效指标；</w:t>
            </w:r>
            <w:r>
              <w:rPr>
                <w:color w:val="000000"/>
                <w:kern w:val="0"/>
                <w:sz w:val="22"/>
                <w:szCs w:val="22"/>
                <w:highlight w:val="none"/>
              </w:rPr>
              <w:br w:type="textWrapping"/>
            </w:r>
            <w:r>
              <w:rPr>
                <w:color w:val="000000"/>
                <w:kern w:val="0"/>
                <w:sz w:val="22"/>
                <w:szCs w:val="22"/>
                <w:highlight w:val="none"/>
              </w:rPr>
              <w:t>②是否通过清晰、可衡量的指标值予以体现；</w:t>
            </w:r>
            <w:r>
              <w:rPr>
                <w:color w:val="000000"/>
                <w:kern w:val="0"/>
                <w:sz w:val="22"/>
                <w:szCs w:val="22"/>
                <w:highlight w:val="none"/>
              </w:rPr>
              <w:br w:type="textWrapping"/>
            </w:r>
            <w:r>
              <w:rPr>
                <w:color w:val="000000"/>
                <w:kern w:val="0"/>
                <w:sz w:val="22"/>
                <w:szCs w:val="22"/>
                <w:highlight w:val="none"/>
              </w:rPr>
              <w:t>③是否与项目目标任务数或计划数相对应。</w:t>
            </w:r>
            <w:r>
              <w:rPr>
                <w:color w:val="000000"/>
                <w:kern w:val="0"/>
                <w:sz w:val="22"/>
                <w:szCs w:val="22"/>
                <w:highlight w:val="none"/>
              </w:rPr>
              <w:br w:type="textWrapping"/>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3</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资金投入</w:t>
            </w:r>
          </w:p>
          <w:p>
            <w:pPr>
              <w:spacing w:line="0" w:lineRule="atLeast"/>
              <w:jc w:val="center"/>
              <w:rPr>
                <w:color w:val="000000"/>
                <w:kern w:val="0"/>
                <w:sz w:val="22"/>
                <w:szCs w:val="22"/>
                <w:highlight w:val="none"/>
              </w:rPr>
            </w:pPr>
            <w:r>
              <w:rPr>
                <w:color w:val="000000"/>
                <w:kern w:val="0"/>
                <w:sz w:val="22"/>
                <w:szCs w:val="22"/>
                <w:highlight w:val="none"/>
              </w:rPr>
              <w:t>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预算编制</w:t>
            </w:r>
          </w:p>
          <w:p>
            <w:pPr>
              <w:widowControl/>
              <w:spacing w:line="0" w:lineRule="atLeast"/>
              <w:jc w:val="center"/>
              <w:rPr>
                <w:color w:val="000000"/>
                <w:kern w:val="0"/>
                <w:sz w:val="22"/>
                <w:szCs w:val="22"/>
                <w:highlight w:val="none"/>
              </w:rPr>
            </w:pPr>
            <w:r>
              <w:rPr>
                <w:color w:val="000000"/>
                <w:kern w:val="0"/>
                <w:sz w:val="22"/>
                <w:szCs w:val="22"/>
                <w:highlight w:val="none"/>
              </w:rPr>
              <w:t>科学性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①预算编制是否经过科学论证；</w:t>
            </w:r>
            <w:r>
              <w:rPr>
                <w:color w:val="000000"/>
                <w:kern w:val="0"/>
                <w:sz w:val="22"/>
                <w:szCs w:val="22"/>
                <w:highlight w:val="none"/>
              </w:rPr>
              <w:br w:type="textWrapping"/>
            </w:r>
            <w:r>
              <w:rPr>
                <w:color w:val="000000"/>
                <w:kern w:val="0"/>
                <w:sz w:val="22"/>
                <w:szCs w:val="22"/>
                <w:highlight w:val="none"/>
              </w:rPr>
              <w:t>②预算内容与项目内容是否匹配；</w:t>
            </w:r>
            <w:r>
              <w:rPr>
                <w:color w:val="000000"/>
                <w:kern w:val="0"/>
                <w:sz w:val="22"/>
                <w:szCs w:val="22"/>
                <w:highlight w:val="none"/>
              </w:rPr>
              <w:br w:type="textWrapping"/>
            </w:r>
            <w:r>
              <w:rPr>
                <w:color w:val="000000"/>
                <w:kern w:val="0"/>
                <w:sz w:val="22"/>
                <w:szCs w:val="22"/>
                <w:highlight w:val="none"/>
              </w:rPr>
              <w:t>③预算额度测算依据是否充分，是否按照标准编制；</w:t>
            </w:r>
            <w:r>
              <w:rPr>
                <w:color w:val="000000"/>
                <w:kern w:val="0"/>
                <w:sz w:val="22"/>
                <w:szCs w:val="22"/>
                <w:highlight w:val="none"/>
              </w:rPr>
              <w:br w:type="textWrapping"/>
            </w:r>
            <w:r>
              <w:rPr>
                <w:color w:val="000000"/>
                <w:kern w:val="0"/>
                <w:sz w:val="22"/>
                <w:szCs w:val="22"/>
                <w:highlight w:val="none"/>
              </w:rPr>
              <w:t>④预算确定的项目投资额或资金量是否与工作任务相匹配。</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资金分配</w:t>
            </w:r>
          </w:p>
          <w:p>
            <w:pPr>
              <w:widowControl/>
              <w:spacing w:line="0" w:lineRule="atLeast"/>
              <w:jc w:val="center"/>
              <w:rPr>
                <w:color w:val="000000"/>
                <w:kern w:val="0"/>
                <w:sz w:val="22"/>
                <w:szCs w:val="22"/>
                <w:highlight w:val="none"/>
              </w:rPr>
            </w:pPr>
            <w:r>
              <w:rPr>
                <w:color w:val="000000"/>
                <w:kern w:val="0"/>
                <w:sz w:val="22"/>
                <w:szCs w:val="22"/>
                <w:highlight w:val="none"/>
              </w:rPr>
              <w:t>合理性</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①预算资金分配依据是否充分；</w:t>
            </w:r>
            <w:r>
              <w:rPr>
                <w:color w:val="000000"/>
                <w:kern w:val="0"/>
                <w:sz w:val="22"/>
                <w:szCs w:val="22"/>
                <w:highlight w:val="none"/>
              </w:rPr>
              <w:br w:type="textWrapping"/>
            </w:r>
            <w:r>
              <w:rPr>
                <w:color w:val="000000"/>
                <w:kern w:val="0"/>
                <w:sz w:val="22"/>
                <w:szCs w:val="22"/>
                <w:highlight w:val="none"/>
              </w:rPr>
              <w:t>②资金分配额度是否合理，与项目单位或地方实际是否相适应。</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p>
          <w:p>
            <w:pPr>
              <w:spacing w:line="0" w:lineRule="atLeast"/>
              <w:jc w:val="center"/>
              <w:rPr>
                <w:color w:val="000000"/>
                <w:kern w:val="0"/>
                <w:sz w:val="22"/>
                <w:szCs w:val="22"/>
                <w:highlight w:val="none"/>
              </w:rPr>
            </w:pPr>
            <w:r>
              <w:rPr>
                <w:color w:val="000000"/>
                <w:kern w:val="0"/>
                <w:sz w:val="22"/>
                <w:szCs w:val="22"/>
                <w:highlight w:val="none"/>
              </w:rPr>
              <w:t>过程</w:t>
            </w:r>
          </w:p>
          <w:p>
            <w:pPr>
              <w:widowControl/>
              <w:spacing w:line="0" w:lineRule="atLeast"/>
              <w:jc w:val="center"/>
              <w:rPr>
                <w:color w:val="000000"/>
                <w:kern w:val="0"/>
                <w:sz w:val="22"/>
                <w:szCs w:val="22"/>
                <w:highlight w:val="none"/>
              </w:rPr>
            </w:pPr>
            <w:r>
              <w:rPr>
                <w:color w:val="000000"/>
                <w:kern w:val="0"/>
                <w:sz w:val="22"/>
                <w:szCs w:val="22"/>
                <w:highlight w:val="none"/>
              </w:rPr>
              <w:t>　　</w:t>
            </w: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资金到位率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实际到位资金与预算资金的比率，用以反映和考核资金落实情况对项目实施的总体保障程度。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资金到位率=（实际到位资金/预算资金）×100%。</w:t>
            </w:r>
          </w:p>
          <w:p>
            <w:pPr>
              <w:widowControl/>
              <w:spacing w:line="0" w:lineRule="atLeast"/>
              <w:rPr>
                <w:color w:val="000000"/>
                <w:kern w:val="0"/>
                <w:sz w:val="22"/>
                <w:szCs w:val="22"/>
                <w:highlight w:val="none"/>
              </w:rPr>
            </w:pPr>
            <w:r>
              <w:rPr>
                <w:color w:val="000000"/>
                <w:kern w:val="0"/>
                <w:sz w:val="22"/>
                <w:szCs w:val="22"/>
                <w:highlight w:val="none"/>
              </w:rPr>
              <w:t>实际到位资金：一定时期（本年度或项目期）内落实到具体项目的资金。</w:t>
            </w:r>
          </w:p>
          <w:p>
            <w:pPr>
              <w:widowControl/>
              <w:spacing w:line="0" w:lineRule="atLeast"/>
              <w:rPr>
                <w:color w:val="000000"/>
                <w:kern w:val="0"/>
                <w:sz w:val="22"/>
                <w:szCs w:val="22"/>
                <w:highlight w:val="none"/>
              </w:rPr>
            </w:pPr>
            <w:r>
              <w:rPr>
                <w:color w:val="000000"/>
                <w:kern w:val="0"/>
                <w:sz w:val="22"/>
                <w:szCs w:val="22"/>
                <w:highlight w:val="none"/>
              </w:rPr>
              <w:t>预算资金：一定时期（本年度或项目期）内预算安排到具体项目的资金。</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continue"/>
            <w:shd w:val="clear" w:color="auto" w:fill="FFFFFF"/>
            <w:vAlign w:val="center"/>
          </w:tcPr>
          <w:p>
            <w:pPr>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预算执行率</w:t>
            </w:r>
          </w:p>
        </w:tc>
        <w:tc>
          <w:tcPr>
            <w:tcW w:w="927"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项目预算资金是否按照计划执行，用以反映或考核项目预算执行情况。</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预算执行率=（实际支出资金/实际到位资金）×100%。</w:t>
            </w:r>
            <w:r>
              <w:rPr>
                <w:color w:val="000000"/>
                <w:kern w:val="0"/>
                <w:sz w:val="22"/>
                <w:szCs w:val="22"/>
                <w:highlight w:val="none"/>
              </w:rPr>
              <w:br w:type="textWrapping"/>
            </w:r>
            <w:r>
              <w:rPr>
                <w:color w:val="000000"/>
                <w:kern w:val="0"/>
                <w:sz w:val="22"/>
                <w:szCs w:val="22"/>
                <w:highlight w:val="none"/>
              </w:rPr>
              <w:t>实际支出资金：一定时期（本年度或项目期）内项目实际拨付的资金。</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2.75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资金管理</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资金使用</w:t>
            </w:r>
          </w:p>
          <w:p>
            <w:pPr>
              <w:widowControl/>
              <w:spacing w:line="0" w:lineRule="atLeast"/>
              <w:jc w:val="center"/>
              <w:rPr>
                <w:color w:val="000000"/>
                <w:kern w:val="0"/>
                <w:sz w:val="22"/>
                <w:szCs w:val="22"/>
                <w:highlight w:val="none"/>
              </w:rPr>
            </w:pPr>
            <w:r>
              <w:rPr>
                <w:color w:val="000000"/>
                <w:kern w:val="0"/>
                <w:sz w:val="22"/>
                <w:szCs w:val="22"/>
                <w:highlight w:val="none"/>
              </w:rPr>
              <w:t>合规性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项目资金使用是否符合相关的财务管理制度规定，用以反映和考核项目资金的规范运行情况。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①是否符合国家财经法规和财务管理制度以及有关专项资金管理办法的规定；</w:t>
            </w:r>
            <w:r>
              <w:rPr>
                <w:color w:val="000000"/>
                <w:kern w:val="0"/>
                <w:sz w:val="22"/>
                <w:szCs w:val="22"/>
                <w:highlight w:val="none"/>
              </w:rPr>
              <w:br w:type="textWrapping"/>
            </w:r>
            <w:r>
              <w:rPr>
                <w:color w:val="000000"/>
                <w:kern w:val="0"/>
                <w:sz w:val="22"/>
                <w:szCs w:val="22"/>
                <w:highlight w:val="none"/>
              </w:rPr>
              <w:t>②资金的拨付是否有完整的审批程序和手续；</w:t>
            </w:r>
            <w:r>
              <w:rPr>
                <w:color w:val="000000"/>
                <w:kern w:val="0"/>
                <w:sz w:val="22"/>
                <w:szCs w:val="22"/>
                <w:highlight w:val="none"/>
              </w:rPr>
              <w:br w:type="textWrapping"/>
            </w:r>
            <w:r>
              <w:rPr>
                <w:color w:val="000000"/>
                <w:kern w:val="0"/>
                <w:sz w:val="22"/>
                <w:szCs w:val="22"/>
                <w:highlight w:val="none"/>
              </w:rPr>
              <w:t>③是否符合项目预算批复或合同规定的用途；</w:t>
            </w:r>
            <w:r>
              <w:rPr>
                <w:color w:val="000000"/>
                <w:kern w:val="0"/>
                <w:sz w:val="22"/>
                <w:szCs w:val="22"/>
                <w:highlight w:val="none"/>
              </w:rPr>
              <w:br w:type="textWrapping"/>
            </w:r>
            <w:r>
              <w:rPr>
                <w:color w:val="000000"/>
                <w:kern w:val="0"/>
                <w:sz w:val="22"/>
                <w:szCs w:val="22"/>
                <w:highlight w:val="none"/>
              </w:rPr>
              <w:t>④是否存在截留、挤占、挪用、虚列支出等情况。</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组织实施</w:t>
            </w:r>
          </w:p>
          <w:p>
            <w:pPr>
              <w:spacing w:line="0" w:lineRule="atLeast"/>
              <w:jc w:val="center"/>
              <w:rPr>
                <w:color w:val="000000"/>
                <w:kern w:val="0"/>
                <w:sz w:val="22"/>
                <w:szCs w:val="22"/>
                <w:highlight w:val="none"/>
              </w:rPr>
            </w:pPr>
            <w:r>
              <w:rPr>
                <w:color w:val="000000"/>
                <w:kern w:val="0"/>
                <w:sz w:val="22"/>
                <w:szCs w:val="22"/>
                <w:highlight w:val="none"/>
              </w:rPr>
              <w:t>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管理制度</w:t>
            </w:r>
          </w:p>
          <w:p>
            <w:pPr>
              <w:widowControl/>
              <w:spacing w:line="0" w:lineRule="atLeast"/>
              <w:jc w:val="center"/>
              <w:rPr>
                <w:color w:val="000000"/>
                <w:kern w:val="0"/>
                <w:sz w:val="22"/>
                <w:szCs w:val="22"/>
                <w:highlight w:val="none"/>
              </w:rPr>
            </w:pPr>
            <w:r>
              <w:rPr>
                <w:color w:val="000000"/>
                <w:kern w:val="0"/>
                <w:sz w:val="22"/>
                <w:szCs w:val="22"/>
                <w:highlight w:val="none"/>
              </w:rPr>
              <w:t>健全性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项目实施单位的财务和业务管理制度是否健全，用以反映和考核财务和业务管理制度对项目顺利实施的保障情况。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①是否已制定或具有相应的财务和业务管理制度；</w:t>
            </w:r>
            <w:r>
              <w:rPr>
                <w:color w:val="000000"/>
                <w:kern w:val="0"/>
                <w:sz w:val="22"/>
                <w:szCs w:val="22"/>
                <w:highlight w:val="none"/>
              </w:rPr>
              <w:br w:type="textWrapping"/>
            </w:r>
            <w:r>
              <w:rPr>
                <w:color w:val="000000"/>
                <w:kern w:val="0"/>
                <w:sz w:val="22"/>
                <w:szCs w:val="22"/>
                <w:highlight w:val="none"/>
              </w:rPr>
              <w:t>②财务和业务管理制度是否合法、合规、完整。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制度执行</w:t>
            </w:r>
          </w:p>
          <w:p>
            <w:pPr>
              <w:widowControl/>
              <w:spacing w:line="0" w:lineRule="atLeast"/>
              <w:jc w:val="center"/>
              <w:rPr>
                <w:color w:val="000000"/>
                <w:kern w:val="0"/>
                <w:sz w:val="22"/>
                <w:szCs w:val="22"/>
                <w:highlight w:val="none"/>
              </w:rPr>
            </w:pPr>
            <w:r>
              <w:rPr>
                <w:color w:val="000000"/>
                <w:kern w:val="0"/>
                <w:sz w:val="22"/>
                <w:szCs w:val="22"/>
                <w:highlight w:val="none"/>
              </w:rPr>
              <w:t>有效性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项目实施是否符合相关管理规定，用以反映和考核相关管理制度的有效执行情况。</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评价要点：</w:t>
            </w:r>
            <w:r>
              <w:rPr>
                <w:color w:val="000000"/>
                <w:kern w:val="0"/>
                <w:sz w:val="22"/>
                <w:szCs w:val="22"/>
                <w:highlight w:val="none"/>
              </w:rPr>
              <w:br w:type="textWrapping"/>
            </w:r>
            <w:r>
              <w:rPr>
                <w:color w:val="000000"/>
                <w:kern w:val="0"/>
                <w:sz w:val="22"/>
                <w:szCs w:val="22"/>
                <w:highlight w:val="none"/>
              </w:rPr>
              <w:t>①是否遵守相关法律法规和相关管理规定；</w:t>
            </w:r>
            <w:r>
              <w:rPr>
                <w:color w:val="000000"/>
                <w:kern w:val="0"/>
                <w:sz w:val="22"/>
                <w:szCs w:val="22"/>
                <w:highlight w:val="none"/>
              </w:rPr>
              <w:br w:type="textWrapping"/>
            </w:r>
            <w:r>
              <w:rPr>
                <w:color w:val="000000"/>
                <w:kern w:val="0"/>
                <w:sz w:val="22"/>
                <w:szCs w:val="22"/>
                <w:highlight w:val="none"/>
              </w:rPr>
              <w:t>②项目调整及支出调整手续是否完备；</w:t>
            </w:r>
            <w:r>
              <w:rPr>
                <w:color w:val="000000"/>
                <w:kern w:val="0"/>
                <w:sz w:val="22"/>
                <w:szCs w:val="22"/>
                <w:highlight w:val="none"/>
              </w:rPr>
              <w:br w:type="textWrapping"/>
            </w:r>
            <w:r>
              <w:rPr>
                <w:color w:val="000000"/>
                <w:kern w:val="0"/>
                <w:sz w:val="22"/>
                <w:szCs w:val="22"/>
                <w:highlight w:val="none"/>
              </w:rPr>
              <w:t>③项目合同书、验收报告、技术鉴定等资料是否齐全并及时归档；</w:t>
            </w:r>
            <w:r>
              <w:rPr>
                <w:color w:val="000000"/>
                <w:kern w:val="0"/>
                <w:sz w:val="22"/>
                <w:szCs w:val="22"/>
                <w:highlight w:val="none"/>
              </w:rPr>
              <w:br w:type="textWrapping"/>
            </w:r>
            <w:r>
              <w:rPr>
                <w:color w:val="000000"/>
                <w:kern w:val="0"/>
                <w:sz w:val="22"/>
                <w:szCs w:val="22"/>
                <w:highlight w:val="none"/>
              </w:rPr>
              <w:t>④项目实施的人员条件、场地设备、信息支撑等是否落实到位。</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4</w:t>
            </w:r>
          </w:p>
        </w:tc>
        <w:tc>
          <w:tcPr>
            <w:tcW w:w="537" w:type="pct"/>
            <w:shd w:val="clear" w:color="000000" w:fill="FFFFFF"/>
            <w:vAlign w:val="center"/>
          </w:tcPr>
          <w:p>
            <w:pPr>
              <w:widowControl/>
              <w:spacing w:line="0" w:lineRule="atLeast"/>
              <w:jc w:val="center"/>
              <w:rPr>
                <w:rFonts w:hint="eastAsia" w:eastAsia="宋体"/>
                <w:b/>
                <w:bCs/>
                <w:color w:val="000000"/>
                <w:kern w:val="0"/>
                <w:sz w:val="22"/>
                <w:szCs w:val="22"/>
                <w:highlight w:val="none"/>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w:t>
            </w: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产出数量</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实际完成率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项目实施的实际产出数与计划产出数的比率，用以反映和考核项目产出数量目标的实现程度。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实际完成率=（实际产出数/计划产出数）×100%。</w:t>
            </w:r>
            <w:r>
              <w:rPr>
                <w:color w:val="000000"/>
                <w:kern w:val="0"/>
                <w:sz w:val="22"/>
                <w:szCs w:val="22"/>
                <w:highlight w:val="none"/>
              </w:rPr>
              <w:br w:type="textWrapping"/>
            </w:r>
            <w:r>
              <w:rPr>
                <w:color w:val="000000"/>
                <w:kern w:val="0"/>
                <w:sz w:val="22"/>
                <w:szCs w:val="22"/>
                <w:highlight w:val="none"/>
              </w:rPr>
              <w:t>实际产出数：一定时期（本年度或项目期）内项目实际产出的产品或提供的服务数量。</w:t>
            </w:r>
            <w:r>
              <w:rPr>
                <w:color w:val="000000"/>
                <w:kern w:val="0"/>
                <w:sz w:val="22"/>
                <w:szCs w:val="22"/>
                <w:highlight w:val="none"/>
              </w:rPr>
              <w:br w:type="textWrapping"/>
            </w:r>
            <w:r>
              <w:rPr>
                <w:color w:val="000000"/>
                <w:kern w:val="0"/>
                <w:sz w:val="22"/>
                <w:szCs w:val="22"/>
                <w:highlight w:val="none"/>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产出质量</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质量达标率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项目完成的质量达标产出数与实际产出数的比率，用以反映和考核项目产出质量目标的实现程度。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质量达标率=（质量达标产出数/实际产出数）×100%。</w:t>
            </w:r>
          </w:p>
          <w:p>
            <w:pPr>
              <w:widowControl/>
              <w:spacing w:line="0" w:lineRule="atLeast"/>
              <w:rPr>
                <w:color w:val="000000"/>
                <w:kern w:val="0"/>
                <w:sz w:val="22"/>
                <w:szCs w:val="22"/>
                <w:highlight w:val="none"/>
              </w:rPr>
            </w:pPr>
            <w:r>
              <w:rPr>
                <w:color w:val="000000"/>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8.82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pPr>
              <w:spacing w:line="0" w:lineRule="atLeast"/>
              <w:jc w:val="center"/>
              <w:rPr>
                <w:color w:val="000000"/>
                <w:kern w:val="0"/>
                <w:sz w:val="22"/>
                <w:szCs w:val="22"/>
                <w:highlight w:val="none"/>
              </w:rPr>
            </w:pPr>
          </w:p>
        </w:tc>
        <w:tc>
          <w:tcPr>
            <w:tcW w:w="301" w:type="pct"/>
            <w:shd w:val="clear" w:color="auto" w:fill="FFFFFF"/>
            <w:vAlign w:val="center"/>
          </w:tcPr>
          <w:p>
            <w:pPr>
              <w:spacing w:line="0" w:lineRule="atLeast"/>
              <w:jc w:val="center"/>
              <w:rPr>
                <w:color w:val="000000"/>
                <w:kern w:val="0"/>
                <w:sz w:val="22"/>
                <w:szCs w:val="22"/>
                <w:highlight w:val="none"/>
              </w:rPr>
            </w:pPr>
            <w:r>
              <w:rPr>
                <w:color w:val="000000"/>
                <w:kern w:val="0"/>
                <w:sz w:val="22"/>
                <w:szCs w:val="22"/>
                <w:highlight w:val="none"/>
              </w:rPr>
              <w:t>产出时效</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完成及时性</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项目实际完成时间与计划完成时间的比较，用以反映和考核项目产出时效目标的实现程度。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实际完成时间：项目实施单位完成该项目实际所耗用的时间。</w:t>
            </w:r>
            <w:r>
              <w:rPr>
                <w:color w:val="000000"/>
                <w:kern w:val="0"/>
                <w:sz w:val="22"/>
                <w:szCs w:val="22"/>
                <w:highlight w:val="none"/>
              </w:rPr>
              <w:br w:type="textWrapping"/>
            </w:r>
            <w:r>
              <w:rPr>
                <w:color w:val="000000"/>
                <w:kern w:val="0"/>
                <w:sz w:val="22"/>
                <w:szCs w:val="22"/>
                <w:highlight w:val="none"/>
              </w:rPr>
              <w:t>计划完成时间：按照项目实施计划或相关规定完成该项目所需的时间。</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产出成本</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成本节约率</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完成项目计划工作目标的实际节约成本与计划成本的比率，用以反映和考核项目的成本节约程度。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br w:type="textWrapping"/>
            </w:r>
            <w:r>
              <w:rPr>
                <w:color w:val="000000"/>
                <w:kern w:val="0"/>
                <w:sz w:val="22"/>
                <w:szCs w:val="22"/>
                <w:highlight w:val="none"/>
              </w:rPr>
              <w:t>成本节约率=[（计划成本-实际成本）/计划成本]×100%。</w:t>
            </w:r>
            <w:r>
              <w:rPr>
                <w:color w:val="000000"/>
                <w:kern w:val="0"/>
                <w:sz w:val="22"/>
                <w:szCs w:val="22"/>
                <w:highlight w:val="none"/>
              </w:rPr>
              <w:br w:type="textWrapping"/>
            </w:r>
            <w:r>
              <w:rPr>
                <w:color w:val="000000"/>
                <w:kern w:val="0"/>
                <w:sz w:val="22"/>
                <w:szCs w:val="22"/>
                <w:highlight w:val="none"/>
              </w:rPr>
              <w:t>实际成本：项目实施单位如期、保质、保量完成既定工作目标实际所耗费的支出。</w:t>
            </w:r>
            <w:r>
              <w:rPr>
                <w:color w:val="000000"/>
                <w:kern w:val="0"/>
                <w:sz w:val="22"/>
                <w:szCs w:val="22"/>
                <w:highlight w:val="none"/>
              </w:rPr>
              <w:br w:type="textWrapping"/>
            </w:r>
            <w:r>
              <w:rPr>
                <w:color w:val="000000"/>
                <w:kern w:val="0"/>
                <w:sz w:val="22"/>
                <w:szCs w:val="22"/>
                <w:highlight w:val="none"/>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6.88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效益　</w:t>
            </w:r>
          </w:p>
        </w:tc>
        <w:tc>
          <w:tcPr>
            <w:tcW w:w="301" w:type="pct"/>
            <w:vMerge w:val="restar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项目效益　</w:t>
            </w: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实施效益</w:t>
            </w:r>
          </w:p>
        </w:tc>
        <w:tc>
          <w:tcPr>
            <w:tcW w:w="927" w:type="pct"/>
            <w:shd w:val="clear" w:color="auto" w:fill="FFFFFF"/>
            <w:vAlign w:val="center"/>
          </w:tcPr>
          <w:p>
            <w:pPr>
              <w:widowControl/>
              <w:spacing w:line="0" w:lineRule="atLeast"/>
              <w:jc w:val="left"/>
              <w:rPr>
                <w:color w:val="000000"/>
                <w:kern w:val="0"/>
                <w:sz w:val="22"/>
                <w:szCs w:val="22"/>
                <w:highlight w:val="none"/>
              </w:rPr>
            </w:pPr>
            <w:r>
              <w:rPr>
                <w:color w:val="000000"/>
                <w:kern w:val="0"/>
                <w:sz w:val="22"/>
                <w:szCs w:val="22"/>
                <w:highlight w:val="none"/>
              </w:rPr>
              <w:t>项目实施所产生的效益。</w:t>
            </w:r>
          </w:p>
        </w:tc>
        <w:tc>
          <w:tcPr>
            <w:tcW w:w="2048" w:type="pct"/>
            <w:shd w:val="clear" w:color="auto" w:fill="FFFFFF"/>
            <w:vAlign w:val="center"/>
          </w:tcPr>
          <w:p>
            <w:pPr>
              <w:widowControl/>
              <w:spacing w:line="0" w:lineRule="atLeast"/>
              <w:rPr>
                <w:color w:val="000000"/>
                <w:kern w:val="0"/>
                <w:sz w:val="22"/>
                <w:szCs w:val="22"/>
                <w:highlight w:val="none"/>
              </w:rPr>
            </w:pPr>
            <w:r>
              <w:rPr>
                <w:color w:val="000000"/>
                <w:kern w:val="0"/>
                <w:sz w:val="22"/>
                <w:szCs w:val="22"/>
                <w:highlight w:val="none"/>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auto"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pPr>
              <w:widowControl/>
              <w:spacing w:line="0" w:lineRule="atLeast"/>
              <w:jc w:val="center"/>
              <w:rPr>
                <w:color w:val="000000"/>
                <w:kern w:val="0"/>
                <w:sz w:val="22"/>
                <w:szCs w:val="22"/>
                <w:highlight w:val="none"/>
              </w:rPr>
            </w:pPr>
          </w:p>
        </w:tc>
        <w:tc>
          <w:tcPr>
            <w:tcW w:w="301" w:type="pct"/>
            <w:vMerge w:val="continue"/>
            <w:shd w:val="clear" w:color="auto" w:fill="FFFFFF"/>
            <w:vAlign w:val="center"/>
          </w:tcPr>
          <w:p>
            <w:pPr>
              <w:widowControl/>
              <w:spacing w:line="0" w:lineRule="atLeast"/>
              <w:jc w:val="center"/>
              <w:rPr>
                <w:color w:val="000000"/>
                <w:kern w:val="0"/>
                <w:sz w:val="22"/>
                <w:szCs w:val="22"/>
                <w:highlight w:val="none"/>
              </w:rPr>
            </w:pPr>
          </w:p>
        </w:tc>
        <w:tc>
          <w:tcPr>
            <w:tcW w:w="344" w:type="pct"/>
            <w:shd w:val="clear" w:color="auto" w:fill="FFFFFF"/>
            <w:vAlign w:val="center"/>
          </w:tcPr>
          <w:p>
            <w:pPr>
              <w:widowControl/>
              <w:spacing w:line="0" w:lineRule="atLeast"/>
              <w:jc w:val="center"/>
              <w:rPr>
                <w:color w:val="000000"/>
                <w:kern w:val="0"/>
                <w:sz w:val="22"/>
                <w:szCs w:val="22"/>
                <w:highlight w:val="none"/>
              </w:rPr>
            </w:pPr>
            <w:r>
              <w:rPr>
                <w:color w:val="000000"/>
                <w:kern w:val="0"/>
                <w:sz w:val="22"/>
                <w:szCs w:val="22"/>
                <w:highlight w:val="none"/>
              </w:rPr>
              <w:t>满意度</w:t>
            </w:r>
          </w:p>
        </w:tc>
        <w:tc>
          <w:tcPr>
            <w:tcW w:w="927"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社会公众或服务对象对项目实施效果的满意程度。</w:t>
            </w:r>
          </w:p>
        </w:tc>
        <w:tc>
          <w:tcPr>
            <w:tcW w:w="2048" w:type="pct"/>
            <w:shd w:val="clear" w:color="000000" w:fill="FFFFFF"/>
            <w:vAlign w:val="center"/>
          </w:tcPr>
          <w:p>
            <w:pPr>
              <w:widowControl/>
              <w:spacing w:line="0" w:lineRule="atLeast"/>
              <w:rPr>
                <w:color w:val="000000"/>
                <w:kern w:val="0"/>
                <w:sz w:val="22"/>
                <w:szCs w:val="22"/>
                <w:highlight w:val="none"/>
              </w:rPr>
            </w:pPr>
            <w:r>
              <w:rPr>
                <w:color w:val="000000"/>
                <w:kern w:val="0"/>
                <w:sz w:val="22"/>
                <w:szCs w:val="22"/>
                <w:highlight w:val="none"/>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b/>
                <w:bCs/>
                <w:color w:val="000000"/>
                <w:kern w:val="0"/>
                <w:sz w:val="22"/>
                <w:szCs w:val="22"/>
                <w:highlight w:val="none"/>
              </w:rPr>
            </w:pPr>
            <w:r>
              <w:rPr>
                <w:b/>
                <w:bCs/>
                <w:color w:val="000000"/>
                <w:kern w:val="0"/>
                <w:sz w:val="22"/>
                <w:szCs w:val="22"/>
                <w:highlight w:val="none"/>
              </w:rPr>
              <w:t>10</w:t>
            </w:r>
          </w:p>
        </w:tc>
        <w:tc>
          <w:tcPr>
            <w:tcW w:w="537" w:type="pct"/>
            <w:shd w:val="clear" w:color="000000" w:fill="FFFFFF"/>
            <w:vAlign w:val="center"/>
          </w:tcPr>
          <w:p>
            <w:pPr>
              <w:widowControl/>
              <w:spacing w:line="0" w:lineRule="atLeast"/>
              <w:jc w:val="center"/>
              <w:rPr>
                <w:rFonts w:hint="default" w:eastAsia="宋体"/>
                <w:b/>
                <w:bCs/>
                <w:color w:val="000000"/>
                <w:kern w:val="0"/>
                <w:sz w:val="22"/>
                <w:szCs w:val="22"/>
                <w:highlight w:val="none"/>
                <w:lang w:val="en-US" w:eastAsia="zh-CN"/>
              </w:rPr>
            </w:pPr>
            <w:r>
              <w:rPr>
                <w:rFonts w:hint="eastAsia"/>
                <w:b/>
                <w:bCs/>
                <w:color w:val="000000"/>
                <w:kern w:val="0"/>
                <w:sz w:val="22"/>
                <w:szCs w:val="22"/>
                <w:highlight w:val="none"/>
                <w:lang w:val="en-US" w:eastAsia="zh-CN"/>
              </w:rPr>
              <w:t>10</w:t>
            </w:r>
          </w:p>
        </w:tc>
      </w:tr>
    </w:tbl>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ZDQ1MzgxMjczNzMwZjc0NmVkMzY5NzhjMWY5MmQifQ=="/>
  </w:docVars>
  <w:rsids>
    <w:rsidRoot w:val="FF6C4049"/>
    <w:rsid w:val="006F7242"/>
    <w:rsid w:val="007B168A"/>
    <w:rsid w:val="008B2CFE"/>
    <w:rsid w:val="00F26FF6"/>
    <w:rsid w:val="012F5F9F"/>
    <w:rsid w:val="01853E11"/>
    <w:rsid w:val="01AC3A93"/>
    <w:rsid w:val="07397B77"/>
    <w:rsid w:val="07CF55B8"/>
    <w:rsid w:val="0C727688"/>
    <w:rsid w:val="0E6B438E"/>
    <w:rsid w:val="10C6786D"/>
    <w:rsid w:val="110103B4"/>
    <w:rsid w:val="11E14EB1"/>
    <w:rsid w:val="129F0E57"/>
    <w:rsid w:val="13471461"/>
    <w:rsid w:val="13B90F01"/>
    <w:rsid w:val="157909A2"/>
    <w:rsid w:val="169C37CB"/>
    <w:rsid w:val="181066D2"/>
    <w:rsid w:val="1A093935"/>
    <w:rsid w:val="1C400E26"/>
    <w:rsid w:val="1C671E73"/>
    <w:rsid w:val="1E941C0E"/>
    <w:rsid w:val="1EFB350D"/>
    <w:rsid w:val="1F6966C8"/>
    <w:rsid w:val="24D618A2"/>
    <w:rsid w:val="25A0292D"/>
    <w:rsid w:val="26CE2F65"/>
    <w:rsid w:val="2A06253E"/>
    <w:rsid w:val="2A2B2EF8"/>
    <w:rsid w:val="2A5F2BA2"/>
    <w:rsid w:val="2C352789"/>
    <w:rsid w:val="2CF577ED"/>
    <w:rsid w:val="2D662499"/>
    <w:rsid w:val="2EF51B85"/>
    <w:rsid w:val="2FB56378"/>
    <w:rsid w:val="2FEA73B1"/>
    <w:rsid w:val="305E727F"/>
    <w:rsid w:val="313C1E8F"/>
    <w:rsid w:val="3316259B"/>
    <w:rsid w:val="33384EEF"/>
    <w:rsid w:val="3435729C"/>
    <w:rsid w:val="36666714"/>
    <w:rsid w:val="37CD4314"/>
    <w:rsid w:val="38CA40DD"/>
    <w:rsid w:val="395F2B56"/>
    <w:rsid w:val="39D16ED3"/>
    <w:rsid w:val="39D2513E"/>
    <w:rsid w:val="3BECE841"/>
    <w:rsid w:val="3CCF005B"/>
    <w:rsid w:val="3EC534C3"/>
    <w:rsid w:val="3FD57736"/>
    <w:rsid w:val="3FF7797D"/>
    <w:rsid w:val="409444EC"/>
    <w:rsid w:val="40FE0F0E"/>
    <w:rsid w:val="441B2960"/>
    <w:rsid w:val="4493196E"/>
    <w:rsid w:val="453D4EFB"/>
    <w:rsid w:val="45C06709"/>
    <w:rsid w:val="460345F5"/>
    <w:rsid w:val="4732546E"/>
    <w:rsid w:val="49AD74B1"/>
    <w:rsid w:val="4B553E21"/>
    <w:rsid w:val="4C371F14"/>
    <w:rsid w:val="4E305547"/>
    <w:rsid w:val="4F2204BE"/>
    <w:rsid w:val="52CA1F01"/>
    <w:rsid w:val="53142A66"/>
    <w:rsid w:val="55FC07CB"/>
    <w:rsid w:val="57FB18AC"/>
    <w:rsid w:val="5A252D2A"/>
    <w:rsid w:val="5A5B4884"/>
    <w:rsid w:val="5A72492F"/>
    <w:rsid w:val="5BE3434E"/>
    <w:rsid w:val="5BFF6039"/>
    <w:rsid w:val="5D76A616"/>
    <w:rsid w:val="5D7F20B9"/>
    <w:rsid w:val="5DAC7D0E"/>
    <w:rsid w:val="5E5F1000"/>
    <w:rsid w:val="5F98B5AF"/>
    <w:rsid w:val="5FC30F01"/>
    <w:rsid w:val="5FF857FE"/>
    <w:rsid w:val="5FFE8511"/>
    <w:rsid w:val="5FFEACE2"/>
    <w:rsid w:val="601D2D07"/>
    <w:rsid w:val="60235E44"/>
    <w:rsid w:val="609E5846"/>
    <w:rsid w:val="63D0156C"/>
    <w:rsid w:val="643EE26D"/>
    <w:rsid w:val="647F41B9"/>
    <w:rsid w:val="661453B0"/>
    <w:rsid w:val="6870599E"/>
    <w:rsid w:val="69FB573C"/>
    <w:rsid w:val="6A230B69"/>
    <w:rsid w:val="6BB12556"/>
    <w:rsid w:val="6D572E2F"/>
    <w:rsid w:val="6ED55412"/>
    <w:rsid w:val="6EFF1BEC"/>
    <w:rsid w:val="6F5C41AC"/>
    <w:rsid w:val="6FAF6C78"/>
    <w:rsid w:val="709B0D8D"/>
    <w:rsid w:val="713E488C"/>
    <w:rsid w:val="72094B9E"/>
    <w:rsid w:val="7317C656"/>
    <w:rsid w:val="734ED73F"/>
    <w:rsid w:val="76FF2D0F"/>
    <w:rsid w:val="77FD8BE9"/>
    <w:rsid w:val="793C0810"/>
    <w:rsid w:val="79A9BD3F"/>
    <w:rsid w:val="7BFFFDD0"/>
    <w:rsid w:val="7C336E5F"/>
    <w:rsid w:val="7CC83BA3"/>
    <w:rsid w:val="7D7A5F86"/>
    <w:rsid w:val="7EF24F07"/>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1"/>
    <w:autoRedefine/>
    <w:qFormat/>
    <w:uiPriority w:val="0"/>
    <w:pPr>
      <w:jc w:val="left"/>
    </w:pPr>
  </w:style>
  <w:style w:type="paragraph" w:styleId="5">
    <w:name w:val="Body Text"/>
    <w:basedOn w:val="1"/>
    <w:autoRedefine/>
    <w:qFormat/>
    <w:uiPriority w:val="0"/>
    <w:pPr>
      <w:spacing w:after="120"/>
    </w:pPr>
  </w:style>
  <w:style w:type="paragraph" w:styleId="6">
    <w:name w:val="Body Text Indent"/>
    <w:basedOn w:val="1"/>
    <w:autoRedefine/>
    <w:qFormat/>
    <w:uiPriority w:val="0"/>
    <w:pPr>
      <w:spacing w:after="120"/>
      <w:ind w:left="420" w:leftChars="200"/>
    </w:pPr>
    <w:rPr>
      <w:rFonts w:ascii="Calibri" w:hAnsi="Calibri"/>
    </w:rPr>
  </w:style>
  <w:style w:type="paragraph" w:styleId="7">
    <w:name w:val="Balloon Text"/>
    <w:basedOn w:val="1"/>
    <w:link w:val="19"/>
    <w:autoRedefine/>
    <w:qFormat/>
    <w:uiPriority w:val="0"/>
    <w:rPr>
      <w:sz w:val="18"/>
      <w:szCs w:val="18"/>
    </w:rPr>
  </w:style>
  <w:style w:type="paragraph" w:styleId="8">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autoRedefine/>
    <w:qFormat/>
    <w:uiPriority w:val="0"/>
    <w:rPr>
      <w:b/>
      <w:bCs/>
    </w:rPr>
  </w:style>
  <w:style w:type="paragraph" w:styleId="11">
    <w:name w:val="Body Text First Indent"/>
    <w:basedOn w:val="5"/>
    <w:autoRedefine/>
    <w:qFormat/>
    <w:uiPriority w:val="0"/>
    <w:pPr>
      <w:spacing w:after="0"/>
      <w:ind w:firstLine="200" w:firstLineChars="200"/>
    </w:pPr>
  </w:style>
  <w:style w:type="paragraph" w:styleId="12">
    <w:name w:val="Body Text First Indent 2"/>
    <w:basedOn w:val="6"/>
    <w:autoRedefine/>
    <w:qFormat/>
    <w:uiPriority w:val="0"/>
    <w:pPr>
      <w:ind w:firstLine="420" w:firstLineChars="200"/>
    </w:pPr>
  </w:style>
  <w:style w:type="character" w:styleId="15">
    <w:name w:val="Strong"/>
    <w:basedOn w:val="14"/>
    <w:autoRedefine/>
    <w:qFormat/>
    <w:uiPriority w:val="0"/>
    <w:rPr>
      <w:b/>
      <w:bCs/>
    </w:rPr>
  </w:style>
  <w:style w:type="character" w:styleId="16">
    <w:name w:val="annotation reference"/>
    <w:basedOn w:val="14"/>
    <w:autoRedefine/>
    <w:qFormat/>
    <w:uiPriority w:val="0"/>
    <w:rPr>
      <w:sz w:val="21"/>
      <w:szCs w:val="21"/>
    </w:rPr>
  </w:style>
  <w:style w:type="character" w:customStyle="1" w:styleId="17">
    <w:name w:val="fontstyle01"/>
    <w:autoRedefine/>
    <w:qFormat/>
    <w:uiPriority w:val="0"/>
    <w:rPr>
      <w:rFonts w:ascii="仿宋_GB2312" w:hAnsi="仿宋_GB2312" w:eastAsia="仿宋_GB2312" w:cs="仿宋_GB2312"/>
      <w:color w:val="000000"/>
      <w:sz w:val="32"/>
      <w:szCs w:val="32"/>
    </w:rPr>
  </w:style>
  <w:style w:type="paragraph" w:customStyle="1" w:styleId="18">
    <w:name w:val="闻政-正文段落文字"/>
    <w:basedOn w:val="1"/>
    <w:autoRedefine/>
    <w:qFormat/>
    <w:uiPriority w:val="3"/>
    <w:pPr>
      <w:spacing w:line="500" w:lineRule="exact"/>
      <w:ind w:firstLine="200"/>
    </w:pPr>
    <w:rPr>
      <w:kern w:val="0"/>
      <w:szCs w:val="28"/>
    </w:rPr>
  </w:style>
  <w:style w:type="character" w:customStyle="1" w:styleId="19">
    <w:name w:val="批注框文本 字符"/>
    <w:basedOn w:val="14"/>
    <w:link w:val="7"/>
    <w:autoRedefine/>
    <w:qFormat/>
    <w:uiPriority w:val="0"/>
    <w:rPr>
      <w:rFonts w:ascii="Times New Roman" w:hAnsi="Times New Roman" w:eastAsia="宋体" w:cs="Times New Roman"/>
      <w:kern w:val="2"/>
      <w:sz w:val="18"/>
      <w:szCs w:val="18"/>
    </w:rPr>
  </w:style>
  <w:style w:type="character" w:customStyle="1" w:styleId="20">
    <w:name w:val="页眉 字符"/>
    <w:basedOn w:val="14"/>
    <w:link w:val="9"/>
    <w:autoRedefine/>
    <w:qFormat/>
    <w:uiPriority w:val="0"/>
    <w:rPr>
      <w:rFonts w:ascii="Times New Roman" w:hAnsi="Times New Roman" w:eastAsia="宋体" w:cs="Times New Roman"/>
      <w:kern w:val="2"/>
      <w:sz w:val="18"/>
      <w:szCs w:val="18"/>
    </w:rPr>
  </w:style>
  <w:style w:type="character" w:customStyle="1" w:styleId="21">
    <w:name w:val="批注文字 字符"/>
    <w:basedOn w:val="14"/>
    <w:link w:val="4"/>
    <w:autoRedefine/>
    <w:qFormat/>
    <w:uiPriority w:val="0"/>
    <w:rPr>
      <w:rFonts w:ascii="Times New Roman" w:hAnsi="Times New Roman" w:eastAsia="宋体" w:cs="Times New Roman"/>
      <w:kern w:val="2"/>
      <w:sz w:val="21"/>
      <w:szCs w:val="24"/>
    </w:rPr>
  </w:style>
  <w:style w:type="character" w:customStyle="1" w:styleId="22">
    <w:name w:val="批注主题 字符"/>
    <w:basedOn w:val="21"/>
    <w:link w:val="10"/>
    <w:autoRedefine/>
    <w:qFormat/>
    <w:uiPriority w:val="0"/>
    <w:rPr>
      <w:rFonts w:ascii="Times New Roman" w:hAnsi="Times New Roman" w:eastAsia="宋体" w:cs="Times New Roman"/>
      <w:b/>
      <w:bCs/>
      <w:kern w:val="2"/>
      <w:sz w:val="21"/>
      <w:szCs w:val="24"/>
    </w:rPr>
  </w:style>
  <w:style w:type="character" w:customStyle="1" w:styleId="23">
    <w:name w:val="font21"/>
    <w:basedOn w:val="14"/>
    <w:autoRedefine/>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9592</Words>
  <Characters>10154</Characters>
  <Lines>58</Lines>
  <Paragraphs>16</Paragraphs>
  <TotalTime>0</TotalTime>
  <ScaleCrop>false</ScaleCrop>
  <LinksUpToDate>false</LinksUpToDate>
  <CharactersWithSpaces>10183</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杜里里oppo</cp:lastModifiedBy>
  <dcterms:modified xsi:type="dcterms:W3CDTF">2024-10-09T08:49:55Z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DEB37354E36D40D48F20A3DAB18895C3</vt:lpwstr>
  </property>
</Properties>
</file>