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B0CCB" w14:textId="77777777" w:rsidR="004F1731" w:rsidRDefault="004F1731">
      <w:pPr>
        <w:rPr>
          <w:rFonts w:ascii="黑体" w:eastAsia="黑体" w:hAnsi="黑体" w:hint="eastAsia"/>
          <w:sz w:val="32"/>
          <w:szCs w:val="32"/>
        </w:rPr>
      </w:pPr>
    </w:p>
    <w:p w14:paraId="0B969740" w14:textId="77777777" w:rsidR="004F1731" w:rsidRDefault="004F1731">
      <w:pPr>
        <w:jc w:val="center"/>
        <w:rPr>
          <w:rFonts w:ascii="方正小标宋_GBK" w:eastAsia="方正小标宋_GBK" w:hAnsi="宋体" w:hint="eastAsia"/>
          <w:sz w:val="44"/>
          <w:szCs w:val="44"/>
        </w:rPr>
      </w:pPr>
    </w:p>
    <w:p w14:paraId="2B351B03" w14:textId="77777777" w:rsidR="004F173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奇台县老干部活动中心</w:t>
      </w:r>
    </w:p>
    <w:p w14:paraId="2F5A14BD" w14:textId="77777777" w:rsidR="004F173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DDA578D" w14:textId="77777777" w:rsidR="004F173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C5D7B3D" w14:textId="77777777" w:rsidR="004F173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94DA3C9" w14:textId="77777777" w:rsidR="004F173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2911A94" w14:textId="77777777" w:rsidR="004F173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23B58153"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52F13AA"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A12114F" w14:textId="77777777" w:rsidR="004F1731"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22EF884"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F009A52"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52D28BC"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0809255"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F7A9F26"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E38273B"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B45E5A4"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3878AF0"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1E9E22B" w14:textId="77777777" w:rsidR="004F1731"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4966251"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84676F8" w14:textId="77777777" w:rsidR="004F1731"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24EF51D" w14:textId="77777777" w:rsidR="004F1731"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A1E3E63" w14:textId="77777777" w:rsidR="004F1731"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54C48AF"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A8D50EA"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A661E10" w14:textId="77777777" w:rsidR="004F1731"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A9C2BB8" w14:textId="77777777" w:rsidR="004F1731"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461EDD"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11AE923"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06ED04A"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6396201"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2717FE8"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7449BF4"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E1FD414" w14:textId="77777777" w:rsidR="004F1731"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617FE73" w14:textId="77777777" w:rsidR="004F1731"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1894CEF" w14:textId="77777777" w:rsidR="004F173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B59276C" w14:textId="77777777" w:rsidR="004F1731" w:rsidRDefault="00000000">
      <w:r>
        <w:rPr>
          <w:rFonts w:ascii="仿宋_GB2312" w:eastAsia="仿宋_GB2312" w:hAnsi="仿宋_GB2312" w:cs="仿宋_GB2312" w:hint="eastAsia"/>
          <w:sz w:val="32"/>
          <w:szCs w:val="32"/>
        </w:rPr>
        <w:fldChar w:fldCharType="end"/>
      </w:r>
    </w:p>
    <w:p w14:paraId="764A0F5B" w14:textId="77777777" w:rsidR="004F1731" w:rsidRDefault="00000000">
      <w:pPr>
        <w:rPr>
          <w:rFonts w:ascii="仿宋_GB2312" w:eastAsia="仿宋_GB2312"/>
          <w:sz w:val="32"/>
          <w:szCs w:val="32"/>
        </w:rPr>
      </w:pPr>
      <w:r>
        <w:rPr>
          <w:rFonts w:ascii="仿宋_GB2312" w:eastAsia="仿宋_GB2312" w:hint="eastAsia"/>
          <w:sz w:val="32"/>
          <w:szCs w:val="32"/>
        </w:rPr>
        <w:br w:type="page"/>
      </w:r>
    </w:p>
    <w:p w14:paraId="123C1973" w14:textId="77777777" w:rsidR="004F173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6A9048E" w14:textId="77777777" w:rsidR="004F173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D2082C5"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一）负责指导全县离退休干部政治建设、思想建设和党组织建设，组织引导离退休干部在贯彻以习近平同志为核心的党中央治疆方略、特别是社会稳定和长治久安总目标中发挥作用，为党和人民事业增添正能量。</w:t>
      </w:r>
    </w:p>
    <w:p w14:paraId="23458879"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（二）组织开展全县离退休干部工作调查研究，制定全县离退休干部工作的具体意见和措施。</w:t>
      </w:r>
    </w:p>
    <w:p w14:paraId="3D9159AE"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（三）负责全县离退休干部工作政策业务的指导和检查工作，并办理相关业务，督促有关部门落实离退休干部政治待遇和生活待遇。</w:t>
      </w:r>
    </w:p>
    <w:p w14:paraId="0C2A4C3E"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（四）负责推动全县离休干部工作精准化、信息化建设。</w:t>
      </w:r>
    </w:p>
    <w:p w14:paraId="4DBBACCE"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（五）组织协调开展离退休干部各项活动；严格管理、合理使用离退休干部各项专用经费。</w:t>
      </w:r>
    </w:p>
    <w:p w14:paraId="33E14336"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（六）负责宣传党的离退休干部工作方针政策及典型经验做法。</w:t>
      </w:r>
    </w:p>
    <w:p w14:paraId="63DC496E"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（七）指导协调奇台县关心下一代工作委员会办公室、老干部各学会、协会开展工作。</w:t>
      </w:r>
    </w:p>
    <w:p w14:paraId="14F9E07F"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（八）完成县党委交办的其他工作。</w:t>
      </w:r>
    </w:p>
    <w:p w14:paraId="51263251" w14:textId="77777777" w:rsidR="004F173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1652086" w14:textId="77777777" w:rsidR="004F173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奇台县老干部活动中心2023年度，实有人数</w:t>
      </w:r>
      <w:r>
        <w:rPr>
          <w:rFonts w:ascii="仿宋_GB2312" w:eastAsia="仿宋_GB2312" w:hint="eastAsia"/>
          <w:sz w:val="32"/>
          <w:szCs w:val="32"/>
          <w:lang w:val="zh-CN"/>
        </w:rPr>
        <w:t>18</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5F9D7903" w14:textId="77777777" w:rsidR="004F1731" w:rsidRDefault="00000000">
      <w:pPr>
        <w:ind w:firstLineChars="200" w:firstLine="640"/>
        <w:rPr>
          <w:rFonts w:ascii="仿宋_GB2312" w:eastAsia="仿宋_GB2312" w:hAnsi="宋体" w:cs="宋体" w:hint="eastAsia"/>
          <w:kern w:val="0"/>
          <w:sz w:val="32"/>
          <w:szCs w:val="32"/>
        </w:rPr>
        <w:sectPr w:rsidR="004F173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37385B1B" w14:textId="77777777" w:rsidR="004F173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80BEDAF" w14:textId="77777777" w:rsidR="004F173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CAA0201"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2023年度收入总计246.74万元，其中：本年收入合计246.74万元，使用非财政拨款结余0.00万元，年初结转和结余0.00万元。</w:t>
      </w:r>
    </w:p>
    <w:p w14:paraId="311BB961"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2023年度支出总计246.74万元，其中：本年支出合计246.74万元，结余分配0.00万元，年末结转和结余0.00万元。</w:t>
      </w:r>
    </w:p>
    <w:p w14:paraId="0FA38FFD"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增加20.08万元</w:t>
      </w:r>
      <w:r>
        <w:rPr>
          <w:rFonts w:ascii="仿宋_GB2312" w:eastAsia="仿宋_GB2312" w:hint="eastAsia"/>
          <w:sz w:val="32"/>
          <w:szCs w:val="32"/>
        </w:rPr>
        <w:t>，增长8.86%，主要原因是：单位人员薪资调增，人员工资、津补贴等人员经费较上年增加。</w:t>
      </w:r>
    </w:p>
    <w:p w14:paraId="10D796E8" w14:textId="77777777" w:rsidR="004F173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9C50C63"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本年收入246.74万元，其中：财政拨款收入</w:t>
      </w:r>
      <w:r>
        <w:rPr>
          <w:rFonts w:ascii="仿宋_GB2312" w:eastAsia="仿宋_GB2312" w:hint="eastAsia"/>
          <w:sz w:val="32"/>
          <w:szCs w:val="32"/>
          <w:lang w:val="zh-CN"/>
        </w:rPr>
        <w:t>246.72</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0.02</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5778FE17" w14:textId="77777777" w:rsidR="004F173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7B8A72C" w14:textId="77777777" w:rsidR="004F173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本年支出246.74万元，其中：基本支出240.54万元，占97.49%；项目支出6.20万元，占2.51%；上缴上级支出0.00万元，占0.00%；经营支出0.00万元，占0.00%；对附属单位补助支出0.00万元，占0.00%。</w:t>
      </w:r>
    </w:p>
    <w:p w14:paraId="61F2359F" w14:textId="77777777" w:rsidR="004F173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24001185"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246.72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246.72</w:t>
      </w:r>
      <w:r>
        <w:rPr>
          <w:rFonts w:ascii="仿宋_GB2312" w:eastAsia="仿宋_GB2312" w:hint="eastAsia"/>
          <w:sz w:val="32"/>
          <w:szCs w:val="32"/>
        </w:rPr>
        <w:t>万元。财政拨款支出总计</w:t>
      </w:r>
      <w:r>
        <w:rPr>
          <w:rFonts w:ascii="仿宋_GB2312" w:eastAsia="仿宋_GB2312" w:hint="eastAsia"/>
          <w:sz w:val="32"/>
          <w:szCs w:val="32"/>
          <w:lang w:val="zh-CN"/>
        </w:rPr>
        <w:t>246.72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246.72</w:t>
      </w:r>
      <w:r>
        <w:rPr>
          <w:rFonts w:ascii="仿宋_GB2312" w:eastAsia="仿宋_GB2312" w:hint="eastAsia"/>
          <w:sz w:val="32"/>
          <w:szCs w:val="32"/>
        </w:rPr>
        <w:t>万元。</w:t>
      </w:r>
    </w:p>
    <w:p w14:paraId="31ACDF5A"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增加20.11万元</w:t>
      </w:r>
      <w:r>
        <w:rPr>
          <w:rFonts w:ascii="仿宋_GB2312" w:eastAsia="仿宋_GB2312" w:hint="eastAsia"/>
          <w:sz w:val="32"/>
          <w:szCs w:val="32"/>
        </w:rPr>
        <w:t>，增长8.87%,主要原因是：单位人员薪资调增，人员工资、津补贴等人员经费较上年增加。与年初预算相比，年初预算数</w:t>
      </w:r>
      <w:r>
        <w:rPr>
          <w:rFonts w:ascii="仿宋_GB2312" w:eastAsia="仿宋_GB2312" w:hint="eastAsia"/>
          <w:sz w:val="32"/>
          <w:szCs w:val="32"/>
          <w:lang w:val="zh-CN"/>
        </w:rPr>
        <w:t>266.18</w:t>
      </w:r>
      <w:r>
        <w:rPr>
          <w:rFonts w:ascii="仿宋_GB2312" w:eastAsia="仿宋_GB2312" w:hint="eastAsia"/>
          <w:sz w:val="32"/>
          <w:szCs w:val="32"/>
        </w:rPr>
        <w:t>万元，决算数</w:t>
      </w:r>
      <w:r>
        <w:rPr>
          <w:rFonts w:ascii="仿宋_GB2312" w:eastAsia="仿宋_GB2312" w:hint="eastAsia"/>
          <w:sz w:val="32"/>
          <w:szCs w:val="32"/>
          <w:lang w:val="zh-CN"/>
        </w:rPr>
        <w:t>246.72</w:t>
      </w:r>
      <w:r>
        <w:rPr>
          <w:rFonts w:ascii="仿宋_GB2312" w:eastAsia="仿宋_GB2312" w:hint="eastAsia"/>
          <w:sz w:val="32"/>
          <w:szCs w:val="32"/>
        </w:rPr>
        <w:t>万元，预决算差异率-7.31%，主要原因是：本年实际发放的人员工资、津补贴等人员经费小于年初预算安排金额。</w:t>
      </w:r>
    </w:p>
    <w:p w14:paraId="500156D6" w14:textId="77777777" w:rsidR="004F173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E6D3318" w14:textId="77777777" w:rsidR="004F173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E4E1A61" w14:textId="77777777" w:rsidR="004F173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2023年度一般公共预算财政拨款支出246.72万元，占本年支出合计的</w:t>
      </w:r>
      <w:r>
        <w:rPr>
          <w:rFonts w:ascii="仿宋_GB2312" w:eastAsia="仿宋_GB2312" w:hint="eastAsia"/>
          <w:sz w:val="32"/>
          <w:szCs w:val="32"/>
          <w:lang w:val="zh-CN"/>
        </w:rPr>
        <w:t>99.99%</w:t>
      </w:r>
      <w:r>
        <w:rPr>
          <w:rFonts w:ascii="仿宋_GB2312" w:eastAsia="仿宋_GB2312" w:hint="eastAsia"/>
          <w:sz w:val="32"/>
          <w:szCs w:val="32"/>
        </w:rPr>
        <w:t>。与上年相比，</w:t>
      </w:r>
      <w:r>
        <w:rPr>
          <w:rFonts w:ascii="仿宋_GB2312" w:eastAsia="仿宋_GB2312" w:hint="eastAsia"/>
          <w:sz w:val="32"/>
          <w:szCs w:val="32"/>
          <w:lang w:val="zh-CN"/>
        </w:rPr>
        <w:t>增加20.11万元</w:t>
      </w:r>
      <w:r>
        <w:rPr>
          <w:rFonts w:ascii="仿宋_GB2312" w:eastAsia="仿宋_GB2312" w:hint="eastAsia"/>
          <w:sz w:val="32"/>
          <w:szCs w:val="32"/>
        </w:rPr>
        <w:t>，增长8.87%,主要原因是：单位人员薪资调增，人员工资、津补贴等人员经费较上年增加。与年初预算相比，年初预算数</w:t>
      </w:r>
      <w:r>
        <w:rPr>
          <w:rFonts w:ascii="仿宋_GB2312" w:eastAsia="仿宋_GB2312" w:hint="eastAsia"/>
          <w:sz w:val="32"/>
          <w:szCs w:val="32"/>
          <w:lang w:val="zh-CN"/>
        </w:rPr>
        <w:t>266.18</w:t>
      </w:r>
      <w:r>
        <w:rPr>
          <w:rFonts w:ascii="仿宋_GB2312" w:eastAsia="仿宋_GB2312" w:hint="eastAsia"/>
          <w:sz w:val="32"/>
          <w:szCs w:val="32"/>
        </w:rPr>
        <w:t>万元，决算数</w:t>
      </w:r>
      <w:r>
        <w:rPr>
          <w:rFonts w:ascii="仿宋_GB2312" w:eastAsia="仿宋_GB2312" w:hint="eastAsia"/>
          <w:sz w:val="32"/>
          <w:szCs w:val="32"/>
          <w:lang w:val="zh-CN"/>
        </w:rPr>
        <w:t>246.72</w:t>
      </w:r>
      <w:r>
        <w:rPr>
          <w:rFonts w:ascii="仿宋_GB2312" w:eastAsia="仿宋_GB2312" w:hint="eastAsia"/>
          <w:sz w:val="32"/>
          <w:szCs w:val="32"/>
        </w:rPr>
        <w:t>万元，预决算差异率</w:t>
      </w:r>
      <w:r>
        <w:rPr>
          <w:rFonts w:ascii="仿宋_GB2312" w:eastAsia="仿宋_GB2312" w:hint="eastAsia"/>
          <w:sz w:val="32"/>
          <w:szCs w:val="32"/>
          <w:lang w:val="zh-CN"/>
        </w:rPr>
        <w:t>-7.31%</w:t>
      </w:r>
      <w:r>
        <w:rPr>
          <w:rFonts w:ascii="仿宋_GB2312" w:eastAsia="仿宋_GB2312" w:hint="eastAsia"/>
          <w:sz w:val="32"/>
          <w:szCs w:val="32"/>
        </w:rPr>
        <w:t>，主要原因是：本年实际发放的人员工资、津补贴等人员经费小于年初预算安排金额。</w:t>
      </w:r>
    </w:p>
    <w:p w14:paraId="3556BBFA" w14:textId="77777777" w:rsidR="004F173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B763D43" w14:textId="77777777" w:rsidR="004F173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196.72</w:t>
      </w:r>
      <w:r>
        <w:rPr>
          <w:rFonts w:ascii="仿宋_GB2312" w:eastAsia="仿宋_GB2312"/>
          <w:kern w:val="2"/>
          <w:sz w:val="32"/>
          <w:szCs w:val="32"/>
          <w:lang w:val="zh-CN"/>
        </w:rPr>
        <w:t>万元，占</w:t>
      </w:r>
      <w:r>
        <w:rPr>
          <w:rFonts w:ascii="仿宋_GB2312" w:eastAsia="仿宋_GB2312" w:hint="eastAsia"/>
          <w:kern w:val="2"/>
          <w:sz w:val="32"/>
          <w:szCs w:val="32"/>
          <w:lang w:val="zh-CN"/>
        </w:rPr>
        <w:t>79.73%</w:t>
      </w:r>
      <w:r>
        <w:rPr>
          <w:rFonts w:ascii="仿宋_GB2312" w:eastAsia="仿宋_GB2312"/>
          <w:kern w:val="2"/>
          <w:sz w:val="32"/>
          <w:szCs w:val="32"/>
          <w:lang w:val="zh-CN"/>
        </w:rPr>
        <w:t>；</w:t>
      </w:r>
    </w:p>
    <w:p w14:paraId="62190C34" w14:textId="77777777" w:rsidR="004F173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27.45</w:t>
      </w:r>
      <w:r>
        <w:rPr>
          <w:rFonts w:ascii="仿宋_GB2312" w:eastAsia="仿宋_GB2312"/>
          <w:kern w:val="2"/>
          <w:sz w:val="32"/>
          <w:szCs w:val="32"/>
          <w:lang w:val="zh-CN"/>
        </w:rPr>
        <w:t>万元，占</w:t>
      </w:r>
      <w:r>
        <w:rPr>
          <w:rFonts w:ascii="仿宋_GB2312" w:eastAsia="仿宋_GB2312" w:hint="eastAsia"/>
          <w:kern w:val="2"/>
          <w:sz w:val="32"/>
          <w:szCs w:val="32"/>
          <w:lang w:val="zh-CN"/>
        </w:rPr>
        <w:t>11.13%</w:t>
      </w:r>
      <w:r>
        <w:rPr>
          <w:rFonts w:ascii="仿宋_GB2312" w:eastAsia="仿宋_GB2312"/>
          <w:kern w:val="2"/>
          <w:sz w:val="32"/>
          <w:szCs w:val="32"/>
          <w:lang w:val="zh-CN"/>
        </w:rPr>
        <w:t>；</w:t>
      </w:r>
    </w:p>
    <w:p w14:paraId="75F61110" w14:textId="77777777" w:rsidR="004F173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10.17</w:t>
      </w:r>
      <w:r>
        <w:rPr>
          <w:rFonts w:ascii="仿宋_GB2312" w:eastAsia="仿宋_GB2312"/>
          <w:kern w:val="2"/>
          <w:sz w:val="32"/>
          <w:szCs w:val="32"/>
          <w:lang w:val="zh-CN"/>
        </w:rPr>
        <w:t>万元，占</w:t>
      </w:r>
      <w:r>
        <w:rPr>
          <w:rFonts w:ascii="仿宋_GB2312" w:eastAsia="仿宋_GB2312" w:hint="eastAsia"/>
          <w:kern w:val="2"/>
          <w:sz w:val="32"/>
          <w:szCs w:val="32"/>
          <w:lang w:val="zh-CN"/>
        </w:rPr>
        <w:t>4.12%</w:t>
      </w:r>
      <w:r>
        <w:rPr>
          <w:rFonts w:ascii="仿宋_GB2312" w:eastAsia="仿宋_GB2312"/>
          <w:kern w:val="2"/>
          <w:sz w:val="32"/>
          <w:szCs w:val="32"/>
          <w:lang w:val="zh-CN"/>
        </w:rPr>
        <w:t>；</w:t>
      </w:r>
    </w:p>
    <w:p w14:paraId="7BF97B69" w14:textId="77777777" w:rsidR="004F173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12.38</w:t>
      </w:r>
      <w:r>
        <w:rPr>
          <w:rFonts w:ascii="仿宋_GB2312" w:eastAsia="仿宋_GB2312"/>
          <w:kern w:val="2"/>
          <w:sz w:val="32"/>
          <w:szCs w:val="32"/>
          <w:lang w:val="zh-CN"/>
        </w:rPr>
        <w:t>万元，占</w:t>
      </w:r>
      <w:r>
        <w:rPr>
          <w:rFonts w:ascii="仿宋_GB2312" w:eastAsia="仿宋_GB2312" w:hint="eastAsia"/>
          <w:kern w:val="2"/>
          <w:sz w:val="32"/>
          <w:szCs w:val="32"/>
          <w:lang w:val="zh-CN"/>
        </w:rPr>
        <w:t>5.02%。</w:t>
      </w:r>
    </w:p>
    <w:p w14:paraId="2D005ADD" w14:textId="77777777" w:rsidR="004F173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1AAA389"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1.卫生健康支出（类）行政事业单位医疗（款）其他行政事业单位医疗支出（项）:支出决算数为0.10万元，比上年决算减少0.16万元，下降61.54%，主要原因是：</w:t>
      </w:r>
      <w:bookmarkStart w:id="18" w:name="_Hlk177999590"/>
      <w:bookmarkStart w:id="19" w:name="_Hlk178004261"/>
      <w:r>
        <w:rPr>
          <w:rFonts w:ascii="仿宋_GB2312" w:eastAsia="仿宋_GB2312" w:hAnsi="仿宋_GB2312" w:cs="仿宋_GB2312" w:hint="eastAsia"/>
          <w:sz w:val="32"/>
          <w:szCs w:val="32"/>
        </w:rPr>
        <w:t>单位</w:t>
      </w:r>
      <w:r>
        <w:rPr>
          <w:rFonts w:ascii="仿宋_GB2312" w:eastAsia="仿宋_GB2312" w:hAnsi="仿宋_GB2312" w:cs="仿宋_GB2312" w:hint="eastAsia"/>
          <w:sz w:val="32"/>
          <w:szCs w:val="32"/>
          <w:lang w:val="zh-CN"/>
        </w:rPr>
        <w:t>人员大病医疗补助经费较上年</w:t>
      </w:r>
      <w:bookmarkEnd w:id="18"/>
      <w:r>
        <w:rPr>
          <w:rFonts w:ascii="仿宋_GB2312" w:eastAsia="仿宋_GB2312" w:hAnsi="仿宋_GB2312" w:cs="仿宋_GB2312" w:hint="eastAsia"/>
          <w:sz w:val="32"/>
          <w:szCs w:val="32"/>
          <w:lang w:val="zh-CN"/>
        </w:rPr>
        <w:t>减少</w:t>
      </w:r>
      <w:bookmarkEnd w:id="19"/>
      <w:r>
        <w:rPr>
          <w:rFonts w:ascii="仿宋_GB2312" w:eastAsia="仿宋_GB2312" w:hAnsi="仿宋_GB2312" w:cs="仿宋_GB2312" w:hint="eastAsia"/>
          <w:sz w:val="32"/>
          <w:szCs w:val="32"/>
          <w:lang w:val="zh-CN"/>
        </w:rPr>
        <w:t>。</w:t>
      </w:r>
    </w:p>
    <w:p w14:paraId="0A506AAE"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2.卫生健康支出（类）行政事业单位医疗（款）行政单位医疗（项）:支出决算数为7.90万元，比上年决算减少3.21万元，下降28.89%，主要原因是：</w:t>
      </w:r>
      <w:bookmarkStart w:id="20" w:name="_Hlk178002820"/>
      <w:r>
        <w:rPr>
          <w:rFonts w:ascii="仿宋_GB2312" w:eastAsia="仿宋_GB2312" w:hAnsi="仿宋_GB2312" w:cs="仿宋_GB2312" w:hint="eastAsia"/>
          <w:sz w:val="32"/>
          <w:szCs w:val="32"/>
          <w:lang w:val="zh-CN"/>
        </w:rPr>
        <w:t>人员医疗缴费基数调</w:t>
      </w:r>
      <w:r>
        <w:rPr>
          <w:rFonts w:ascii="仿宋_GB2312" w:eastAsia="仿宋_GB2312" w:hAnsi="仿宋_GB2312" w:cs="仿宋_GB2312" w:hint="eastAsia"/>
          <w:sz w:val="32"/>
          <w:szCs w:val="32"/>
        </w:rPr>
        <w:t>减</w:t>
      </w:r>
      <w:r>
        <w:rPr>
          <w:rFonts w:ascii="仿宋_GB2312" w:eastAsia="仿宋_GB2312" w:hAnsi="仿宋_GB2312" w:cs="仿宋_GB2312" w:hint="eastAsia"/>
          <w:sz w:val="32"/>
          <w:szCs w:val="32"/>
          <w:lang w:val="zh-CN"/>
        </w:rPr>
        <w:t>，职工基本医疗保险缴费</w:t>
      </w:r>
      <w:bookmarkEnd w:id="20"/>
      <w:r>
        <w:rPr>
          <w:rFonts w:ascii="仿宋_GB2312" w:eastAsia="仿宋_GB2312" w:hAnsi="仿宋_GB2312" w:cs="仿宋_GB2312" w:hint="eastAsia"/>
          <w:sz w:val="32"/>
          <w:szCs w:val="32"/>
          <w:lang w:val="zh-CN"/>
        </w:rPr>
        <w:t>减少。</w:t>
      </w:r>
    </w:p>
    <w:p w14:paraId="4A19599F"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3.卫生健康支出（类）行政事业单位医疗（款）公务员医疗补助（项）:支出决算数为2.17万元，比上年决算减少1.00万元，下降31.55%，主要原因是：</w:t>
      </w:r>
      <w:bookmarkStart w:id="21" w:name="_Hlk177985668"/>
      <w:r>
        <w:rPr>
          <w:rFonts w:ascii="仿宋_GB2312" w:eastAsia="仿宋_GB2312" w:hAnsi="仿宋_GB2312" w:cs="仿宋_GB2312" w:hint="eastAsia"/>
          <w:sz w:val="32"/>
          <w:szCs w:val="32"/>
        </w:rPr>
        <w:t>公务员医疗保险缴费基数调减，相关人员医疗补助缴费减少</w:t>
      </w:r>
      <w:bookmarkEnd w:id="21"/>
      <w:r>
        <w:rPr>
          <w:rFonts w:ascii="仿宋_GB2312" w:eastAsia="仿宋_GB2312" w:hAnsi="仿宋_GB2312" w:cs="仿宋_GB2312" w:hint="eastAsia"/>
          <w:sz w:val="32"/>
          <w:szCs w:val="32"/>
          <w:lang w:val="zh-CN"/>
        </w:rPr>
        <w:t>。</w:t>
      </w:r>
    </w:p>
    <w:p w14:paraId="49901360"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4.住房保障支出（类）住房改革支出（款）住房公积金（项）:支出决算数为12.38万元，比上年决算增加1.07万元，增长9.46%，主要原因是：</w:t>
      </w:r>
      <w:bookmarkStart w:id="22" w:name="_Hlk177987122"/>
      <w:r>
        <w:rPr>
          <w:rFonts w:ascii="仿宋_GB2312" w:eastAsia="仿宋_GB2312" w:hAnsi="仿宋_GB2312" w:cs="仿宋_GB2312" w:hint="eastAsia"/>
          <w:sz w:val="32"/>
          <w:szCs w:val="32"/>
          <w:lang w:val="zh-CN"/>
        </w:rPr>
        <w:t>住房公积金缴费基数调增，人员公积金缴费增加</w:t>
      </w:r>
      <w:bookmarkEnd w:id="22"/>
      <w:r>
        <w:rPr>
          <w:rFonts w:ascii="仿宋_GB2312" w:eastAsia="仿宋_GB2312" w:hAnsi="仿宋_GB2312" w:cs="仿宋_GB2312" w:hint="eastAsia"/>
          <w:sz w:val="32"/>
          <w:szCs w:val="32"/>
          <w:lang w:val="zh-CN"/>
        </w:rPr>
        <w:t>。</w:t>
      </w:r>
    </w:p>
    <w:p w14:paraId="374426A3"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5.一般公共服务支出（类）党委办公厅（室）及相关机构事务（款）行政运行（项）:支出决算数为190.52万元，</w:t>
      </w:r>
      <w:r>
        <w:rPr>
          <w:rFonts w:ascii="仿宋_GB2312" w:eastAsia="仿宋_GB2312" w:hAnsi="仿宋_GB2312" w:cs="仿宋_GB2312" w:hint="eastAsia"/>
          <w:sz w:val="32"/>
          <w:szCs w:val="32"/>
        </w:rPr>
        <w:lastRenderedPageBreak/>
        <w:t>比上年决算增加9.56万元，增长5.28%，主要原因是：</w:t>
      </w:r>
      <w:r>
        <w:rPr>
          <w:rFonts w:ascii="仿宋_GB2312" w:eastAsia="仿宋_GB2312" w:hAnsi="仿宋_GB2312" w:cs="仿宋_GB2312" w:hint="eastAsia"/>
          <w:sz w:val="32"/>
          <w:szCs w:val="32"/>
          <w:lang w:val="zh-CN"/>
        </w:rPr>
        <w:t>单位人员薪资调增，人员工资、津补贴等人员经费较上年增加。</w:t>
      </w:r>
    </w:p>
    <w:p w14:paraId="4C8B101C"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6.社会保障和就业支出（类）抚恤（款）死亡抚恤（项）:支出决算数为1.95万元，比上年决算增加1.95万元，增长100%，主要原因是：</w:t>
      </w:r>
      <w:r>
        <w:rPr>
          <w:rFonts w:ascii="仿宋_GB2312" w:eastAsia="仿宋_GB2312" w:hAnsi="仿宋_GB2312" w:cs="仿宋_GB2312" w:hint="eastAsia"/>
          <w:sz w:val="32"/>
          <w:szCs w:val="32"/>
          <w:lang w:val="zh-CN"/>
        </w:rPr>
        <w:t>单位退休人员死亡，发放人员死亡抚恤金。</w:t>
      </w:r>
    </w:p>
    <w:p w14:paraId="0DF5D44C"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7.一般公共服务支出（类）党委办公厅（室）及相关机构事务（款）其他党委办公厅（室）及相关机构事务支出（项）:支出决算数为6.20万元，比上年决算增加6.20万元，增长100%，主要原因是：单位本年缴纳</w:t>
      </w:r>
      <w:r>
        <w:rPr>
          <w:rFonts w:ascii="仿宋_GB2312" w:eastAsia="仿宋_GB2312" w:hAnsi="仿宋_GB2312" w:cs="仿宋_GB2312" w:hint="eastAsia"/>
          <w:sz w:val="32"/>
          <w:szCs w:val="32"/>
          <w:lang w:val="zh-CN"/>
        </w:rPr>
        <w:t>2022-2023年行政事业单位采暖费。</w:t>
      </w:r>
    </w:p>
    <w:p w14:paraId="2ADE1E15"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8.社会保障和就业支出（类）行政事业单位养老支出（款）行政单位离退休（项）:支出决算数为3.60万元，比上年决算增加3.60万元，增长100%，主要原因是：</w:t>
      </w:r>
      <w:r>
        <w:rPr>
          <w:rFonts w:ascii="仿宋_GB2312" w:eastAsia="仿宋_GB2312" w:hAnsi="仿宋_GB2312" w:cs="仿宋_GB2312" w:hint="eastAsia"/>
          <w:sz w:val="32"/>
          <w:szCs w:val="32"/>
          <w:lang w:val="zh-CN"/>
        </w:rPr>
        <w:t>科目调整细化，新增退休人员取暖费、独生子女奖励金等。</w:t>
      </w:r>
    </w:p>
    <w:p w14:paraId="2634E77E"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9.社会保障和就业支出（类）行政事业单位养老支出（款）机关事业单位职业年金缴费支出（项）:支出决算数为6.26万元，比上年决算增加0.57万元，增长10.02%，主要原因是：</w:t>
      </w:r>
      <w:r>
        <w:rPr>
          <w:rFonts w:ascii="仿宋_GB2312" w:eastAsia="仿宋_GB2312" w:hAnsi="仿宋_GB2312" w:cs="仿宋_GB2312" w:hint="eastAsia"/>
          <w:sz w:val="32"/>
          <w:szCs w:val="32"/>
          <w:lang w:val="zh-CN"/>
        </w:rPr>
        <w:t>单位退休人员增加，退休人员职业年金缴费增加。</w:t>
      </w:r>
    </w:p>
    <w:p w14:paraId="56A19AC6" w14:textId="77777777"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10.社会保障和就业支出（类）行政事业单位养老支出（款）机关事业单位基本养老保险缴费支出（项）:支出决算数为15.65万元，比上年决算增加2.05万元，增长15.07%，</w:t>
      </w:r>
      <w:r>
        <w:rPr>
          <w:rFonts w:ascii="仿宋_GB2312" w:eastAsia="仿宋_GB2312" w:hAnsi="仿宋_GB2312" w:cs="仿宋_GB2312" w:hint="eastAsia"/>
          <w:sz w:val="32"/>
          <w:szCs w:val="32"/>
        </w:rPr>
        <w:lastRenderedPageBreak/>
        <w:t>主要原因是：</w:t>
      </w:r>
      <w:bookmarkStart w:id="23" w:name="_Hlk177987165"/>
      <w:r>
        <w:rPr>
          <w:rFonts w:eastAsia="仿宋_GB2312" w:hint="eastAsia"/>
          <w:sz w:val="32"/>
          <w:szCs w:val="32"/>
        </w:rPr>
        <w:t>本年单位社保缴费基数调增，人员养老保险缴费增加</w:t>
      </w:r>
      <w:bookmarkEnd w:id="23"/>
      <w:r>
        <w:rPr>
          <w:rFonts w:ascii="仿宋_GB2312" w:eastAsia="仿宋_GB2312" w:hAnsi="仿宋_GB2312" w:cs="仿宋_GB2312" w:hint="eastAsia"/>
          <w:sz w:val="32"/>
          <w:szCs w:val="32"/>
          <w:lang w:val="zh-CN"/>
        </w:rPr>
        <w:t>。</w:t>
      </w:r>
    </w:p>
    <w:p w14:paraId="10BB7B25" w14:textId="2803724B" w:rsidR="004F173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11.卫生健康支出（类）行政事业单位医疗（款）事业单位医疗（项）:支出决算数为0.00万元，比上年决算减少0.52万元，下降100%，主要原因是：</w:t>
      </w:r>
      <w:r w:rsidR="00495596">
        <w:rPr>
          <w:rFonts w:ascii="仿宋_GB2312" w:eastAsia="仿宋_GB2312" w:hint="eastAsia"/>
          <w:sz w:val="32"/>
          <w:szCs w:val="32"/>
          <w:lang w:val="zh-CN"/>
        </w:rPr>
        <w:t>单位科目调整，本年将</w:t>
      </w:r>
      <w:r w:rsidR="00495596" w:rsidRPr="00495596">
        <w:rPr>
          <w:rFonts w:ascii="仿宋_GB2312" w:eastAsia="仿宋_GB2312" w:hint="eastAsia"/>
          <w:sz w:val="32"/>
          <w:szCs w:val="32"/>
          <w:lang w:val="zh-CN"/>
        </w:rPr>
        <w:t>职工基本医疗保险缴费</w:t>
      </w:r>
      <w:r w:rsidR="00495596">
        <w:rPr>
          <w:rFonts w:ascii="仿宋_GB2312" w:eastAsia="仿宋_GB2312" w:hint="eastAsia"/>
          <w:sz w:val="32"/>
          <w:szCs w:val="32"/>
          <w:lang w:val="zh-CN"/>
        </w:rPr>
        <w:t>调整至</w:t>
      </w:r>
      <w:r w:rsidR="00495596" w:rsidRPr="00495596">
        <w:rPr>
          <w:rFonts w:ascii="仿宋_GB2312" w:eastAsia="仿宋_GB2312" w:hint="eastAsia"/>
          <w:sz w:val="32"/>
          <w:szCs w:val="32"/>
          <w:lang w:val="zh-CN"/>
        </w:rPr>
        <w:t>行政单位医疗</w:t>
      </w:r>
      <w:r>
        <w:rPr>
          <w:rFonts w:ascii="仿宋_GB2312" w:eastAsia="仿宋_GB2312" w:hAnsi="仿宋_GB2312" w:cs="仿宋_GB2312" w:hint="eastAsia"/>
          <w:sz w:val="32"/>
          <w:szCs w:val="32"/>
          <w:lang w:val="zh-CN"/>
        </w:rPr>
        <w:t>。</w:t>
      </w:r>
    </w:p>
    <w:p w14:paraId="036FEC6C" w14:textId="77777777" w:rsidR="004F173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7CDA4A0"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240.52万元，其中：人员经费169.67万元，包括：基本工资、津贴补贴、奖金、机关事业单位基本养老保险缴费、职业年金缴费、职工基本医疗保险缴费、公务员医疗补助缴费、其他社会保障缴费、住房公积金、退休费、生活补助、奖励金。</w:t>
      </w:r>
    </w:p>
    <w:p w14:paraId="27319393"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公用经费70.85万元，包括：办公费、印刷费、水费、电费、邮电费、取暖费、差旅费、维修（护）费、劳务费、公务用车运行维护费、其他交通费用、其他商品和服务支出。</w:t>
      </w:r>
    </w:p>
    <w:p w14:paraId="33F73536" w14:textId="77777777" w:rsidR="004F173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DC1250C" w14:textId="77777777" w:rsidR="004F1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“三公”经费支出1.22万元，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主要原因是：本年无此项经费；公务用车购置及运行维护费支出1.22万元，占100.00%，比上年增加0.00万元，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lang w:val="zh-CN"/>
        </w:rPr>
        <w:lastRenderedPageBreak/>
        <w:t>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65B6FB53" w14:textId="77777777" w:rsidR="004F1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7D4814F" w14:textId="77777777" w:rsidR="004F1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6E718B96" w14:textId="6C4F3F92"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公务用车购置及运行维护费1.22万元，其中：公务用车购置费0.00万元，公务用车运行维护费1.22万元。公务用车运行维护费开支内容包括</w:t>
      </w:r>
      <w:bookmarkStart w:id="24" w:name="_Hlk176442988"/>
      <w:r>
        <w:rPr>
          <w:rFonts w:ascii="仿宋_GB2312" w:eastAsia="仿宋_GB2312" w:cs="仿宋_GB2312" w:hint="eastAsia"/>
          <w:kern w:val="0"/>
          <w:sz w:val="32"/>
          <w:szCs w:val="32"/>
        </w:rPr>
        <w:t>公务用车燃油费、车辆维修维护费、保险费、过路费等</w:t>
      </w:r>
      <w:bookmarkEnd w:id="24"/>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5" w:name="_Hlk181961318"/>
      <w:r w:rsidR="00495596" w:rsidRPr="0005359B">
        <w:rPr>
          <w:rFonts w:ascii="仿宋_GB2312" w:eastAsia="仿宋_GB2312" w:hint="eastAsia"/>
          <w:sz w:val="32"/>
          <w:szCs w:val="32"/>
          <w:lang w:val="zh-CN"/>
        </w:rPr>
        <w:t>国有资产车辆与公务用车保有量无差异</w:t>
      </w:r>
      <w:bookmarkEnd w:id="25"/>
      <w:r>
        <w:rPr>
          <w:rFonts w:ascii="仿宋_GB2312" w:eastAsia="仿宋_GB2312" w:hint="eastAsia"/>
          <w:sz w:val="32"/>
          <w:szCs w:val="32"/>
          <w:lang w:val="zh-CN"/>
        </w:rPr>
        <w:t>。</w:t>
      </w:r>
    </w:p>
    <w:p w14:paraId="1504FC2C" w14:textId="77777777" w:rsidR="004F1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7B4ACF11" w14:textId="77777777" w:rsidR="004F173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预算数1.22万元，决算数1.22万元，预决算差异率0.00%，主要原因是：</w:t>
      </w:r>
      <w:bookmarkStart w:id="26" w:name="_Hlk176443013"/>
      <w:r>
        <w:rPr>
          <w:rFonts w:ascii="仿宋_GB2312" w:eastAsia="仿宋_GB2312" w:hint="eastAsia"/>
          <w:sz w:val="32"/>
          <w:szCs w:val="32"/>
          <w:lang w:val="zh-CN"/>
        </w:rPr>
        <w:t>本年严格按年初预算执行“三公”经费，预决算对比无差异</w:t>
      </w:r>
      <w:bookmarkEnd w:id="26"/>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w:t>
      </w:r>
      <w:r>
        <w:rPr>
          <w:rFonts w:ascii="仿宋_GB2312" w:eastAsia="仿宋_GB2312" w:hint="eastAsia"/>
          <w:sz w:val="32"/>
          <w:szCs w:val="32"/>
          <w:lang w:val="zh-CN"/>
        </w:rPr>
        <w:lastRenderedPageBreak/>
        <w:t>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预算数1.22万元，决算数1.22万元，预决算差异率0.00%，主要原因是：本年严格按年初预算执行“三公”经费，预决算对比无差异；公务接待费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7FF6AA05" w14:textId="77777777" w:rsidR="004F1731" w:rsidRDefault="00000000">
      <w:pPr>
        <w:ind w:firstLineChars="200" w:firstLine="640"/>
        <w:jc w:val="left"/>
        <w:outlineLvl w:val="1"/>
        <w:rPr>
          <w:rFonts w:ascii="黑体" w:eastAsia="黑体" w:hAnsi="黑体" w:cs="宋体" w:hint="eastAsia"/>
          <w:bCs/>
          <w:kern w:val="0"/>
          <w:sz w:val="32"/>
          <w:szCs w:val="32"/>
        </w:rPr>
      </w:pPr>
      <w:bookmarkStart w:id="27" w:name="_Toc5810"/>
      <w:bookmarkStart w:id="28" w:name="_Toc7927"/>
      <w:r>
        <w:rPr>
          <w:rFonts w:ascii="黑体" w:eastAsia="黑体" w:hAnsi="黑体" w:cs="宋体" w:hint="eastAsia"/>
          <w:bCs/>
          <w:kern w:val="0"/>
          <w:sz w:val="32"/>
          <w:szCs w:val="32"/>
        </w:rPr>
        <w:t>八、政府性基金预算财政拨款收入支出决算情况说明</w:t>
      </w:r>
      <w:bookmarkEnd w:id="27"/>
      <w:bookmarkEnd w:id="28"/>
    </w:p>
    <w:p w14:paraId="34E582EB"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DC4A02" w14:textId="77777777" w:rsidR="004F173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5102A5C"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835DA06" w14:textId="77777777" w:rsidR="004F1731" w:rsidRDefault="00000000">
      <w:pPr>
        <w:ind w:firstLineChars="200" w:firstLine="640"/>
        <w:jc w:val="left"/>
        <w:outlineLvl w:val="1"/>
        <w:rPr>
          <w:rFonts w:ascii="黑体" w:eastAsia="黑体" w:hAnsi="黑体" w:cs="宋体" w:hint="eastAsia"/>
          <w:bCs/>
          <w:kern w:val="0"/>
          <w:sz w:val="32"/>
          <w:szCs w:val="32"/>
        </w:rPr>
      </w:pPr>
      <w:bookmarkStart w:id="29" w:name="_Toc7314"/>
      <w:bookmarkStart w:id="30" w:name="_Toc1235"/>
      <w:r>
        <w:rPr>
          <w:rFonts w:ascii="黑体" w:eastAsia="黑体" w:hAnsi="黑体" w:cs="宋体" w:hint="eastAsia"/>
          <w:bCs/>
          <w:kern w:val="0"/>
          <w:sz w:val="32"/>
          <w:szCs w:val="32"/>
        </w:rPr>
        <w:t>十、其他重要事项的情况说明</w:t>
      </w:r>
      <w:bookmarkEnd w:id="29"/>
      <w:bookmarkEnd w:id="30"/>
    </w:p>
    <w:p w14:paraId="34F9E069" w14:textId="77777777" w:rsidR="004F1731" w:rsidRDefault="00000000">
      <w:pPr>
        <w:ind w:firstLineChars="200" w:firstLine="640"/>
        <w:jc w:val="left"/>
        <w:outlineLvl w:val="2"/>
        <w:rPr>
          <w:rFonts w:ascii="黑体" w:eastAsia="黑体" w:hAnsi="黑体" w:hint="eastAsia"/>
          <w:sz w:val="32"/>
          <w:szCs w:val="32"/>
        </w:rPr>
      </w:pPr>
      <w:bookmarkStart w:id="31" w:name="_Toc14519"/>
      <w:bookmarkStart w:id="32" w:name="_Toc13105"/>
      <w:r>
        <w:rPr>
          <w:rFonts w:ascii="黑体" w:eastAsia="黑体" w:hAnsi="黑体" w:hint="eastAsia"/>
          <w:sz w:val="32"/>
          <w:szCs w:val="32"/>
        </w:rPr>
        <w:t>（一）机关运行经费支出情况</w:t>
      </w:r>
      <w:bookmarkEnd w:id="31"/>
      <w:bookmarkEnd w:id="32"/>
    </w:p>
    <w:p w14:paraId="7122F9E1" w14:textId="77777777" w:rsidR="004F1731" w:rsidRDefault="00000000">
      <w:pPr>
        <w:ind w:firstLineChars="200" w:firstLine="640"/>
        <w:rPr>
          <w:rFonts w:ascii="仿宋_GB2312" w:eastAsia="仿宋_GB2312" w:hAnsi="仿宋_GB2312" w:cs="仿宋_GB2312" w:hint="eastAsia"/>
          <w:sz w:val="32"/>
          <w:szCs w:val="32"/>
          <w:lang w:val="zh-CN"/>
        </w:rPr>
      </w:pPr>
      <w:bookmarkStart w:id="33" w:name="_Toc26704"/>
      <w:bookmarkStart w:id="34"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奇台县老干部活动中心（行政单位和参照公务员法管理事业单位）机关运行经费支出70.85万元，</w:t>
      </w:r>
      <w:r>
        <w:rPr>
          <w:rFonts w:ascii="仿宋_GB2312" w:eastAsia="仿宋_GB2312" w:hAnsi="仿宋_GB2312" w:cs="仿宋_GB2312" w:hint="eastAsia"/>
          <w:sz w:val="32"/>
          <w:szCs w:val="32"/>
          <w:lang w:val="zh-CN"/>
        </w:rPr>
        <w:t>比上年增加25.67万元，增长56.82%，主要原因是：本年单位</w:t>
      </w:r>
      <w:r>
        <w:rPr>
          <w:rFonts w:ascii="仿宋_GB2312" w:eastAsia="仿宋_GB2312" w:hint="eastAsia"/>
          <w:sz w:val="32"/>
          <w:szCs w:val="32"/>
        </w:rPr>
        <w:t>办公费、水费、电费、取暖费、劳务费等较上年增加</w:t>
      </w:r>
      <w:r>
        <w:rPr>
          <w:rFonts w:ascii="仿宋_GB2312" w:eastAsia="仿宋_GB2312" w:hAnsi="仿宋_GB2312" w:cs="仿宋_GB2312" w:hint="eastAsia"/>
          <w:sz w:val="32"/>
          <w:szCs w:val="32"/>
          <w:lang w:val="zh-CN"/>
        </w:rPr>
        <w:t>。</w:t>
      </w:r>
    </w:p>
    <w:p w14:paraId="65D90F7E" w14:textId="77777777" w:rsidR="004F173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33"/>
      <w:bookmarkEnd w:id="34"/>
    </w:p>
    <w:p w14:paraId="53343E32" w14:textId="77777777" w:rsidR="004F173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2023年度政府采购支出总额27.22万元，其中：政府采</w:t>
      </w:r>
      <w:r>
        <w:rPr>
          <w:rFonts w:ascii="仿宋_GB2312" w:eastAsia="仿宋_GB2312" w:hAnsi="仿宋_GB2312" w:cs="仿宋_GB2312" w:hint="eastAsia"/>
          <w:sz w:val="32"/>
          <w:szCs w:val="32"/>
          <w:lang w:val="zh-CN"/>
        </w:rPr>
        <w:lastRenderedPageBreak/>
        <w:t>购货物支出21.13万元、政府采购工程支出1.00万元、政府采购服务支出5.10万元。</w:t>
      </w:r>
    </w:p>
    <w:p w14:paraId="1642F3CF" w14:textId="77777777" w:rsidR="004F173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授予中小企业合同金额26.84万元，占政府采购支出总额的98.60%，其中：授予小微企业合同金额26.84万元，占政府采购支出总额的98.60%</w:t>
      </w:r>
      <w:r>
        <w:rPr>
          <w:rFonts w:ascii="仿宋_GB2312" w:eastAsia="仿宋_GB2312" w:hAnsi="仿宋_GB2312" w:cs="仿宋_GB2312" w:hint="eastAsia"/>
          <w:sz w:val="32"/>
          <w:szCs w:val="32"/>
        </w:rPr>
        <w:t>。</w:t>
      </w:r>
    </w:p>
    <w:p w14:paraId="21901867" w14:textId="77777777" w:rsidR="004F1731" w:rsidRDefault="00000000">
      <w:pPr>
        <w:ind w:firstLineChars="200" w:firstLine="640"/>
        <w:jc w:val="left"/>
        <w:rPr>
          <w:rFonts w:eastAsia="黑体"/>
          <w:sz w:val="32"/>
          <w:szCs w:val="30"/>
          <w:lang w:val="zh-CN"/>
        </w:rPr>
      </w:pPr>
      <w:bookmarkStart w:id="35" w:name="_Toc4591"/>
      <w:bookmarkStart w:id="36" w:name="_Toc8391"/>
      <w:r>
        <w:rPr>
          <w:rFonts w:eastAsia="黑体" w:hint="eastAsia"/>
          <w:sz w:val="32"/>
          <w:szCs w:val="30"/>
          <w:lang w:val="zh-CN"/>
        </w:rPr>
        <w:t>（三）国有资产占用情况说明</w:t>
      </w:r>
      <w:bookmarkEnd w:id="35"/>
      <w:bookmarkEnd w:id="36"/>
    </w:p>
    <w:p w14:paraId="3004F6D8" w14:textId="77777777" w:rsidR="004F173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587.35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屋4,494.00平方米，价值520.03万元。车辆1辆，价值14.18万元，其中：副部（省）级及以上领导用车0辆、主要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w:t>
      </w:r>
      <w:r>
        <w:rPr>
          <w:rFonts w:ascii="仿宋_GB2312" w:eastAsia="仿宋_GB2312" w:hAnsi="仿宋_GB2312" w:cs="仿宋_GB2312" w:hint="eastAsia"/>
          <w:sz w:val="32"/>
          <w:szCs w:val="32"/>
        </w:rPr>
        <w:t>业</w:t>
      </w:r>
      <w:r>
        <w:rPr>
          <w:rFonts w:ascii="仿宋_GB2312" w:eastAsia="仿宋_GB2312" w:hAnsi="仿宋_GB2312" w:cs="仿宋_GB2312" w:hint="eastAsia"/>
          <w:sz w:val="32"/>
          <w:szCs w:val="32"/>
          <w:lang w:val="zh-CN"/>
        </w:rPr>
        <w:t>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97E84A0" w14:textId="77777777" w:rsidR="004F1731" w:rsidRDefault="00000000">
      <w:pPr>
        <w:ind w:firstLineChars="200" w:firstLine="640"/>
        <w:jc w:val="left"/>
        <w:outlineLvl w:val="1"/>
        <w:rPr>
          <w:rFonts w:ascii="黑体" w:eastAsia="黑体" w:hAnsi="黑体" w:cs="宋体" w:hint="eastAsia"/>
          <w:bCs/>
          <w:kern w:val="0"/>
          <w:sz w:val="32"/>
          <w:szCs w:val="32"/>
        </w:rPr>
      </w:pPr>
      <w:bookmarkStart w:id="37" w:name="_Toc435"/>
      <w:bookmarkStart w:id="38" w:name="_Toc11283"/>
      <w:r>
        <w:rPr>
          <w:rFonts w:ascii="黑体" w:eastAsia="黑体" w:hAnsi="黑体" w:cs="宋体" w:hint="eastAsia"/>
          <w:bCs/>
          <w:kern w:val="0"/>
          <w:sz w:val="32"/>
          <w:szCs w:val="32"/>
        </w:rPr>
        <w:t>十一、预算绩效的情况说明</w:t>
      </w:r>
      <w:bookmarkEnd w:id="37"/>
      <w:bookmarkEnd w:id="38"/>
    </w:p>
    <w:p w14:paraId="15B2C4E5" w14:textId="77777777" w:rsidR="004F173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246.74</w:t>
      </w:r>
      <w:r>
        <w:rPr>
          <w:rFonts w:ascii="仿宋_GB2312" w:eastAsia="仿宋_GB2312" w:hint="eastAsia"/>
          <w:sz w:val="32"/>
          <w:szCs w:val="32"/>
        </w:rPr>
        <w:t>万元，实际执行总额</w:t>
      </w:r>
      <w:r>
        <w:rPr>
          <w:rFonts w:ascii="仿宋_GB2312" w:eastAsia="仿宋_GB2312"/>
          <w:sz w:val="32"/>
          <w:szCs w:val="32"/>
        </w:rPr>
        <w:t>246.74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做好群众服务工作，保障社会大局稳定，提高群众安全感；二是促进统筹规划和综合协调，提升人居环境质量,提升群众人居环境。发现的问题及原因：一是部门职能不明确，个别工作分工不清晰，且人员培训和绩效考核</w:t>
      </w:r>
      <w:r>
        <w:rPr>
          <w:rFonts w:ascii="仿宋_GB2312" w:eastAsia="仿宋_GB2312" w:hint="eastAsia"/>
          <w:sz w:val="32"/>
          <w:szCs w:val="32"/>
        </w:rPr>
        <w:lastRenderedPageBreak/>
        <w:t>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063845B5" w14:textId="77777777" w:rsidR="004F1731" w:rsidRDefault="00000000">
      <w:pPr>
        <w:jc w:val="center"/>
        <w:rPr>
          <w:rFonts w:ascii="宋体" w:hAnsi="宋体" w:cs="宋体" w:hint="eastAsia"/>
          <w:b/>
          <w:bCs/>
          <w:kern w:val="0"/>
          <w:sz w:val="28"/>
          <w:szCs w:val="28"/>
        </w:rPr>
      </w:pPr>
      <w:bookmarkStart w:id="39" w:name="_Hlk174962300"/>
      <w:r>
        <w:rPr>
          <w:rFonts w:ascii="宋体" w:hAnsi="宋体" w:cs="宋体" w:hint="eastAsia"/>
          <w:b/>
          <w:bCs/>
          <w:kern w:val="0"/>
          <w:sz w:val="28"/>
          <w:szCs w:val="28"/>
        </w:rPr>
        <w:t>部门（单位）整体支出绩效目标自评表</w:t>
      </w:r>
    </w:p>
    <w:p w14:paraId="37D6F34B" w14:textId="77777777" w:rsidR="004F173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4F1731" w14:paraId="0DC1790A"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40431C"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585B7238" w14:textId="77777777" w:rsidR="004F1731" w:rsidRDefault="00000000">
            <w:pPr>
              <w:jc w:val="center"/>
            </w:pPr>
            <w:r>
              <w:rPr>
                <w:rFonts w:ascii="宋体" w:hAnsi="宋体"/>
                <w:sz w:val="18"/>
              </w:rPr>
              <w:t>奇台县老干部活动中心</w:t>
            </w:r>
          </w:p>
        </w:tc>
        <w:tc>
          <w:tcPr>
            <w:tcW w:w="284" w:type="dxa"/>
            <w:tcBorders>
              <w:top w:val="nil"/>
              <w:left w:val="nil"/>
              <w:bottom w:val="nil"/>
              <w:right w:val="nil"/>
            </w:tcBorders>
            <w:shd w:val="clear" w:color="auto" w:fill="auto"/>
            <w:noWrap/>
            <w:vAlign w:val="center"/>
          </w:tcPr>
          <w:p w14:paraId="4739C182" w14:textId="77777777" w:rsidR="004F1731" w:rsidRDefault="004F1731">
            <w:pPr>
              <w:widowControl/>
              <w:jc w:val="left"/>
              <w:rPr>
                <w:rFonts w:ascii="宋体" w:hAnsi="宋体" w:cs="宋体" w:hint="eastAsia"/>
                <w:b/>
                <w:bCs/>
                <w:kern w:val="0"/>
                <w:sz w:val="18"/>
                <w:szCs w:val="18"/>
              </w:rPr>
            </w:pPr>
          </w:p>
        </w:tc>
      </w:tr>
      <w:tr w:rsidR="004F1731" w14:paraId="3A154C89"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24D1BD2"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7331210D"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3ECDE0CA"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tcPr>
          <w:p w14:paraId="7B3582F7"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tcPr>
          <w:p w14:paraId="4EEE38E9"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tcPr>
          <w:p w14:paraId="240A342A"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67FE9DA"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43B2BAE"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D07AA19" w14:textId="77777777" w:rsidR="004F1731" w:rsidRDefault="004F1731">
            <w:pPr>
              <w:widowControl/>
              <w:jc w:val="center"/>
              <w:rPr>
                <w:rFonts w:ascii="宋体" w:hAnsi="宋体" w:cs="宋体" w:hint="eastAsia"/>
                <w:b/>
                <w:bCs/>
                <w:kern w:val="0"/>
                <w:sz w:val="18"/>
                <w:szCs w:val="18"/>
              </w:rPr>
            </w:pPr>
          </w:p>
        </w:tc>
      </w:tr>
      <w:tr w:rsidR="004F1731" w14:paraId="3E50D874"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E25FA3C" w14:textId="77777777" w:rsidR="004F1731" w:rsidRDefault="004F17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1FDC129"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2EE83B48" w14:textId="77777777" w:rsidR="004F173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1E36F686" w14:textId="77777777" w:rsidR="004F1731"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D9C4374" w14:textId="77777777" w:rsidR="004F1731"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ED48BA3" w14:textId="77777777" w:rsidR="004F1731" w:rsidRDefault="00000000">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2AFDC588" w14:textId="77777777" w:rsidR="004F173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648FB9A9" w14:textId="77777777" w:rsidR="004F1731"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8D27EA1" w14:textId="77777777" w:rsidR="004F1731" w:rsidRDefault="004F1731">
            <w:pPr>
              <w:widowControl/>
              <w:jc w:val="center"/>
              <w:rPr>
                <w:rFonts w:ascii="宋体" w:hAnsi="宋体" w:cs="宋体" w:hint="eastAsia"/>
                <w:b/>
                <w:bCs/>
                <w:kern w:val="0"/>
                <w:sz w:val="18"/>
                <w:szCs w:val="18"/>
              </w:rPr>
            </w:pPr>
          </w:p>
        </w:tc>
      </w:tr>
      <w:tr w:rsidR="004F1731" w14:paraId="4C90D150"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E8CBE9F" w14:textId="77777777" w:rsidR="004F1731" w:rsidRDefault="004F17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879A37E"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2D81E86C" w14:textId="77777777" w:rsidR="004F173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BBE544B" w14:textId="77777777" w:rsidR="004F1731"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7FB4B202" w14:textId="77777777" w:rsidR="004F1731"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521E052A" w14:textId="77777777" w:rsidR="004F173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64B901A2" w14:textId="77777777" w:rsidR="004F173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8809AD7" w14:textId="77777777" w:rsidR="004F173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8C0EEAA" w14:textId="77777777" w:rsidR="004F1731" w:rsidRDefault="004F1731">
            <w:pPr>
              <w:widowControl/>
              <w:jc w:val="center"/>
              <w:rPr>
                <w:rFonts w:ascii="宋体" w:hAnsi="宋体" w:cs="宋体" w:hint="eastAsia"/>
                <w:kern w:val="0"/>
                <w:sz w:val="18"/>
                <w:szCs w:val="18"/>
              </w:rPr>
            </w:pPr>
          </w:p>
        </w:tc>
      </w:tr>
      <w:tr w:rsidR="004F1731" w14:paraId="79296F1C"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ABAD6EE" w14:textId="77777777" w:rsidR="004F1731" w:rsidRDefault="004F17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CD465BE"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1B4FF87A" w14:textId="77777777" w:rsidR="004F1731" w:rsidRDefault="00000000">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65FC1A9D" w14:textId="77777777" w:rsidR="004F1731" w:rsidRDefault="00000000">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1395DF04" w14:textId="77777777" w:rsidR="004F1731" w:rsidRDefault="00000000">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77995818" w14:textId="77777777" w:rsidR="004F173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0D58109" w14:textId="77777777" w:rsidR="004F173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9C41AE6" w14:textId="77777777" w:rsidR="004F173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348C138" w14:textId="77777777" w:rsidR="004F1731" w:rsidRDefault="004F1731">
            <w:pPr>
              <w:widowControl/>
              <w:jc w:val="center"/>
              <w:rPr>
                <w:rFonts w:ascii="宋体" w:hAnsi="宋体" w:cs="宋体" w:hint="eastAsia"/>
                <w:kern w:val="0"/>
                <w:sz w:val="18"/>
                <w:szCs w:val="18"/>
              </w:rPr>
            </w:pPr>
          </w:p>
        </w:tc>
      </w:tr>
      <w:tr w:rsidR="004F1731" w14:paraId="4869C9BF"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5988958" w14:textId="77777777" w:rsidR="004F1731" w:rsidRDefault="004F17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7D9DEB2"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C411174" w14:textId="77777777" w:rsidR="004F1731" w:rsidRDefault="00000000">
            <w:pPr>
              <w:jc w:val="center"/>
            </w:pPr>
            <w:r>
              <w:rPr>
                <w:rFonts w:ascii="宋体" w:hAnsi="宋体"/>
                <w:sz w:val="18"/>
              </w:rPr>
              <w:t>266.17</w:t>
            </w:r>
          </w:p>
        </w:tc>
        <w:tc>
          <w:tcPr>
            <w:tcW w:w="1276" w:type="dxa"/>
            <w:tcBorders>
              <w:top w:val="nil"/>
              <w:left w:val="nil"/>
              <w:bottom w:val="single" w:sz="4" w:space="0" w:color="auto"/>
              <w:right w:val="single" w:sz="4" w:space="0" w:color="auto"/>
            </w:tcBorders>
            <w:shd w:val="clear" w:color="auto" w:fill="auto"/>
            <w:vAlign w:val="center"/>
          </w:tcPr>
          <w:p w14:paraId="77477138" w14:textId="77777777" w:rsidR="004F1731" w:rsidRDefault="00000000">
            <w:pPr>
              <w:jc w:val="center"/>
            </w:pPr>
            <w:r>
              <w:rPr>
                <w:rFonts w:ascii="宋体" w:hAnsi="宋体"/>
                <w:sz w:val="18"/>
              </w:rPr>
              <w:t>246.72</w:t>
            </w:r>
          </w:p>
        </w:tc>
        <w:tc>
          <w:tcPr>
            <w:tcW w:w="1842" w:type="dxa"/>
            <w:tcBorders>
              <w:top w:val="nil"/>
              <w:left w:val="nil"/>
              <w:bottom w:val="single" w:sz="4" w:space="0" w:color="auto"/>
              <w:right w:val="single" w:sz="4" w:space="0" w:color="auto"/>
            </w:tcBorders>
            <w:shd w:val="clear" w:color="auto" w:fill="auto"/>
            <w:vAlign w:val="center"/>
          </w:tcPr>
          <w:p w14:paraId="0ACF68A2" w14:textId="77777777" w:rsidR="004F1731" w:rsidRDefault="00000000">
            <w:pPr>
              <w:jc w:val="center"/>
            </w:pPr>
            <w:r>
              <w:rPr>
                <w:rFonts w:ascii="宋体" w:hAnsi="宋体"/>
                <w:sz w:val="18"/>
              </w:rPr>
              <w:t>246.72</w:t>
            </w:r>
          </w:p>
        </w:tc>
        <w:tc>
          <w:tcPr>
            <w:tcW w:w="993" w:type="dxa"/>
            <w:tcBorders>
              <w:top w:val="nil"/>
              <w:left w:val="nil"/>
              <w:bottom w:val="single" w:sz="4" w:space="0" w:color="auto"/>
              <w:right w:val="single" w:sz="4" w:space="0" w:color="auto"/>
            </w:tcBorders>
            <w:shd w:val="clear" w:color="auto" w:fill="auto"/>
            <w:vAlign w:val="center"/>
          </w:tcPr>
          <w:p w14:paraId="51EDC8EC"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A41D6CF"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ADA8B35"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D1B3915" w14:textId="77777777" w:rsidR="004F1731" w:rsidRDefault="004F1731">
            <w:pPr>
              <w:widowControl/>
              <w:jc w:val="center"/>
              <w:rPr>
                <w:rFonts w:ascii="宋体" w:hAnsi="宋体" w:cs="宋体" w:hint="eastAsia"/>
                <w:kern w:val="0"/>
                <w:sz w:val="18"/>
                <w:szCs w:val="18"/>
              </w:rPr>
            </w:pPr>
          </w:p>
        </w:tc>
      </w:tr>
      <w:tr w:rsidR="004F1731" w14:paraId="5E740B8B" w14:textId="77777777">
        <w:trPr>
          <w:trHeight w:val="459"/>
        </w:trPr>
        <w:tc>
          <w:tcPr>
            <w:tcW w:w="993" w:type="dxa"/>
            <w:vMerge/>
            <w:tcBorders>
              <w:top w:val="single" w:sz="4" w:space="0" w:color="auto"/>
              <w:left w:val="single" w:sz="4" w:space="0" w:color="auto"/>
              <w:bottom w:val="single" w:sz="4" w:space="0" w:color="auto"/>
              <w:right w:val="single" w:sz="4" w:space="0" w:color="auto"/>
            </w:tcBorders>
            <w:vAlign w:val="center"/>
          </w:tcPr>
          <w:p w14:paraId="1D6D8C9D" w14:textId="77777777" w:rsidR="004F1731" w:rsidRDefault="004F17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EB82FEA"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4B12E56B" w14:textId="77777777" w:rsidR="004F1731" w:rsidRDefault="00000000">
            <w:pPr>
              <w:jc w:val="center"/>
            </w:pPr>
            <w:r>
              <w:rPr>
                <w:rFonts w:ascii="宋体" w:hAnsi="宋体"/>
                <w:sz w:val="18"/>
              </w:rPr>
              <w:t>5.41</w:t>
            </w:r>
          </w:p>
        </w:tc>
        <w:tc>
          <w:tcPr>
            <w:tcW w:w="1276" w:type="dxa"/>
            <w:tcBorders>
              <w:top w:val="nil"/>
              <w:left w:val="nil"/>
              <w:bottom w:val="single" w:sz="4" w:space="0" w:color="auto"/>
              <w:right w:val="single" w:sz="4" w:space="0" w:color="auto"/>
            </w:tcBorders>
            <w:shd w:val="clear" w:color="auto" w:fill="auto"/>
            <w:vAlign w:val="center"/>
          </w:tcPr>
          <w:p w14:paraId="2EF829AA" w14:textId="77777777" w:rsidR="004F1731" w:rsidRDefault="00000000">
            <w:pPr>
              <w:jc w:val="center"/>
            </w:pPr>
            <w:r>
              <w:rPr>
                <w:rFonts w:ascii="宋体" w:hAnsi="宋体"/>
                <w:sz w:val="18"/>
              </w:rPr>
              <w:t>0.02</w:t>
            </w:r>
          </w:p>
        </w:tc>
        <w:tc>
          <w:tcPr>
            <w:tcW w:w="1842" w:type="dxa"/>
            <w:tcBorders>
              <w:top w:val="nil"/>
              <w:left w:val="nil"/>
              <w:bottom w:val="single" w:sz="4" w:space="0" w:color="auto"/>
              <w:right w:val="single" w:sz="4" w:space="0" w:color="auto"/>
            </w:tcBorders>
            <w:shd w:val="clear" w:color="auto" w:fill="auto"/>
            <w:vAlign w:val="center"/>
          </w:tcPr>
          <w:p w14:paraId="016338E7" w14:textId="77777777" w:rsidR="004F1731" w:rsidRDefault="00000000">
            <w:pPr>
              <w:jc w:val="center"/>
            </w:pPr>
            <w:r>
              <w:rPr>
                <w:rFonts w:ascii="宋体" w:hAnsi="宋体"/>
                <w:sz w:val="18"/>
              </w:rPr>
              <w:t>0.02</w:t>
            </w:r>
          </w:p>
        </w:tc>
        <w:tc>
          <w:tcPr>
            <w:tcW w:w="993" w:type="dxa"/>
            <w:tcBorders>
              <w:top w:val="nil"/>
              <w:left w:val="nil"/>
              <w:bottom w:val="single" w:sz="4" w:space="0" w:color="auto"/>
              <w:right w:val="single" w:sz="4" w:space="0" w:color="auto"/>
            </w:tcBorders>
            <w:shd w:val="clear" w:color="auto" w:fill="auto"/>
            <w:vAlign w:val="center"/>
          </w:tcPr>
          <w:p w14:paraId="568A96BC"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DC59992"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0A12ADD"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1F63C4D" w14:textId="77777777" w:rsidR="004F1731" w:rsidRDefault="004F1731">
            <w:pPr>
              <w:widowControl/>
              <w:jc w:val="center"/>
              <w:rPr>
                <w:rFonts w:ascii="宋体" w:hAnsi="宋体" w:cs="宋体" w:hint="eastAsia"/>
                <w:kern w:val="0"/>
                <w:sz w:val="18"/>
                <w:szCs w:val="18"/>
              </w:rPr>
            </w:pPr>
          </w:p>
        </w:tc>
      </w:tr>
      <w:tr w:rsidR="004F1731" w14:paraId="1180A41D"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4EBCED5" w14:textId="77777777" w:rsidR="004F1731" w:rsidRDefault="004F173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56A8B1D"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636780D2" w14:textId="77777777" w:rsidR="004F1731" w:rsidRDefault="00000000">
            <w:pPr>
              <w:jc w:val="center"/>
            </w:pPr>
            <w:r>
              <w:rPr>
                <w:rFonts w:ascii="宋体" w:hAnsi="宋体"/>
                <w:sz w:val="18"/>
              </w:rPr>
              <w:t>271.58</w:t>
            </w:r>
          </w:p>
        </w:tc>
        <w:tc>
          <w:tcPr>
            <w:tcW w:w="1276" w:type="dxa"/>
            <w:tcBorders>
              <w:top w:val="nil"/>
              <w:left w:val="nil"/>
              <w:bottom w:val="single" w:sz="4" w:space="0" w:color="auto"/>
              <w:right w:val="single" w:sz="4" w:space="0" w:color="auto"/>
            </w:tcBorders>
            <w:shd w:val="clear" w:color="auto" w:fill="auto"/>
            <w:vAlign w:val="center"/>
          </w:tcPr>
          <w:p w14:paraId="14C5D55A" w14:textId="77777777" w:rsidR="004F1731" w:rsidRDefault="00000000">
            <w:pPr>
              <w:jc w:val="center"/>
            </w:pPr>
            <w:r>
              <w:rPr>
                <w:rFonts w:ascii="宋体" w:hAnsi="宋体"/>
                <w:sz w:val="18"/>
              </w:rPr>
              <w:t>246.74</w:t>
            </w:r>
          </w:p>
        </w:tc>
        <w:tc>
          <w:tcPr>
            <w:tcW w:w="1842" w:type="dxa"/>
            <w:tcBorders>
              <w:top w:val="nil"/>
              <w:left w:val="nil"/>
              <w:bottom w:val="single" w:sz="4" w:space="0" w:color="auto"/>
              <w:right w:val="single" w:sz="4" w:space="0" w:color="auto"/>
            </w:tcBorders>
            <w:shd w:val="clear" w:color="auto" w:fill="auto"/>
            <w:vAlign w:val="center"/>
          </w:tcPr>
          <w:p w14:paraId="0496A81A" w14:textId="77777777" w:rsidR="004F1731" w:rsidRDefault="00000000">
            <w:pPr>
              <w:jc w:val="center"/>
            </w:pPr>
            <w:r>
              <w:rPr>
                <w:rFonts w:ascii="宋体" w:hAnsi="宋体"/>
                <w:sz w:val="18"/>
              </w:rPr>
              <w:t>246.74</w:t>
            </w:r>
          </w:p>
        </w:tc>
        <w:tc>
          <w:tcPr>
            <w:tcW w:w="993" w:type="dxa"/>
            <w:tcBorders>
              <w:top w:val="nil"/>
              <w:left w:val="nil"/>
              <w:bottom w:val="single" w:sz="4" w:space="0" w:color="auto"/>
              <w:right w:val="single" w:sz="4" w:space="0" w:color="auto"/>
            </w:tcBorders>
            <w:shd w:val="clear" w:color="auto" w:fill="auto"/>
            <w:vAlign w:val="center"/>
          </w:tcPr>
          <w:p w14:paraId="22BBAF16"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153896F7"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7044F82" w14:textId="77777777" w:rsidR="004F173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B6AF688" w14:textId="77777777" w:rsidR="004F1731" w:rsidRDefault="004F1731">
            <w:pPr>
              <w:widowControl/>
              <w:jc w:val="center"/>
              <w:rPr>
                <w:rFonts w:ascii="宋体" w:hAnsi="宋体" w:cs="宋体" w:hint="eastAsia"/>
                <w:kern w:val="0"/>
                <w:sz w:val="18"/>
                <w:szCs w:val="18"/>
              </w:rPr>
            </w:pPr>
          </w:p>
        </w:tc>
      </w:tr>
      <w:tr w:rsidR="004F1731" w14:paraId="2BB1FDC4"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24A4CF"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tcPr>
          <w:p w14:paraId="0BD35C7D"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tcPr>
          <w:p w14:paraId="468FDF3B"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873C0A3" w14:textId="77777777" w:rsidR="004F1731" w:rsidRDefault="004F1731">
            <w:pPr>
              <w:widowControl/>
              <w:jc w:val="left"/>
              <w:rPr>
                <w:rFonts w:ascii="宋体" w:hAnsi="宋体" w:cs="宋体" w:hint="eastAsia"/>
                <w:b/>
                <w:bCs/>
                <w:kern w:val="0"/>
                <w:sz w:val="18"/>
                <w:szCs w:val="18"/>
              </w:rPr>
            </w:pPr>
          </w:p>
        </w:tc>
      </w:tr>
      <w:tr w:rsidR="004F1731" w14:paraId="56565C91"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66105CB" w14:textId="77777777" w:rsidR="004F1731" w:rsidRDefault="004F1731">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3328226D" w14:textId="77777777" w:rsidR="004F1731" w:rsidRDefault="00000000">
            <w:pPr>
              <w:jc w:val="left"/>
            </w:pPr>
            <w:r>
              <w:rPr>
                <w:rFonts w:ascii="宋体" w:hAnsi="宋体"/>
                <w:sz w:val="18"/>
              </w:rPr>
              <w:t>坚持以习近平新时代中国特色社会主义思想为指导，深入学习宣传贯彻党的二十大精神，认真贯彻落实习近平总书记视察新疆重要讲话重要指示精神，全面落实新时代党的建设总要求和新时代党的组织路线，贯彻落实新时代党的治疆方略，认真落实全国、自治区、自治州、奇台县组织部长会议精神，全面落实全国、自治区老干部局（处）长、自治州老干部局长会议精神，深化做好新时代老干部</w:t>
            </w:r>
            <w:r>
              <w:rPr>
                <w:rFonts w:ascii="宋体" w:hAnsi="宋体"/>
                <w:sz w:val="18"/>
              </w:rPr>
              <w:lastRenderedPageBreak/>
              <w:t>工作的规律性认识，坚持稳中求进、守正创新、真抓实干，一体推进离退休干部党的建设、发挥作用、服务管理和老干部工作部门自身建设，持续加强信息化精准化规范化建设，奋力推动奇台县老干部工作高质量发展，为昌吉州全力建设推进中国式现代化新疆实践的典范地州贡献奇台力量。</w:t>
            </w:r>
          </w:p>
        </w:tc>
        <w:tc>
          <w:tcPr>
            <w:tcW w:w="4547" w:type="dxa"/>
            <w:gridSpan w:val="4"/>
            <w:tcBorders>
              <w:top w:val="single" w:sz="4" w:space="0" w:color="auto"/>
              <w:left w:val="nil"/>
              <w:bottom w:val="single" w:sz="4" w:space="0" w:color="auto"/>
              <w:right w:val="single" w:sz="4" w:space="0" w:color="auto"/>
            </w:tcBorders>
            <w:shd w:val="clear" w:color="auto" w:fill="auto"/>
          </w:tcPr>
          <w:p w14:paraId="25BD75BC" w14:textId="77777777" w:rsidR="004F1731" w:rsidRDefault="00000000">
            <w:pPr>
              <w:jc w:val="left"/>
            </w:pPr>
            <w:r>
              <w:rPr>
                <w:rFonts w:ascii="宋体" w:hAnsi="宋体"/>
                <w:sz w:val="18"/>
              </w:rPr>
              <w:lastRenderedPageBreak/>
              <w:t>截止2023年12月底，圆满完成各项工作任务。1.全年组织县级示范培训班期数2期；2.老干部党校培训班期数6期；3.组织老干部参观学习次数1次；4.组织老干部情况通报座谈会次数1次；5.全年节假日走访慰问老干部次数1次；</w:t>
            </w:r>
          </w:p>
        </w:tc>
        <w:tc>
          <w:tcPr>
            <w:tcW w:w="284" w:type="dxa"/>
            <w:tcBorders>
              <w:top w:val="nil"/>
              <w:left w:val="nil"/>
              <w:bottom w:val="nil"/>
              <w:right w:val="nil"/>
            </w:tcBorders>
            <w:shd w:val="clear" w:color="auto" w:fill="auto"/>
            <w:noWrap/>
            <w:vAlign w:val="center"/>
          </w:tcPr>
          <w:p w14:paraId="705A615F" w14:textId="77777777" w:rsidR="004F1731" w:rsidRDefault="004F1731">
            <w:pPr>
              <w:widowControl/>
              <w:jc w:val="left"/>
              <w:rPr>
                <w:rFonts w:ascii="宋体" w:hAnsi="宋体" w:cs="宋体" w:hint="eastAsia"/>
                <w:kern w:val="0"/>
                <w:sz w:val="18"/>
                <w:szCs w:val="18"/>
              </w:rPr>
            </w:pPr>
          </w:p>
        </w:tc>
      </w:tr>
      <w:tr w:rsidR="004F1731" w14:paraId="1643AF5A"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4A2A059C"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492610D5"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54608914"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tcPr>
          <w:p w14:paraId="1677ABF8"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tcPr>
          <w:p w14:paraId="080D0B8F"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tcPr>
          <w:p w14:paraId="778124D8"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tcPr>
          <w:p w14:paraId="306F5FA4"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tcPr>
          <w:p w14:paraId="3BB4E315" w14:textId="77777777" w:rsidR="004F173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5786191" w14:textId="77777777" w:rsidR="004F1731" w:rsidRDefault="004F1731">
            <w:pPr>
              <w:widowControl/>
              <w:jc w:val="left"/>
              <w:rPr>
                <w:rFonts w:ascii="宋体" w:hAnsi="宋体" w:cs="宋体" w:hint="eastAsia"/>
                <w:b/>
                <w:bCs/>
                <w:kern w:val="0"/>
                <w:sz w:val="18"/>
                <w:szCs w:val="18"/>
              </w:rPr>
            </w:pPr>
          </w:p>
        </w:tc>
      </w:tr>
      <w:tr w:rsidR="004F1731" w14:paraId="4D3DFB2D"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DAAC199" w14:textId="77777777" w:rsidR="004F173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AD1E35F" w14:textId="77777777" w:rsidR="004F173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10C96B8" w14:textId="77777777" w:rsidR="004F1731" w:rsidRDefault="00000000">
            <w:pPr>
              <w:jc w:val="center"/>
            </w:pPr>
            <w:r>
              <w:rPr>
                <w:rFonts w:ascii="宋体" w:hAnsi="宋体"/>
                <w:sz w:val="18"/>
              </w:rPr>
              <w:t>全年组织县级示范培训班期数</w:t>
            </w:r>
          </w:p>
        </w:tc>
        <w:tc>
          <w:tcPr>
            <w:tcW w:w="1276" w:type="dxa"/>
            <w:tcBorders>
              <w:top w:val="nil"/>
              <w:left w:val="nil"/>
              <w:bottom w:val="single" w:sz="4" w:space="0" w:color="auto"/>
              <w:right w:val="single" w:sz="4" w:space="0" w:color="auto"/>
            </w:tcBorders>
            <w:shd w:val="clear" w:color="auto" w:fill="auto"/>
            <w:noWrap/>
            <w:vAlign w:val="center"/>
          </w:tcPr>
          <w:p w14:paraId="1AFED734" w14:textId="77777777" w:rsidR="004F1731" w:rsidRDefault="00000000">
            <w:pPr>
              <w:jc w:val="center"/>
            </w:pPr>
            <w:r>
              <w:rPr>
                <w:rFonts w:ascii="宋体" w:hAnsi="宋体"/>
                <w:sz w:val="18"/>
              </w:rPr>
              <w:t>&gt;=2期</w:t>
            </w:r>
          </w:p>
        </w:tc>
        <w:tc>
          <w:tcPr>
            <w:tcW w:w="1842" w:type="dxa"/>
            <w:tcBorders>
              <w:top w:val="nil"/>
              <w:left w:val="nil"/>
              <w:bottom w:val="single" w:sz="4" w:space="0" w:color="auto"/>
              <w:right w:val="single" w:sz="4" w:space="0" w:color="auto"/>
            </w:tcBorders>
            <w:shd w:val="clear" w:color="auto" w:fill="auto"/>
            <w:noWrap/>
            <w:vAlign w:val="center"/>
          </w:tcPr>
          <w:p w14:paraId="3D92AEDF" w14:textId="77777777" w:rsidR="004F1731" w:rsidRDefault="00000000">
            <w:pPr>
              <w:jc w:val="center"/>
            </w:pPr>
            <w:r>
              <w:rPr>
                <w:rFonts w:ascii="宋体" w:hAnsi="宋体"/>
                <w:sz w:val="18"/>
              </w:rPr>
              <w:t>2023年工作要点</w:t>
            </w:r>
          </w:p>
        </w:tc>
        <w:tc>
          <w:tcPr>
            <w:tcW w:w="993" w:type="dxa"/>
            <w:tcBorders>
              <w:top w:val="nil"/>
              <w:left w:val="nil"/>
              <w:bottom w:val="single" w:sz="4" w:space="0" w:color="auto"/>
              <w:right w:val="single" w:sz="4" w:space="0" w:color="auto"/>
            </w:tcBorders>
            <w:shd w:val="clear" w:color="auto" w:fill="auto"/>
            <w:noWrap/>
            <w:vAlign w:val="center"/>
          </w:tcPr>
          <w:p w14:paraId="3F4B77B4" w14:textId="77777777" w:rsidR="004F1731"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4D3C144C" w14:textId="77777777" w:rsidR="004F1731" w:rsidRDefault="00000000">
            <w:pPr>
              <w:jc w:val="center"/>
            </w:pPr>
            <w:r>
              <w:rPr>
                <w:rFonts w:ascii="宋体" w:hAnsi="宋体"/>
                <w:sz w:val="18"/>
              </w:rPr>
              <w:t>2期</w:t>
            </w:r>
          </w:p>
        </w:tc>
        <w:tc>
          <w:tcPr>
            <w:tcW w:w="720" w:type="dxa"/>
            <w:tcBorders>
              <w:top w:val="nil"/>
              <w:left w:val="nil"/>
              <w:bottom w:val="single" w:sz="4" w:space="0" w:color="auto"/>
              <w:right w:val="single" w:sz="4" w:space="0" w:color="auto"/>
            </w:tcBorders>
            <w:shd w:val="clear" w:color="auto" w:fill="auto"/>
            <w:noWrap/>
            <w:vAlign w:val="center"/>
          </w:tcPr>
          <w:p w14:paraId="14E394A2" w14:textId="77777777" w:rsidR="004F1731"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9C9C957" w14:textId="77777777" w:rsidR="004F1731" w:rsidRDefault="004F1731">
            <w:pPr>
              <w:widowControl/>
              <w:jc w:val="center"/>
              <w:rPr>
                <w:rFonts w:ascii="宋体" w:hAnsi="宋体" w:cs="宋体" w:hint="eastAsia"/>
                <w:kern w:val="0"/>
                <w:sz w:val="18"/>
                <w:szCs w:val="18"/>
              </w:rPr>
            </w:pPr>
          </w:p>
        </w:tc>
      </w:tr>
      <w:tr w:rsidR="004F1731" w14:paraId="559A603C"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DD9CED4" w14:textId="77777777" w:rsidR="004F1731" w:rsidRDefault="004F173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7E080EC" w14:textId="77777777" w:rsidR="004F1731" w:rsidRDefault="004F17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BE9269" w14:textId="77777777" w:rsidR="004F1731" w:rsidRDefault="00000000">
            <w:pPr>
              <w:jc w:val="center"/>
            </w:pPr>
            <w:r>
              <w:rPr>
                <w:rFonts w:ascii="宋体" w:hAnsi="宋体"/>
                <w:sz w:val="18"/>
              </w:rPr>
              <w:t>老干部党校培训班期数</w:t>
            </w:r>
          </w:p>
        </w:tc>
        <w:tc>
          <w:tcPr>
            <w:tcW w:w="1276" w:type="dxa"/>
            <w:tcBorders>
              <w:top w:val="nil"/>
              <w:left w:val="nil"/>
              <w:bottom w:val="single" w:sz="4" w:space="0" w:color="auto"/>
              <w:right w:val="single" w:sz="4" w:space="0" w:color="auto"/>
            </w:tcBorders>
            <w:shd w:val="clear" w:color="auto" w:fill="auto"/>
            <w:noWrap/>
            <w:vAlign w:val="center"/>
          </w:tcPr>
          <w:p w14:paraId="0C039439" w14:textId="77777777" w:rsidR="004F1731" w:rsidRDefault="00000000">
            <w:pPr>
              <w:jc w:val="center"/>
            </w:pPr>
            <w:r>
              <w:rPr>
                <w:rFonts w:ascii="宋体" w:hAnsi="宋体"/>
                <w:sz w:val="18"/>
              </w:rPr>
              <w:t>&gt;=6期</w:t>
            </w:r>
          </w:p>
        </w:tc>
        <w:tc>
          <w:tcPr>
            <w:tcW w:w="1842" w:type="dxa"/>
            <w:tcBorders>
              <w:top w:val="nil"/>
              <w:left w:val="nil"/>
              <w:bottom w:val="single" w:sz="4" w:space="0" w:color="auto"/>
              <w:right w:val="single" w:sz="4" w:space="0" w:color="auto"/>
            </w:tcBorders>
            <w:shd w:val="clear" w:color="auto" w:fill="auto"/>
            <w:noWrap/>
            <w:vAlign w:val="center"/>
          </w:tcPr>
          <w:p w14:paraId="005A0C87" w14:textId="77777777" w:rsidR="004F1731" w:rsidRDefault="00000000">
            <w:pPr>
              <w:jc w:val="center"/>
            </w:pPr>
            <w:r>
              <w:rPr>
                <w:rFonts w:ascii="宋体" w:hAnsi="宋体"/>
                <w:sz w:val="18"/>
              </w:rPr>
              <w:t>2023年工作要点</w:t>
            </w:r>
          </w:p>
        </w:tc>
        <w:tc>
          <w:tcPr>
            <w:tcW w:w="993" w:type="dxa"/>
            <w:tcBorders>
              <w:top w:val="nil"/>
              <w:left w:val="nil"/>
              <w:bottom w:val="single" w:sz="4" w:space="0" w:color="auto"/>
              <w:right w:val="single" w:sz="4" w:space="0" w:color="auto"/>
            </w:tcBorders>
            <w:shd w:val="clear" w:color="auto" w:fill="auto"/>
            <w:noWrap/>
            <w:vAlign w:val="center"/>
          </w:tcPr>
          <w:p w14:paraId="199F44E7" w14:textId="77777777" w:rsidR="004F1731"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E230BB1" w14:textId="77777777" w:rsidR="004F1731" w:rsidRDefault="00000000">
            <w:pPr>
              <w:jc w:val="center"/>
            </w:pPr>
            <w:r>
              <w:rPr>
                <w:rFonts w:ascii="宋体" w:hAnsi="宋体"/>
                <w:sz w:val="18"/>
              </w:rPr>
              <w:t>6期</w:t>
            </w:r>
          </w:p>
        </w:tc>
        <w:tc>
          <w:tcPr>
            <w:tcW w:w="720" w:type="dxa"/>
            <w:tcBorders>
              <w:top w:val="nil"/>
              <w:left w:val="nil"/>
              <w:bottom w:val="single" w:sz="4" w:space="0" w:color="auto"/>
              <w:right w:val="single" w:sz="4" w:space="0" w:color="auto"/>
            </w:tcBorders>
            <w:shd w:val="clear" w:color="auto" w:fill="auto"/>
            <w:noWrap/>
            <w:vAlign w:val="center"/>
          </w:tcPr>
          <w:p w14:paraId="718448DD" w14:textId="77777777" w:rsidR="004F1731"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7AEC4830" w14:textId="77777777" w:rsidR="004F1731" w:rsidRDefault="004F1731">
            <w:pPr>
              <w:widowControl/>
              <w:jc w:val="center"/>
              <w:rPr>
                <w:rFonts w:ascii="宋体" w:hAnsi="宋体" w:cs="宋体" w:hint="eastAsia"/>
                <w:kern w:val="0"/>
                <w:sz w:val="18"/>
                <w:szCs w:val="18"/>
              </w:rPr>
            </w:pPr>
          </w:p>
        </w:tc>
      </w:tr>
      <w:tr w:rsidR="004F1731" w14:paraId="0D4C307B"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E6AAEF2" w14:textId="77777777" w:rsidR="004F1731" w:rsidRDefault="004F173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DC648E3" w14:textId="77777777" w:rsidR="004F1731" w:rsidRDefault="004F17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AE7178A" w14:textId="77777777" w:rsidR="004F1731" w:rsidRDefault="00000000">
            <w:pPr>
              <w:jc w:val="center"/>
            </w:pPr>
            <w:r>
              <w:rPr>
                <w:rFonts w:ascii="宋体" w:hAnsi="宋体"/>
                <w:sz w:val="18"/>
              </w:rPr>
              <w:t>组织老干部参观学习次数</w:t>
            </w:r>
          </w:p>
        </w:tc>
        <w:tc>
          <w:tcPr>
            <w:tcW w:w="1276" w:type="dxa"/>
            <w:tcBorders>
              <w:top w:val="nil"/>
              <w:left w:val="nil"/>
              <w:bottom w:val="single" w:sz="4" w:space="0" w:color="auto"/>
              <w:right w:val="single" w:sz="4" w:space="0" w:color="auto"/>
            </w:tcBorders>
            <w:shd w:val="clear" w:color="auto" w:fill="auto"/>
            <w:noWrap/>
            <w:vAlign w:val="center"/>
          </w:tcPr>
          <w:p w14:paraId="4E7ED256" w14:textId="77777777" w:rsidR="004F1731" w:rsidRDefault="00000000">
            <w:pPr>
              <w:jc w:val="center"/>
            </w:pPr>
            <w:r>
              <w:rPr>
                <w:rFonts w:ascii="宋体" w:hAnsi="宋体"/>
                <w:sz w:val="18"/>
              </w:rPr>
              <w:t>&gt;=1次</w:t>
            </w:r>
          </w:p>
        </w:tc>
        <w:tc>
          <w:tcPr>
            <w:tcW w:w="1842" w:type="dxa"/>
            <w:tcBorders>
              <w:top w:val="nil"/>
              <w:left w:val="nil"/>
              <w:bottom w:val="single" w:sz="4" w:space="0" w:color="auto"/>
              <w:right w:val="single" w:sz="4" w:space="0" w:color="auto"/>
            </w:tcBorders>
            <w:shd w:val="clear" w:color="auto" w:fill="auto"/>
            <w:noWrap/>
            <w:vAlign w:val="center"/>
          </w:tcPr>
          <w:p w14:paraId="725818D6" w14:textId="77777777" w:rsidR="004F1731" w:rsidRDefault="00000000">
            <w:pPr>
              <w:jc w:val="center"/>
            </w:pPr>
            <w:r>
              <w:rPr>
                <w:rFonts w:ascii="宋体" w:hAnsi="宋体"/>
                <w:sz w:val="18"/>
              </w:rPr>
              <w:t>2023年工作要点</w:t>
            </w:r>
          </w:p>
        </w:tc>
        <w:tc>
          <w:tcPr>
            <w:tcW w:w="993" w:type="dxa"/>
            <w:tcBorders>
              <w:top w:val="nil"/>
              <w:left w:val="nil"/>
              <w:bottom w:val="single" w:sz="4" w:space="0" w:color="auto"/>
              <w:right w:val="single" w:sz="4" w:space="0" w:color="auto"/>
            </w:tcBorders>
            <w:shd w:val="clear" w:color="auto" w:fill="auto"/>
            <w:noWrap/>
            <w:vAlign w:val="center"/>
          </w:tcPr>
          <w:p w14:paraId="38BDC3A7" w14:textId="77777777" w:rsidR="004F1731"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6307A586" w14:textId="77777777" w:rsidR="004F1731"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3765E6F0" w14:textId="77777777" w:rsidR="004F1731"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5B59562F" w14:textId="77777777" w:rsidR="004F1731" w:rsidRDefault="004F1731">
            <w:pPr>
              <w:widowControl/>
              <w:jc w:val="center"/>
              <w:rPr>
                <w:rFonts w:ascii="宋体" w:hAnsi="宋体" w:cs="宋体" w:hint="eastAsia"/>
                <w:kern w:val="0"/>
                <w:sz w:val="18"/>
                <w:szCs w:val="18"/>
              </w:rPr>
            </w:pPr>
          </w:p>
        </w:tc>
      </w:tr>
      <w:tr w:rsidR="004F1731" w14:paraId="43219317"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EC8546" w14:textId="77777777" w:rsidR="004F1731" w:rsidRDefault="004F173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2C196D0" w14:textId="77777777" w:rsidR="004F1731" w:rsidRDefault="004F17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7C36EDF" w14:textId="77777777" w:rsidR="004F1731" w:rsidRDefault="00000000">
            <w:pPr>
              <w:jc w:val="center"/>
            </w:pPr>
            <w:r>
              <w:rPr>
                <w:rFonts w:ascii="宋体" w:hAnsi="宋体"/>
                <w:sz w:val="18"/>
              </w:rPr>
              <w:t>组织老干部情况通报座谈会次数</w:t>
            </w:r>
          </w:p>
        </w:tc>
        <w:tc>
          <w:tcPr>
            <w:tcW w:w="1276" w:type="dxa"/>
            <w:tcBorders>
              <w:top w:val="nil"/>
              <w:left w:val="nil"/>
              <w:bottom w:val="single" w:sz="4" w:space="0" w:color="auto"/>
              <w:right w:val="single" w:sz="4" w:space="0" w:color="auto"/>
            </w:tcBorders>
            <w:shd w:val="clear" w:color="auto" w:fill="auto"/>
            <w:noWrap/>
            <w:vAlign w:val="center"/>
          </w:tcPr>
          <w:p w14:paraId="0F813B87" w14:textId="77777777" w:rsidR="004F1731" w:rsidRDefault="00000000">
            <w:pPr>
              <w:jc w:val="center"/>
            </w:pPr>
            <w:r>
              <w:rPr>
                <w:rFonts w:ascii="宋体" w:hAnsi="宋体"/>
                <w:sz w:val="18"/>
              </w:rPr>
              <w:t>&gt;=1次</w:t>
            </w:r>
          </w:p>
        </w:tc>
        <w:tc>
          <w:tcPr>
            <w:tcW w:w="1842" w:type="dxa"/>
            <w:tcBorders>
              <w:top w:val="nil"/>
              <w:left w:val="nil"/>
              <w:bottom w:val="single" w:sz="4" w:space="0" w:color="auto"/>
              <w:right w:val="single" w:sz="4" w:space="0" w:color="auto"/>
            </w:tcBorders>
            <w:shd w:val="clear" w:color="auto" w:fill="auto"/>
            <w:noWrap/>
            <w:vAlign w:val="center"/>
          </w:tcPr>
          <w:p w14:paraId="6BD56DB3" w14:textId="77777777" w:rsidR="004F1731" w:rsidRDefault="00000000">
            <w:pPr>
              <w:jc w:val="center"/>
            </w:pPr>
            <w:r>
              <w:rPr>
                <w:rFonts w:ascii="宋体" w:hAnsi="宋体"/>
                <w:sz w:val="18"/>
              </w:rPr>
              <w:t>2023年工作要点</w:t>
            </w:r>
          </w:p>
        </w:tc>
        <w:tc>
          <w:tcPr>
            <w:tcW w:w="993" w:type="dxa"/>
            <w:tcBorders>
              <w:top w:val="nil"/>
              <w:left w:val="nil"/>
              <w:bottom w:val="single" w:sz="4" w:space="0" w:color="auto"/>
              <w:right w:val="single" w:sz="4" w:space="0" w:color="auto"/>
            </w:tcBorders>
            <w:shd w:val="clear" w:color="auto" w:fill="auto"/>
            <w:noWrap/>
            <w:vAlign w:val="center"/>
          </w:tcPr>
          <w:p w14:paraId="75DE6D0D" w14:textId="77777777" w:rsidR="004F1731" w:rsidRDefault="00000000">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10A83D4" w14:textId="77777777" w:rsidR="004F1731"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3B7062D0" w14:textId="77777777" w:rsidR="004F1731" w:rsidRDefault="00000000">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18B96B5" w14:textId="77777777" w:rsidR="004F1731" w:rsidRDefault="004F1731">
            <w:pPr>
              <w:widowControl/>
              <w:jc w:val="center"/>
              <w:rPr>
                <w:rFonts w:ascii="宋体" w:hAnsi="宋体" w:cs="宋体" w:hint="eastAsia"/>
                <w:kern w:val="0"/>
                <w:sz w:val="18"/>
                <w:szCs w:val="18"/>
              </w:rPr>
            </w:pPr>
          </w:p>
        </w:tc>
      </w:tr>
      <w:tr w:rsidR="004F1731" w14:paraId="06C4F92E" w14:textId="7777777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14C46D" w14:textId="77777777" w:rsidR="004F1731" w:rsidRDefault="00000000">
            <w:pPr>
              <w:jc w:val="center"/>
            </w:pPr>
            <w:r>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09C07918" w14:textId="77777777" w:rsidR="004F1731" w:rsidRDefault="004F173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F24BFC" w14:textId="77777777" w:rsidR="004F1731" w:rsidRDefault="00000000">
            <w:pPr>
              <w:jc w:val="center"/>
            </w:pPr>
            <w:r>
              <w:rPr>
                <w:rFonts w:ascii="宋体" w:hAnsi="宋体"/>
                <w:sz w:val="18"/>
              </w:rPr>
              <w:t>全年节假日走访慰问老干部次数</w:t>
            </w:r>
          </w:p>
        </w:tc>
        <w:tc>
          <w:tcPr>
            <w:tcW w:w="1276" w:type="dxa"/>
            <w:tcBorders>
              <w:top w:val="nil"/>
              <w:left w:val="nil"/>
              <w:bottom w:val="single" w:sz="4" w:space="0" w:color="auto"/>
              <w:right w:val="single" w:sz="4" w:space="0" w:color="auto"/>
            </w:tcBorders>
            <w:shd w:val="clear" w:color="auto" w:fill="auto"/>
            <w:noWrap/>
            <w:vAlign w:val="center"/>
          </w:tcPr>
          <w:p w14:paraId="6559DA36" w14:textId="77777777" w:rsidR="004F1731" w:rsidRDefault="00000000">
            <w:pPr>
              <w:jc w:val="center"/>
            </w:pPr>
            <w:r>
              <w:rPr>
                <w:rFonts w:ascii="宋体" w:hAnsi="宋体"/>
                <w:sz w:val="18"/>
              </w:rPr>
              <w:t>&gt;=1次</w:t>
            </w:r>
          </w:p>
        </w:tc>
        <w:tc>
          <w:tcPr>
            <w:tcW w:w="1842" w:type="dxa"/>
            <w:tcBorders>
              <w:top w:val="nil"/>
              <w:left w:val="nil"/>
              <w:bottom w:val="single" w:sz="4" w:space="0" w:color="auto"/>
              <w:right w:val="single" w:sz="4" w:space="0" w:color="auto"/>
            </w:tcBorders>
            <w:shd w:val="clear" w:color="auto" w:fill="auto"/>
            <w:noWrap/>
            <w:vAlign w:val="center"/>
          </w:tcPr>
          <w:p w14:paraId="43153763" w14:textId="77777777" w:rsidR="004F1731" w:rsidRDefault="00000000">
            <w:pPr>
              <w:jc w:val="center"/>
            </w:pPr>
            <w:r>
              <w:rPr>
                <w:rFonts w:ascii="宋体" w:hAnsi="宋体"/>
                <w:sz w:val="18"/>
              </w:rPr>
              <w:t>2023年工作要点</w:t>
            </w:r>
          </w:p>
        </w:tc>
        <w:tc>
          <w:tcPr>
            <w:tcW w:w="993" w:type="dxa"/>
            <w:tcBorders>
              <w:top w:val="nil"/>
              <w:left w:val="nil"/>
              <w:bottom w:val="single" w:sz="4" w:space="0" w:color="auto"/>
              <w:right w:val="single" w:sz="4" w:space="0" w:color="auto"/>
            </w:tcBorders>
            <w:shd w:val="clear" w:color="auto" w:fill="auto"/>
            <w:noWrap/>
            <w:vAlign w:val="center"/>
          </w:tcPr>
          <w:p w14:paraId="1FFAAEC7" w14:textId="77777777" w:rsidR="004F1731" w:rsidRDefault="00000000">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F0FCBA7" w14:textId="77777777" w:rsidR="004F1731" w:rsidRDefault="00000000">
            <w:pPr>
              <w:jc w:val="center"/>
            </w:pPr>
            <w:r>
              <w:rPr>
                <w:rFonts w:ascii="宋体" w:hAnsi="宋体"/>
                <w:sz w:val="18"/>
              </w:rPr>
              <w:t>1次</w:t>
            </w:r>
          </w:p>
        </w:tc>
        <w:tc>
          <w:tcPr>
            <w:tcW w:w="720" w:type="dxa"/>
            <w:tcBorders>
              <w:top w:val="nil"/>
              <w:left w:val="nil"/>
              <w:bottom w:val="single" w:sz="4" w:space="0" w:color="auto"/>
              <w:right w:val="single" w:sz="4" w:space="0" w:color="auto"/>
            </w:tcBorders>
            <w:shd w:val="clear" w:color="auto" w:fill="auto"/>
            <w:noWrap/>
            <w:vAlign w:val="center"/>
          </w:tcPr>
          <w:p w14:paraId="4C04AAD2" w14:textId="77777777" w:rsidR="004F1731"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6A1A1C85" w14:textId="77777777" w:rsidR="004F1731" w:rsidRDefault="004F1731">
            <w:pPr>
              <w:widowControl/>
              <w:jc w:val="center"/>
              <w:rPr>
                <w:rFonts w:ascii="宋体" w:hAnsi="宋体" w:cs="宋体" w:hint="eastAsia"/>
                <w:kern w:val="0"/>
                <w:sz w:val="18"/>
                <w:szCs w:val="18"/>
              </w:rPr>
            </w:pPr>
          </w:p>
        </w:tc>
      </w:tr>
      <w:bookmarkEnd w:id="39"/>
    </w:tbl>
    <w:p w14:paraId="4D980B8A" w14:textId="77777777" w:rsidR="004F1731" w:rsidRDefault="004F1731">
      <w:pPr>
        <w:ind w:firstLineChars="200" w:firstLine="562"/>
        <w:jc w:val="left"/>
        <w:rPr>
          <w:rFonts w:ascii="宋体" w:hAnsi="宋体" w:cs="宋体" w:hint="eastAsia"/>
          <w:b/>
          <w:bCs/>
          <w:kern w:val="0"/>
          <w:sz w:val="28"/>
          <w:szCs w:val="28"/>
        </w:rPr>
      </w:pPr>
    </w:p>
    <w:p w14:paraId="5CFF7EF4" w14:textId="77777777" w:rsidR="004F173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0B63DF7" w14:textId="77777777" w:rsidR="004F173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7A741913" w14:textId="77777777" w:rsidR="004F1731" w:rsidRDefault="00000000">
      <w:pPr>
        <w:jc w:val="center"/>
        <w:outlineLvl w:val="0"/>
        <w:rPr>
          <w:rFonts w:ascii="黑体" w:eastAsia="黑体" w:hAnsi="黑体" w:hint="eastAsia"/>
          <w:sz w:val="32"/>
          <w:szCs w:val="32"/>
        </w:rPr>
      </w:pPr>
      <w:bookmarkStart w:id="40" w:name="_Toc24143"/>
      <w:bookmarkStart w:id="4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40"/>
      <w:bookmarkEnd w:id="41"/>
    </w:p>
    <w:p w14:paraId="52F2E0C4"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AA5AA93"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08DAE68"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689FEC"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6CC2043"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FFE8A05"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301E04C"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A068E76"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943050"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80E5908" w14:textId="77777777" w:rsidR="004F173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97A7E5F" w14:textId="77777777" w:rsidR="004F173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B4EBCA8" w14:textId="77777777" w:rsidR="004F173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6A85112" w14:textId="77777777" w:rsidR="004F173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3B09CA" w14:textId="77777777" w:rsidR="004F173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DF35396" w14:textId="77777777" w:rsidR="004F173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ADA8D16" w14:textId="77777777" w:rsidR="004F1731" w:rsidRDefault="00000000">
      <w:pPr>
        <w:ind w:firstLineChars="200" w:firstLine="640"/>
        <w:outlineLvl w:val="1"/>
        <w:rPr>
          <w:rFonts w:ascii="黑体" w:eastAsia="仿宋_GB2312" w:hAnsi="黑体" w:cs="宋体" w:hint="eastAsia"/>
          <w:bCs/>
          <w:kern w:val="0"/>
          <w:sz w:val="32"/>
          <w:szCs w:val="32"/>
        </w:rPr>
      </w:pPr>
      <w:bookmarkStart w:id="42" w:name="_Toc2183"/>
      <w:bookmarkStart w:id="43" w:name="_Toc6062"/>
      <w:r>
        <w:rPr>
          <w:rFonts w:ascii="黑体" w:eastAsia="仿宋_GB2312" w:hAnsi="黑体" w:cs="宋体" w:hint="eastAsia"/>
          <w:bCs/>
          <w:kern w:val="0"/>
          <w:sz w:val="32"/>
          <w:szCs w:val="32"/>
        </w:rPr>
        <w:t>一、《收入支出决算总表》</w:t>
      </w:r>
      <w:bookmarkEnd w:id="42"/>
      <w:bookmarkEnd w:id="43"/>
    </w:p>
    <w:p w14:paraId="2D637EE7" w14:textId="77777777" w:rsidR="004F1731" w:rsidRDefault="00000000">
      <w:pPr>
        <w:ind w:firstLineChars="200" w:firstLine="640"/>
        <w:outlineLvl w:val="1"/>
        <w:rPr>
          <w:rFonts w:ascii="黑体" w:eastAsia="仿宋_GB2312" w:hAnsi="黑体" w:cs="宋体" w:hint="eastAsia"/>
          <w:bCs/>
          <w:kern w:val="0"/>
          <w:sz w:val="32"/>
          <w:szCs w:val="32"/>
        </w:rPr>
      </w:pPr>
      <w:bookmarkStart w:id="44" w:name="_Toc24532"/>
      <w:bookmarkStart w:id="45" w:name="_Toc30364"/>
      <w:r>
        <w:rPr>
          <w:rFonts w:ascii="黑体" w:eastAsia="仿宋_GB2312" w:hAnsi="黑体" w:cs="宋体" w:hint="eastAsia"/>
          <w:bCs/>
          <w:kern w:val="0"/>
          <w:sz w:val="32"/>
          <w:szCs w:val="32"/>
        </w:rPr>
        <w:t>二、《收入决算表》</w:t>
      </w:r>
      <w:bookmarkEnd w:id="44"/>
      <w:bookmarkEnd w:id="45"/>
    </w:p>
    <w:p w14:paraId="5D082BC6" w14:textId="77777777" w:rsidR="004F1731" w:rsidRDefault="00000000">
      <w:pPr>
        <w:ind w:firstLineChars="200" w:firstLine="640"/>
        <w:outlineLvl w:val="1"/>
        <w:rPr>
          <w:rFonts w:ascii="黑体" w:eastAsia="仿宋_GB2312" w:hAnsi="黑体" w:cs="宋体" w:hint="eastAsia"/>
          <w:bCs/>
          <w:kern w:val="0"/>
          <w:sz w:val="32"/>
          <w:szCs w:val="32"/>
        </w:rPr>
      </w:pPr>
      <w:bookmarkStart w:id="46" w:name="_Toc32434"/>
      <w:bookmarkStart w:id="47" w:name="_Toc21304"/>
      <w:r>
        <w:rPr>
          <w:rFonts w:ascii="黑体" w:eastAsia="仿宋_GB2312" w:hAnsi="黑体" w:cs="宋体" w:hint="eastAsia"/>
          <w:bCs/>
          <w:kern w:val="0"/>
          <w:sz w:val="32"/>
          <w:szCs w:val="32"/>
        </w:rPr>
        <w:t>三、《支出决算表》</w:t>
      </w:r>
      <w:bookmarkEnd w:id="46"/>
      <w:bookmarkEnd w:id="47"/>
    </w:p>
    <w:p w14:paraId="1D842C30" w14:textId="77777777" w:rsidR="004F1731" w:rsidRDefault="00000000">
      <w:pPr>
        <w:ind w:firstLineChars="200" w:firstLine="640"/>
        <w:outlineLvl w:val="1"/>
        <w:rPr>
          <w:rFonts w:ascii="黑体" w:eastAsia="仿宋_GB2312" w:hAnsi="黑体" w:cs="宋体" w:hint="eastAsia"/>
          <w:bCs/>
          <w:kern w:val="0"/>
          <w:sz w:val="32"/>
          <w:szCs w:val="32"/>
        </w:rPr>
      </w:pPr>
      <w:bookmarkStart w:id="48" w:name="_Toc28786"/>
      <w:bookmarkStart w:id="49" w:name="_Toc14238"/>
      <w:r>
        <w:rPr>
          <w:rFonts w:ascii="黑体" w:eastAsia="仿宋_GB2312" w:hAnsi="黑体" w:cs="宋体" w:hint="eastAsia"/>
          <w:bCs/>
          <w:kern w:val="0"/>
          <w:sz w:val="32"/>
          <w:szCs w:val="32"/>
        </w:rPr>
        <w:t>四、《财政拨款收入支出决算总表》</w:t>
      </w:r>
      <w:bookmarkEnd w:id="48"/>
      <w:bookmarkEnd w:id="49"/>
    </w:p>
    <w:p w14:paraId="729FFE6F" w14:textId="77777777" w:rsidR="004F1731" w:rsidRDefault="00000000">
      <w:pPr>
        <w:ind w:firstLineChars="200" w:firstLine="640"/>
        <w:outlineLvl w:val="1"/>
        <w:rPr>
          <w:rFonts w:ascii="黑体" w:eastAsia="仿宋_GB2312" w:hAnsi="黑体" w:cs="宋体" w:hint="eastAsia"/>
          <w:bCs/>
          <w:kern w:val="0"/>
          <w:sz w:val="32"/>
          <w:szCs w:val="32"/>
        </w:rPr>
      </w:pPr>
      <w:bookmarkStart w:id="50" w:name="_Toc10347"/>
      <w:bookmarkStart w:id="51" w:name="_Toc14869"/>
      <w:r>
        <w:rPr>
          <w:rFonts w:ascii="黑体" w:eastAsia="仿宋_GB2312" w:hAnsi="黑体" w:cs="宋体" w:hint="eastAsia"/>
          <w:bCs/>
          <w:kern w:val="0"/>
          <w:sz w:val="32"/>
          <w:szCs w:val="32"/>
        </w:rPr>
        <w:t>五、《一般公共预算财政拨款支出决算表》</w:t>
      </w:r>
      <w:bookmarkEnd w:id="50"/>
      <w:bookmarkEnd w:id="51"/>
    </w:p>
    <w:p w14:paraId="7EF0CFB9" w14:textId="77777777" w:rsidR="004F1731" w:rsidRDefault="00000000">
      <w:pPr>
        <w:ind w:firstLineChars="200" w:firstLine="640"/>
        <w:outlineLvl w:val="1"/>
        <w:rPr>
          <w:rFonts w:ascii="黑体" w:eastAsia="仿宋_GB2312" w:hAnsi="黑体" w:cs="宋体" w:hint="eastAsia"/>
          <w:bCs/>
          <w:kern w:val="0"/>
          <w:sz w:val="32"/>
          <w:szCs w:val="32"/>
        </w:rPr>
      </w:pPr>
      <w:bookmarkStart w:id="52" w:name="_Toc5626"/>
      <w:bookmarkStart w:id="53" w:name="_Toc8884"/>
      <w:r>
        <w:rPr>
          <w:rFonts w:ascii="黑体" w:eastAsia="仿宋_GB2312" w:hAnsi="黑体" w:cs="宋体" w:hint="eastAsia"/>
          <w:bCs/>
          <w:kern w:val="0"/>
          <w:sz w:val="32"/>
          <w:szCs w:val="32"/>
        </w:rPr>
        <w:t>六、《一般公共预算财政拨款基本支出决算表》</w:t>
      </w:r>
      <w:bookmarkEnd w:id="52"/>
      <w:bookmarkEnd w:id="53"/>
    </w:p>
    <w:p w14:paraId="775DDF85" w14:textId="77777777" w:rsidR="004F173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4" w:name="_Toc29106"/>
      <w:bookmarkStart w:id="55" w:name="_Toc32663"/>
      <w:r>
        <w:rPr>
          <w:rFonts w:ascii="黑体" w:eastAsia="仿宋_GB2312" w:hAnsi="黑体" w:cs="宋体" w:hint="eastAsia"/>
          <w:bCs/>
          <w:kern w:val="0"/>
          <w:sz w:val="32"/>
          <w:szCs w:val="32"/>
        </w:rPr>
        <w:t>《财政拨款“三公”经费支出决算表》</w:t>
      </w:r>
      <w:bookmarkEnd w:id="54"/>
      <w:bookmarkEnd w:id="55"/>
    </w:p>
    <w:p w14:paraId="6754E022" w14:textId="77777777" w:rsidR="004F1731" w:rsidRDefault="00000000">
      <w:pPr>
        <w:ind w:firstLineChars="200" w:firstLine="640"/>
        <w:outlineLvl w:val="1"/>
        <w:rPr>
          <w:rFonts w:ascii="黑体" w:eastAsia="仿宋_GB2312" w:hAnsi="黑体" w:cs="宋体" w:hint="eastAsia"/>
          <w:bCs/>
          <w:kern w:val="0"/>
          <w:sz w:val="32"/>
          <w:szCs w:val="32"/>
        </w:rPr>
      </w:pPr>
      <w:bookmarkStart w:id="56" w:name="_Toc5453"/>
      <w:bookmarkStart w:id="57" w:name="_Toc7643"/>
      <w:r>
        <w:rPr>
          <w:rFonts w:ascii="黑体" w:eastAsia="仿宋_GB2312" w:hAnsi="黑体" w:cs="宋体" w:hint="eastAsia"/>
          <w:bCs/>
          <w:kern w:val="0"/>
          <w:sz w:val="32"/>
          <w:szCs w:val="32"/>
        </w:rPr>
        <w:t>八、《政府性基金预算财政拨款收入支出决算表》</w:t>
      </w:r>
      <w:bookmarkEnd w:id="56"/>
      <w:bookmarkEnd w:id="57"/>
    </w:p>
    <w:p w14:paraId="3E276B11" w14:textId="77777777" w:rsidR="004F173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943488A" w14:textId="77777777" w:rsidR="004F1731" w:rsidRDefault="004F1731">
      <w:pPr>
        <w:ind w:firstLineChars="200" w:firstLine="640"/>
        <w:rPr>
          <w:rFonts w:ascii="仿宋_GB2312" w:eastAsia="仿宋_GB2312"/>
          <w:sz w:val="32"/>
          <w:szCs w:val="32"/>
        </w:rPr>
      </w:pPr>
    </w:p>
    <w:p w14:paraId="7542960B" w14:textId="77777777" w:rsidR="004F1731" w:rsidRDefault="004F1731">
      <w:pPr>
        <w:ind w:firstLineChars="200" w:firstLine="640"/>
        <w:outlineLvl w:val="1"/>
        <w:rPr>
          <w:rFonts w:ascii="黑体" w:eastAsia="黑体" w:hAnsi="黑体" w:cs="宋体" w:hint="eastAsia"/>
          <w:bCs/>
          <w:kern w:val="0"/>
          <w:sz w:val="32"/>
          <w:szCs w:val="32"/>
        </w:rPr>
      </w:pPr>
    </w:p>
    <w:sectPr w:rsidR="004F173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665F40" w14:textId="77777777" w:rsidR="00B41219" w:rsidRDefault="00B41219">
      <w:r>
        <w:separator/>
      </w:r>
    </w:p>
  </w:endnote>
  <w:endnote w:type="continuationSeparator" w:id="0">
    <w:p w14:paraId="19F9F99E" w14:textId="77777777" w:rsidR="00B41219" w:rsidRDefault="00B41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DEC9C0" w14:textId="77777777" w:rsidR="004F1731" w:rsidRDefault="00000000">
    <w:pPr>
      <w:pStyle w:val="a4"/>
    </w:pPr>
    <w:r>
      <w:rPr>
        <w:noProof/>
      </w:rPr>
      <mc:AlternateContent>
        <mc:Choice Requires="wps">
          <w:drawing>
            <wp:anchor distT="0" distB="0" distL="114300" distR="114300" simplePos="0" relativeHeight="251659264" behindDoc="0" locked="0" layoutInCell="1" allowOverlap="1" wp14:anchorId="590DD77A" wp14:editId="0310570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4E6D2F3" w14:textId="77777777" w:rsidR="004F173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90DD77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4E6D2F3" w14:textId="77777777" w:rsidR="004F173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F19943" w14:textId="77777777" w:rsidR="00B41219" w:rsidRDefault="00B41219">
      <w:r>
        <w:separator/>
      </w:r>
    </w:p>
  </w:footnote>
  <w:footnote w:type="continuationSeparator" w:id="0">
    <w:p w14:paraId="39006F26" w14:textId="77777777" w:rsidR="00B41219" w:rsidRDefault="00B41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992113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02645E"/>
    <w:rsid w:val="0002645E"/>
    <w:rsid w:val="00175FFA"/>
    <w:rsid w:val="00213C59"/>
    <w:rsid w:val="002A57CB"/>
    <w:rsid w:val="003210CE"/>
    <w:rsid w:val="003D2808"/>
    <w:rsid w:val="00454C46"/>
    <w:rsid w:val="00495596"/>
    <w:rsid w:val="004F1731"/>
    <w:rsid w:val="005123FB"/>
    <w:rsid w:val="00681777"/>
    <w:rsid w:val="007A40B2"/>
    <w:rsid w:val="008D6E29"/>
    <w:rsid w:val="008F7866"/>
    <w:rsid w:val="00A055B0"/>
    <w:rsid w:val="00B41219"/>
    <w:rsid w:val="00B70D59"/>
    <w:rsid w:val="00C24C28"/>
    <w:rsid w:val="00D729E9"/>
    <w:rsid w:val="00D90482"/>
    <w:rsid w:val="00D924A8"/>
    <w:rsid w:val="00E00BAE"/>
    <w:rsid w:val="00EC18D3"/>
    <w:rsid w:val="00F52A8D"/>
    <w:rsid w:val="00F8299F"/>
    <w:rsid w:val="00FD5C60"/>
    <w:rsid w:val="00FF2E8A"/>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DFF0AB0"/>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4B229E"/>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DD71D"/>
  <w15:docId w15:val="{001BFCDE-4B21-4DC6-BF53-1D47C406F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166</TotalTime>
  <Pages>18</Pages>
  <Words>1257</Words>
  <Characters>7169</Characters>
  <Application>Microsoft Office Word</Application>
  <DocSecurity>0</DocSecurity>
  <Lines>59</Lines>
  <Paragraphs>16</Paragraphs>
  <ScaleCrop>false</ScaleCrop>
  <Company/>
  <LinksUpToDate>false</LinksUpToDate>
  <CharactersWithSpaces>8410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7</cp:revision>
  <dcterms:created xsi:type="dcterms:W3CDTF">2014-10-29T12:08:00Z</dcterms:created>
  <dcterms:modified xsi:type="dcterms:W3CDTF">2024-11-11T04:43:00Z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