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奇台县第六幼儿园2023年度</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部门决算公开说明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shd w:val="clear" w:color="auto" w:fill="FFFFFF"/>
        <w:autoSpaceDE w:val="0"/>
        <w:autoSpaceDN w:val="0"/>
        <w:adjustRightInd w:val="0"/>
        <w:spacing w:line="360" w:lineRule="auto"/>
        <w:ind w:firstLine="640"/>
        <w:rPr>
          <w:rFonts w:ascii="仿宋_GB2312" w:eastAsia="仿宋_GB2312" w:cs="仿宋_GB2312"/>
          <w:kern w:val="0"/>
          <w:sz w:val="32"/>
          <w:szCs w:val="32"/>
        </w:rPr>
      </w:pPr>
      <w:bookmarkStart w:id="4" w:name="_Toc31238"/>
      <w:bookmarkStart w:id="5" w:name="_Toc2151"/>
      <w:r>
        <w:rPr>
          <w:rFonts w:hint="eastAsia" w:ascii="仿宋_GB2312" w:eastAsia="仿宋_GB2312" w:cs="仿宋_GB2312"/>
          <w:kern w:val="0"/>
          <w:sz w:val="32"/>
          <w:szCs w:val="32"/>
        </w:rPr>
        <w:t>实施幼儿教育，促进幼儿的德智体美全面发展，在幼儿一日活动中确保幼儿的安全，使幼儿积极主动的投入到学习和生活中，加强教师自身技能和专业知识的积累，促进教师自我全面发展，做好家园联系工作，促进学前教育事业发展。</w:t>
      </w:r>
    </w:p>
    <w:p>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奇台县第六幼儿园2023年度，实有人数</w:t>
      </w:r>
      <w:r>
        <w:rPr>
          <w:rFonts w:hint="eastAsia" w:ascii="仿宋_GB2312" w:eastAsia="仿宋_GB2312"/>
          <w:sz w:val="32"/>
          <w:szCs w:val="32"/>
          <w:lang w:val="zh-CN"/>
        </w:rPr>
        <w:t>12</w:t>
      </w:r>
      <w:r>
        <w:rPr>
          <w:rFonts w:hint="eastAsia" w:ascii="仿宋_GB2312" w:eastAsia="仿宋_GB2312"/>
          <w:sz w:val="32"/>
          <w:szCs w:val="32"/>
        </w:rPr>
        <w:t>人，其中：在职人员</w:t>
      </w:r>
      <w:r>
        <w:rPr>
          <w:rFonts w:hint="eastAsia" w:ascii="仿宋_GB2312" w:eastAsia="仿宋_GB2312"/>
          <w:sz w:val="32"/>
          <w:szCs w:val="32"/>
          <w:lang w:val="zh-CN"/>
        </w:rPr>
        <w:t>12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w:t>
      </w:r>
      <w:r>
        <w:rPr>
          <w:rFonts w:hint="eastAsia" w:ascii="仿宋_GB2312" w:eastAsia="仿宋_GB2312" w:cs="仿宋_GB2312"/>
          <w:kern w:val="0"/>
          <w:sz w:val="32"/>
          <w:szCs w:val="32"/>
        </w:rPr>
        <w:t>教务处、德育处、总务处、保健室办公室</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2023年度收入总计209.02万元，其中：本年收入合计209.02万元，使用非财政拨款结余0.00万元，年初结转和结余0.00万元。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2023年度支出总计209.02万元，其中：本年支出合计209.00万元，结余分配0.00万元，年末结转和结余0.01万元。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减少62.45万元</w:t>
      </w:r>
      <w:r>
        <w:rPr>
          <w:rFonts w:hint="eastAsia" w:ascii="仿宋_GB2312" w:eastAsia="仿宋_GB2312"/>
          <w:sz w:val="32"/>
          <w:szCs w:val="32"/>
        </w:rPr>
        <w:t>，下降23.00%，主要原因是：本年我单位物业管理费、校园维修（护）费等减少。</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本年收入209.02万元，其中：财政拨款收入</w:t>
      </w:r>
      <w:r>
        <w:rPr>
          <w:rFonts w:hint="eastAsia" w:ascii="仿宋_GB2312" w:eastAsia="仿宋_GB2312"/>
          <w:sz w:val="32"/>
          <w:szCs w:val="32"/>
          <w:lang w:val="zh-CN"/>
        </w:rPr>
        <w:t>209.00</w:t>
      </w:r>
      <w:r>
        <w:rPr>
          <w:rFonts w:hint="eastAsia" w:ascii="仿宋_GB2312" w:eastAsia="仿宋_GB2312"/>
          <w:sz w:val="32"/>
          <w:szCs w:val="32"/>
        </w:rPr>
        <w:t>万元，占</w:t>
      </w:r>
      <w:r>
        <w:rPr>
          <w:rFonts w:hint="eastAsia" w:ascii="仿宋_GB2312" w:eastAsia="仿宋_GB2312"/>
          <w:sz w:val="32"/>
          <w:szCs w:val="32"/>
          <w:lang w:val="zh-CN"/>
        </w:rPr>
        <w:t>99.99%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0.01</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本年支出209.00万元，其中：基本支出209.00万元，占100.00%；项目支出0.00万元，占0.00%；上缴上级支出0.00万元，占0.00%；经营支出0.00万元，占0.00%；对附属单位补助支出0.00万元，占0.00%。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209.00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209.00</w:t>
      </w:r>
      <w:r>
        <w:rPr>
          <w:rFonts w:hint="eastAsia" w:ascii="仿宋_GB2312" w:eastAsia="仿宋_GB2312"/>
          <w:sz w:val="32"/>
          <w:szCs w:val="32"/>
        </w:rPr>
        <w:t>万元。财政拨款支出总计</w:t>
      </w:r>
      <w:r>
        <w:rPr>
          <w:rFonts w:hint="eastAsia" w:ascii="仿宋_GB2312" w:eastAsia="仿宋_GB2312"/>
          <w:sz w:val="32"/>
          <w:szCs w:val="32"/>
          <w:lang w:val="zh-CN"/>
        </w:rPr>
        <w:t>209.00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209.00</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减少62.44万元</w:t>
      </w:r>
      <w:r>
        <w:rPr>
          <w:rFonts w:hint="eastAsia" w:ascii="仿宋_GB2312" w:eastAsia="仿宋_GB2312"/>
          <w:sz w:val="32"/>
          <w:szCs w:val="32"/>
        </w:rPr>
        <w:t>，下降23.00%,主要原因是：本年我单位物业管理费、校园维修（护）费等减少。与年初预算相比，年初预算数</w:t>
      </w:r>
      <w:r>
        <w:rPr>
          <w:rFonts w:hint="eastAsia" w:ascii="仿宋_GB2312" w:eastAsia="仿宋_GB2312"/>
          <w:sz w:val="32"/>
          <w:szCs w:val="32"/>
          <w:lang w:val="zh-CN"/>
        </w:rPr>
        <w:t>144.84</w:t>
      </w:r>
      <w:r>
        <w:rPr>
          <w:rFonts w:hint="eastAsia" w:ascii="仿宋_GB2312" w:eastAsia="仿宋_GB2312"/>
          <w:sz w:val="32"/>
          <w:szCs w:val="32"/>
        </w:rPr>
        <w:t>万元，决算数</w:t>
      </w:r>
      <w:r>
        <w:rPr>
          <w:rFonts w:hint="eastAsia" w:ascii="仿宋_GB2312" w:eastAsia="仿宋_GB2312"/>
          <w:sz w:val="32"/>
          <w:szCs w:val="32"/>
          <w:lang w:val="zh-CN"/>
        </w:rPr>
        <w:t>209.00</w:t>
      </w:r>
      <w:r>
        <w:rPr>
          <w:rFonts w:hint="eastAsia" w:ascii="仿宋_GB2312" w:eastAsia="仿宋_GB2312"/>
          <w:sz w:val="32"/>
          <w:szCs w:val="32"/>
        </w:rPr>
        <w:t>万元，预决算差异率44.30%，主要原因是：年中追加办公费、培训费、劳务费等公用经费。</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2023年度一般公共预算财政拨款支出209.00万元，占本年支出合计的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减少62.44万元</w:t>
      </w:r>
      <w:r>
        <w:rPr>
          <w:rFonts w:hint="eastAsia" w:ascii="仿宋_GB2312" w:eastAsia="仿宋_GB2312"/>
          <w:sz w:val="32"/>
          <w:szCs w:val="32"/>
        </w:rPr>
        <w:t>，下降23.00%,主要原因是：本年我单位物业管理费、校园维修（护）费等减少。与年初预算相比，年初预算数</w:t>
      </w:r>
      <w:r>
        <w:rPr>
          <w:rFonts w:hint="eastAsia" w:ascii="仿宋_GB2312" w:eastAsia="仿宋_GB2312"/>
          <w:sz w:val="32"/>
          <w:szCs w:val="32"/>
          <w:lang w:val="zh-CN"/>
        </w:rPr>
        <w:t>144.84</w:t>
      </w:r>
      <w:r>
        <w:rPr>
          <w:rFonts w:hint="eastAsia" w:ascii="仿宋_GB2312" w:eastAsia="仿宋_GB2312"/>
          <w:sz w:val="32"/>
          <w:szCs w:val="32"/>
        </w:rPr>
        <w:t>万元，决算数</w:t>
      </w:r>
      <w:r>
        <w:rPr>
          <w:rFonts w:hint="eastAsia" w:ascii="仿宋_GB2312" w:eastAsia="仿宋_GB2312"/>
          <w:sz w:val="32"/>
          <w:szCs w:val="32"/>
          <w:lang w:val="zh-CN"/>
        </w:rPr>
        <w:t>209.00</w:t>
      </w:r>
      <w:r>
        <w:rPr>
          <w:rFonts w:hint="eastAsia" w:ascii="仿宋_GB2312" w:eastAsia="仿宋_GB2312"/>
          <w:sz w:val="32"/>
          <w:szCs w:val="32"/>
        </w:rPr>
        <w:t>万元，预决算差异率</w:t>
      </w:r>
      <w:r>
        <w:rPr>
          <w:rFonts w:hint="eastAsia" w:ascii="仿宋_GB2312" w:eastAsia="仿宋_GB2312"/>
          <w:sz w:val="32"/>
          <w:szCs w:val="32"/>
          <w:lang w:val="zh-CN"/>
        </w:rPr>
        <w:t>44.30%</w:t>
      </w:r>
      <w:r>
        <w:rPr>
          <w:rFonts w:hint="eastAsia" w:ascii="仿宋_GB2312" w:eastAsia="仿宋_GB2312"/>
          <w:sz w:val="32"/>
          <w:szCs w:val="32"/>
        </w:rPr>
        <w:t>，主要原因是：年中追加办公费、培训费、劳务费等公用经费。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209.00</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1.教育支出（类）普通教育（款）学前教育（项）:支出决算数为209.00万元，比上年决算减少19.76万元，下降8.64%，主要原因是：</w:t>
      </w:r>
      <w:r>
        <w:rPr>
          <w:rFonts w:hint="eastAsia" w:ascii="仿宋_GB2312" w:eastAsia="仿宋_GB2312"/>
          <w:sz w:val="32"/>
          <w:szCs w:val="32"/>
        </w:rPr>
        <w:t>本年我单位物业管理费、校园维修（护）费等减少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2.教育支出（类）教育费附加安排的支出（款）其他教育费附加安排的支出（项）:支出决算数为0.00万元，比上年决算减少2.82万元，下降100%，主要原因是：</w:t>
      </w:r>
      <w:r>
        <w:rPr>
          <w:rFonts w:hint="eastAsia" w:ascii="仿宋_GB2312" w:hAnsi="仿宋_GB2312" w:eastAsia="仿宋_GB2312" w:cs="仿宋_GB2312"/>
          <w:sz w:val="32"/>
          <w:szCs w:val="32"/>
          <w:lang w:val="zh-CN"/>
        </w:rPr>
        <w:t>本年我单位取暖费减少。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3.教育支出（类）普通教育（款）其他普通教育支出（项）:支出决算数为0.00万元，比上年决算减少39.87万元，下降100%，主要原因是：</w:t>
      </w:r>
      <w:r>
        <w:rPr>
          <w:rFonts w:hint="eastAsia" w:ascii="仿宋_GB2312" w:hAnsi="仿宋_GB2312" w:eastAsia="仿宋_GB2312" w:cs="仿宋_GB2312"/>
          <w:sz w:val="32"/>
          <w:szCs w:val="32"/>
          <w:lang w:val="zh-CN"/>
        </w:rPr>
        <w:t>本年我单位维修费、专用材料费减少。</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209.00万元，其中：人员经费171.26万元，包括：基本工资、津贴补贴、奖金、绩效工资、机关事业单位基本养老保险缴费、职工基本医疗保险缴费、其他社会保障缴费、住房公积金、助学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公用经费37.74万元，包括：办公费、水费、电费、邮电费、取暖费、物业管理费、维修（护）费、培训费、劳务费、办公设备购置。</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本年我单位无此经费</w:t>
      </w:r>
      <w:r>
        <w:rPr>
          <w:rFonts w:hint="eastAsia" w:ascii="仿宋_GB2312" w:eastAsia="仿宋_GB2312"/>
          <w:sz w:val="32"/>
          <w:szCs w:val="32"/>
          <w:lang w:val="zh-CN"/>
        </w:rPr>
        <w:t>。</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奇台县第六幼儿园（事业单位）公用经费支出37.74万元，</w:t>
      </w:r>
      <w:r>
        <w:rPr>
          <w:rFonts w:hint="eastAsia" w:ascii="仿宋_GB2312" w:hAnsi="仿宋_GB2312" w:eastAsia="仿宋_GB2312" w:cs="仿宋_GB2312"/>
          <w:sz w:val="32"/>
          <w:szCs w:val="32"/>
          <w:lang w:val="zh-CN"/>
        </w:rPr>
        <w:t>比上年减少23.54万元，下降38.41%，主要原因是：本年</w:t>
      </w:r>
      <w:r>
        <w:rPr>
          <w:rFonts w:hint="eastAsia" w:ascii="仿宋_GB2312" w:eastAsia="仿宋_GB2312"/>
          <w:sz w:val="32"/>
          <w:szCs w:val="32"/>
        </w:rPr>
        <w:t>办公费、取暖费、物业管理费、维修（护）费等减少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2023年度政府采购支出总额22.42万元，其中：政府采购货物支出16.31万元、政府采购工程支出2.49万元、政府采购服务支出3.63万元。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授予中小企业合同金额22.42万元，占政府采购支出总额的100.00%，其中：授予小微企业合同金额22.37万元，占政府采购支出总额的99.78%</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18.41</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209.02</w:t>
      </w:r>
      <w:r>
        <w:rPr>
          <w:rFonts w:hint="eastAsia" w:ascii="仿宋_GB2312" w:eastAsia="仿宋_GB2312"/>
          <w:sz w:val="32"/>
          <w:szCs w:val="32"/>
        </w:rPr>
        <w:t>万元，实际执行总额</w:t>
      </w:r>
      <w:r>
        <w:rPr>
          <w:rFonts w:ascii="仿宋_GB2312" w:eastAsia="仿宋_GB2312"/>
          <w:sz w:val="32"/>
          <w:szCs w:val="32"/>
        </w:rPr>
        <w:t>209.0</w:t>
      </w:r>
      <w:r>
        <w:rPr>
          <w:rFonts w:hint="eastAsia" w:ascii="仿宋_GB2312" w:eastAsia="仿宋_GB2312"/>
          <w:sz w:val="32"/>
          <w:szCs w:val="32"/>
        </w:rPr>
        <w:t>0万元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ascii="仿宋_GB2312" w:eastAsia="仿宋_GB2312"/>
          <w:sz w:val="32"/>
          <w:szCs w:val="32"/>
        </w:rPr>
        <w:t>4.00</w:t>
      </w:r>
      <w:r>
        <w:rPr>
          <w:rFonts w:hint="eastAsia" w:ascii="仿宋_GB2312" w:eastAsia="仿宋_GB2312"/>
          <w:sz w:val="32"/>
          <w:szCs w:val="32"/>
        </w:rPr>
        <w:t>万元，全年执行数</w:t>
      </w:r>
      <w:r>
        <w:rPr>
          <w:rFonts w:ascii="仿宋_GB2312" w:eastAsia="仿宋_GB2312"/>
          <w:sz w:val="32"/>
          <w:szCs w:val="32"/>
        </w:rPr>
        <w:t>4.00</w:t>
      </w:r>
      <w:r>
        <w:rPr>
          <w:rFonts w:hint="eastAsia" w:ascii="仿宋_GB2312" w:eastAsia="仿宋_GB2312"/>
          <w:sz w:val="32"/>
          <w:szCs w:val="32"/>
        </w:rPr>
        <w:t>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hint="eastAsia" w:ascii="宋体" w:hAnsi="宋体"/>
                <w:sz w:val="18"/>
              </w:rPr>
              <w:t>奇台县第六幼儿园</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99.99%</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9.99</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144.84</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209.02</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209.00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0.98</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145.82</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209.02</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209.00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以《幼儿园教育指导纲要》和《3—6岁幼儿发展指南》为指导，深入贯彻教育法律法规、政策，实行依法办园，完善制度化、规范化管理。紧紧围绕《昌吉州幼儿园规范办园行为等级评估标准》的要点与标准，进一步提高幼儿一日保教活动质量，保障幼儿园日常工作正常开展。加强幼儿园教研制度建设，充分激励教师开展教育科研的积极性，重视对新教师的培养，促进幼儿身心和谐发展，不断构建学习型幼儿园和创造型教师。为幼儿在园期间生活、学习提供保障。</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截止2023年12月底，本单位实际完成开展教研活动次数20次；开展各类幼儿教师培训10次；全部按时保质保量完成。</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开展教研活动次数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&gt;=20次</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奇台县金域名门幼儿园2023年度工作计划</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开展各类幼儿教师培训次数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&gt;=10次</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奇台县金域名门幼儿园2023年度工作计划</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常态化推进</w:t>
            </w:r>
            <w:bookmarkStart w:id="49" w:name="_GoBack"/>
            <w:bookmarkEnd w:id="49"/>
            <w:r>
              <w:rPr>
                <w:rFonts w:ascii="宋体" w:hAnsi="宋体"/>
                <w:sz w:val="18"/>
              </w:rPr>
              <w:t>学习学时</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&gt;=32学时</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奇台县金域名门幼儿园2023年度工作计划</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32学时</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bl>
    <w:p>
      <w:pPr>
        <w:jc w:val="center"/>
        <w:rPr>
          <w:rFonts w:hint="eastAsia" w:ascii="宋体" w:hAnsi="宋体" w:cs="宋体"/>
          <w:b/>
          <w:bCs/>
          <w:kern w:val="0"/>
          <w:sz w:val="28"/>
          <w:szCs w:val="2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昌州财教[2022]82号2023年新疆西藏等地区教育特殊补助资金-园舍维修</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hint="eastAsia" w:ascii="宋体" w:hAnsi="宋体"/>
                <w:sz w:val="18"/>
              </w:rPr>
              <w:t>奇台县第六幼儿园</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hint="eastAsia" w:ascii="宋体" w:hAnsi="宋体"/>
                <w:sz w:val="18"/>
              </w:rPr>
              <w:t>奇台县第六幼儿园</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4.00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4万元，用于园舍维修，保障幼儿园保教工作正常运行。学前国语教育覆盖率100%，学前三年免费教育覆盖率100%，免费读本按期发放率100%，保障适龄幼儿接受学前免费教育持续加强，家长满意度、学生满意度大于等于90%。</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拟投入4万元，用于园舍维修，保障幼儿园保教工作正常运行。学前国语教育覆盖率100%，学前三年免费教育覆盖率100%，免费读本按期发放率100%，保障适龄幼儿接受学前免费教育持续加强，家长满意度、学生满意度大于等于90%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建设（改造 修缮）工程数量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=4个</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竣工验收合格率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项目按计划完工时间</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=2023年10月30日</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=2023年10月30日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项款目预算控制率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提升教育教学质量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正常运转率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教师及幼儿满意度（%）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0"/>
    </w:tbl>
    <w:p>
      <w:pPr>
        <w:ind w:firstLine="640" w:firstLineChars="200"/>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A22A49"/>
    <w:rsid w:val="000B46EC"/>
    <w:rsid w:val="001603FC"/>
    <w:rsid w:val="001A6F6E"/>
    <w:rsid w:val="00213C59"/>
    <w:rsid w:val="003210CE"/>
    <w:rsid w:val="003C645F"/>
    <w:rsid w:val="00454E8A"/>
    <w:rsid w:val="0047305C"/>
    <w:rsid w:val="005C2930"/>
    <w:rsid w:val="0060466E"/>
    <w:rsid w:val="007576EA"/>
    <w:rsid w:val="00792673"/>
    <w:rsid w:val="009137A0"/>
    <w:rsid w:val="00A22A49"/>
    <w:rsid w:val="00AA6A5B"/>
    <w:rsid w:val="00AA6D36"/>
    <w:rsid w:val="00B37FB9"/>
    <w:rsid w:val="00B70D59"/>
    <w:rsid w:val="00B85C84"/>
    <w:rsid w:val="00C362CF"/>
    <w:rsid w:val="00C74B80"/>
    <w:rsid w:val="00CB6E89"/>
    <w:rsid w:val="00CC14A6"/>
    <w:rsid w:val="00D90CED"/>
    <w:rsid w:val="00D91457"/>
    <w:rsid w:val="00DB1792"/>
    <w:rsid w:val="00DB6966"/>
    <w:rsid w:val="00E37822"/>
    <w:rsid w:val="00EB675C"/>
    <w:rsid w:val="00F52A8D"/>
    <w:rsid w:val="00F9528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4633F"/>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E980D78"/>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621C1E"/>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6DB332C"/>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5715</Words>
  <Characters>6491</Characters>
  <Lines>54</Lines>
  <Paragraphs>15</Paragraphs>
  <TotalTime>34</TotalTime>
  <ScaleCrop>false</ScaleCrop>
  <LinksUpToDate>false</LinksUpToDate>
  <CharactersWithSpaces>6502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2025-07-17T04:40:57Z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y fmtid="{D5CDD505-2E9C-101B-9397-08002B2CF9AE}" pid="4" name="KSOTemplateDocerSaveRecord">
    <vt:lpwstr>eyJoZGlkIjoiMTgyY2Y5Y2UxZjkwY2NiYzg1MTM4ZmQzOTFhYWJhY2IiLCJ1c2VySWQiOiIzMDg3MDI3MzAifQ==</vt:lpwstr>
  </property>
</Properties>
</file>