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5A436">
      <w:pPr>
        <w:spacing w:line="540" w:lineRule="exact"/>
        <w:jc w:val="center"/>
        <w:rPr>
          <w:rFonts w:eastAsia="华文中宋"/>
          <w:b/>
          <w:color w:val="000000" w:themeColor="text1"/>
          <w:kern w:val="0"/>
          <w:sz w:val="52"/>
          <w:szCs w:val="52"/>
          <w14:textFill>
            <w14:solidFill>
              <w14:schemeClr w14:val="tx1"/>
            </w14:solidFill>
          </w14:textFill>
        </w:rPr>
      </w:pPr>
      <w:bookmarkStart w:id="9" w:name="_GoBack"/>
      <w:bookmarkEnd w:id="9"/>
    </w:p>
    <w:p w14:paraId="1509AA53">
      <w:pPr>
        <w:spacing w:line="540" w:lineRule="exact"/>
        <w:rPr>
          <w:rFonts w:eastAsia="华文中宋"/>
          <w:b/>
          <w:color w:val="000000" w:themeColor="text1"/>
          <w:kern w:val="0"/>
          <w:sz w:val="52"/>
          <w:szCs w:val="52"/>
          <w14:textFill>
            <w14:solidFill>
              <w14:schemeClr w14:val="tx1"/>
            </w14:solidFill>
          </w14:textFill>
        </w:rPr>
      </w:pPr>
    </w:p>
    <w:p w14:paraId="2ED7EBA0">
      <w:pPr>
        <w:spacing w:line="540" w:lineRule="exact"/>
        <w:jc w:val="center"/>
        <w:rPr>
          <w:rFonts w:eastAsia="华文中宋"/>
          <w:b/>
          <w:color w:val="000000" w:themeColor="text1"/>
          <w:kern w:val="0"/>
          <w:sz w:val="52"/>
          <w:szCs w:val="52"/>
          <w14:textFill>
            <w14:solidFill>
              <w14:schemeClr w14:val="tx1"/>
            </w14:solidFill>
          </w14:textFill>
        </w:rPr>
      </w:pPr>
    </w:p>
    <w:p w14:paraId="2C7718D1">
      <w:pPr>
        <w:spacing w:line="540" w:lineRule="exact"/>
        <w:jc w:val="center"/>
        <w:rPr>
          <w:rFonts w:eastAsia="华文中宋"/>
          <w:b/>
          <w:color w:val="000000" w:themeColor="text1"/>
          <w:kern w:val="0"/>
          <w:sz w:val="52"/>
          <w:szCs w:val="52"/>
          <w14:textFill>
            <w14:solidFill>
              <w14:schemeClr w14:val="tx1"/>
            </w14:solidFill>
          </w14:textFill>
        </w:rPr>
      </w:pPr>
    </w:p>
    <w:p w14:paraId="6FFFCC89">
      <w:pPr>
        <w:spacing w:line="540" w:lineRule="exact"/>
        <w:jc w:val="center"/>
        <w:rPr>
          <w:rFonts w:eastAsia="方正小标宋_GBK"/>
          <w:color w:val="000000" w:themeColor="text1"/>
          <w:kern w:val="0"/>
          <w:sz w:val="48"/>
          <w:szCs w:val="48"/>
          <w14:textFill>
            <w14:solidFill>
              <w14:schemeClr w14:val="tx1"/>
            </w14:solidFill>
          </w14:textFill>
        </w:rPr>
      </w:pPr>
      <w:r>
        <w:rPr>
          <w:rFonts w:eastAsia="方正小标宋_GBK"/>
          <w:color w:val="000000" w:themeColor="text1"/>
          <w:kern w:val="0"/>
          <w:sz w:val="48"/>
          <w:szCs w:val="48"/>
          <w14:textFill>
            <w14:solidFill>
              <w14:schemeClr w14:val="tx1"/>
            </w14:solidFill>
          </w14:textFill>
        </w:rPr>
        <w:t>民族贸易和民族特需商品生产企业贷款贴息资金项目支出绩效评价</w:t>
      </w:r>
    </w:p>
    <w:p w14:paraId="43568FF7">
      <w:pPr>
        <w:spacing w:line="540" w:lineRule="exact"/>
        <w:jc w:val="center"/>
        <w:rPr>
          <w:rFonts w:eastAsia="方正小标宋_GBK"/>
          <w:color w:val="000000" w:themeColor="text1"/>
          <w:kern w:val="0"/>
          <w:sz w:val="48"/>
          <w:szCs w:val="48"/>
          <w14:textFill>
            <w14:solidFill>
              <w14:schemeClr w14:val="tx1"/>
            </w14:solidFill>
          </w14:textFill>
        </w:rPr>
      </w:pPr>
      <w:r>
        <w:rPr>
          <w:rFonts w:eastAsia="方正小标宋_GBK"/>
          <w:color w:val="000000" w:themeColor="text1"/>
          <w:kern w:val="0"/>
          <w:sz w:val="48"/>
          <w:szCs w:val="48"/>
          <w14:textFill>
            <w14:solidFill>
              <w14:schemeClr w14:val="tx1"/>
            </w14:solidFill>
          </w14:textFill>
        </w:rPr>
        <w:t>报告</w:t>
      </w:r>
    </w:p>
    <w:p w14:paraId="6ADDDBA8">
      <w:pPr>
        <w:spacing w:line="540" w:lineRule="exact"/>
        <w:jc w:val="center"/>
        <w:rPr>
          <w:rFonts w:eastAsia="华文中宋"/>
          <w:b/>
          <w:color w:val="000000" w:themeColor="text1"/>
          <w:kern w:val="0"/>
          <w:sz w:val="52"/>
          <w:szCs w:val="52"/>
          <w14:textFill>
            <w14:solidFill>
              <w14:schemeClr w14:val="tx1"/>
            </w14:solidFill>
          </w14:textFill>
        </w:rPr>
      </w:pPr>
    </w:p>
    <w:p w14:paraId="5C40AF92">
      <w:pPr>
        <w:spacing w:line="540" w:lineRule="exact"/>
        <w:jc w:val="center"/>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 202</w:t>
      </w:r>
      <w:r>
        <w:rPr>
          <w:rFonts w:hint="eastAsia" w:eastAsia="仿宋_GB2312"/>
          <w:color w:val="000000" w:themeColor="text1"/>
          <w:kern w:val="0"/>
          <w:sz w:val="36"/>
          <w:szCs w:val="36"/>
          <w14:textFill>
            <w14:solidFill>
              <w14:schemeClr w14:val="tx1"/>
            </w14:solidFill>
          </w14:textFill>
        </w:rPr>
        <w:t>3</w:t>
      </w:r>
      <w:r>
        <w:rPr>
          <w:rFonts w:eastAsia="仿宋_GB2312"/>
          <w:color w:val="000000" w:themeColor="text1"/>
          <w:kern w:val="0"/>
          <w:sz w:val="36"/>
          <w:szCs w:val="36"/>
          <w14:textFill>
            <w14:solidFill>
              <w14:schemeClr w14:val="tx1"/>
            </w14:solidFill>
          </w14:textFill>
        </w:rPr>
        <w:t>年度）</w:t>
      </w:r>
    </w:p>
    <w:p w14:paraId="389C517A">
      <w:pPr>
        <w:spacing w:line="540" w:lineRule="exact"/>
        <w:jc w:val="center"/>
        <w:rPr>
          <w:rFonts w:eastAsia="仿宋_GB2312"/>
          <w:color w:val="000000" w:themeColor="text1"/>
          <w:kern w:val="0"/>
          <w:sz w:val="30"/>
          <w:szCs w:val="30"/>
          <w14:textFill>
            <w14:solidFill>
              <w14:schemeClr w14:val="tx1"/>
            </w14:solidFill>
          </w14:textFill>
        </w:rPr>
      </w:pPr>
    </w:p>
    <w:p w14:paraId="5FEE7C33">
      <w:pPr>
        <w:spacing w:line="540" w:lineRule="exact"/>
        <w:jc w:val="center"/>
        <w:rPr>
          <w:rFonts w:eastAsia="仿宋_GB2312"/>
          <w:color w:val="000000" w:themeColor="text1"/>
          <w:kern w:val="0"/>
          <w:sz w:val="30"/>
          <w:szCs w:val="30"/>
          <w14:textFill>
            <w14:solidFill>
              <w14:schemeClr w14:val="tx1"/>
            </w14:solidFill>
          </w14:textFill>
        </w:rPr>
      </w:pPr>
    </w:p>
    <w:p w14:paraId="5B1FAA49">
      <w:pPr>
        <w:spacing w:line="540" w:lineRule="exact"/>
        <w:jc w:val="center"/>
        <w:rPr>
          <w:rFonts w:eastAsia="仿宋_GB2312"/>
          <w:color w:val="000000" w:themeColor="text1"/>
          <w:kern w:val="0"/>
          <w:sz w:val="30"/>
          <w:szCs w:val="30"/>
          <w14:textFill>
            <w14:solidFill>
              <w14:schemeClr w14:val="tx1"/>
            </w14:solidFill>
          </w14:textFill>
        </w:rPr>
      </w:pPr>
    </w:p>
    <w:p w14:paraId="68D492BA">
      <w:pPr>
        <w:pStyle w:val="2"/>
        <w:rPr>
          <w:color w:val="000000" w:themeColor="text1"/>
          <w14:textFill>
            <w14:solidFill>
              <w14:schemeClr w14:val="tx1"/>
            </w14:solidFill>
          </w14:textFill>
        </w:rPr>
      </w:pPr>
    </w:p>
    <w:p w14:paraId="3E0DCC1A">
      <w:pPr>
        <w:spacing w:line="540" w:lineRule="exact"/>
        <w:jc w:val="center"/>
        <w:rPr>
          <w:rFonts w:eastAsia="仿宋_GB2312"/>
          <w:color w:val="000000" w:themeColor="text1"/>
          <w:kern w:val="0"/>
          <w:sz w:val="30"/>
          <w:szCs w:val="30"/>
          <w14:textFill>
            <w14:solidFill>
              <w14:schemeClr w14:val="tx1"/>
            </w14:solidFill>
          </w14:textFill>
        </w:rPr>
      </w:pPr>
    </w:p>
    <w:p w14:paraId="325BD5D1">
      <w:pPr>
        <w:spacing w:line="540" w:lineRule="exact"/>
        <w:rPr>
          <w:rFonts w:eastAsia="仿宋_GB2312"/>
          <w:color w:val="000000" w:themeColor="text1"/>
          <w:kern w:val="0"/>
          <w:sz w:val="30"/>
          <w:szCs w:val="30"/>
          <w14:textFill>
            <w14:solidFill>
              <w14:schemeClr w14:val="tx1"/>
            </w14:solidFill>
          </w14:textFill>
        </w:rPr>
      </w:pPr>
    </w:p>
    <w:p w14:paraId="08267AA3">
      <w:pPr>
        <w:spacing w:line="360" w:lineRule="auto"/>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项目名称：</w:t>
      </w:r>
      <w:r>
        <w:rPr>
          <w:rFonts w:hint="eastAsia" w:eastAsia="仿宋_GB2312"/>
          <w:color w:val="000000" w:themeColor="text1"/>
          <w:kern w:val="0"/>
          <w:sz w:val="36"/>
          <w:szCs w:val="36"/>
          <w14:textFill>
            <w14:solidFill>
              <w14:schemeClr w14:val="tx1"/>
            </w14:solidFill>
          </w14:textFill>
        </w:rPr>
        <w:t>民族贸易和民族特需商品生产企业贷款贴息</w:t>
      </w:r>
    </w:p>
    <w:p w14:paraId="473B6C2C">
      <w:pPr>
        <w:spacing w:line="360" w:lineRule="auto"/>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实施单位（公章）：</w:t>
      </w:r>
      <w:r>
        <w:rPr>
          <w:rFonts w:hint="eastAsia" w:eastAsia="仿宋_GB2312"/>
          <w:color w:val="000000" w:themeColor="text1"/>
          <w:kern w:val="0"/>
          <w:sz w:val="36"/>
          <w:szCs w:val="36"/>
          <w14:textFill>
            <w14:solidFill>
              <w14:schemeClr w14:val="tx1"/>
            </w14:solidFill>
          </w14:textFill>
        </w:rPr>
        <w:t>中共奇台县委统战部</w:t>
      </w:r>
    </w:p>
    <w:p w14:paraId="4DB1AD39">
      <w:pPr>
        <w:spacing w:line="360" w:lineRule="auto"/>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主管部门（公章）：</w:t>
      </w:r>
      <w:r>
        <w:rPr>
          <w:rFonts w:hint="eastAsia" w:eastAsia="仿宋_GB2312"/>
          <w:color w:val="000000" w:themeColor="text1"/>
          <w:kern w:val="0"/>
          <w:sz w:val="36"/>
          <w:szCs w:val="36"/>
          <w14:textFill>
            <w14:solidFill>
              <w14:schemeClr w14:val="tx1"/>
            </w14:solidFill>
          </w14:textFill>
        </w:rPr>
        <w:t>中共奇台县委统战部</w:t>
      </w:r>
    </w:p>
    <w:p w14:paraId="344F4A5C">
      <w:pPr>
        <w:spacing w:line="360" w:lineRule="auto"/>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项目负责人（签章）：</w:t>
      </w:r>
      <w:r>
        <w:rPr>
          <w:rFonts w:hint="eastAsia" w:eastAsia="仿宋_GB2312"/>
          <w:color w:val="000000" w:themeColor="text1"/>
          <w:kern w:val="0"/>
          <w:sz w:val="36"/>
          <w:szCs w:val="36"/>
          <w14:textFill>
            <w14:solidFill>
              <w14:schemeClr w14:val="tx1"/>
            </w14:solidFill>
          </w14:textFill>
        </w:rPr>
        <w:t>余峰</w:t>
      </w:r>
    </w:p>
    <w:p w14:paraId="60E47F6A">
      <w:pPr>
        <w:spacing w:line="360" w:lineRule="auto"/>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填报时间：</w:t>
      </w:r>
      <w:r>
        <w:rPr>
          <w:rFonts w:hint="eastAsia" w:eastAsia="仿宋_GB2312"/>
          <w:color w:val="000000" w:themeColor="text1"/>
          <w:kern w:val="0"/>
          <w:sz w:val="36"/>
          <w:szCs w:val="36"/>
          <w14:textFill>
            <w14:solidFill>
              <w14:schemeClr w14:val="tx1"/>
            </w14:solidFill>
          </w14:textFill>
        </w:rPr>
        <w:t>2024</w:t>
      </w:r>
      <w:r>
        <w:rPr>
          <w:rFonts w:eastAsia="仿宋_GB2312"/>
          <w:color w:val="000000" w:themeColor="text1"/>
          <w:kern w:val="0"/>
          <w:sz w:val="36"/>
          <w:szCs w:val="36"/>
          <w14:textFill>
            <w14:solidFill>
              <w14:schemeClr w14:val="tx1"/>
            </w14:solidFill>
          </w14:textFill>
        </w:rPr>
        <w:t>年</w:t>
      </w:r>
      <w:r>
        <w:rPr>
          <w:rFonts w:hint="eastAsia" w:eastAsia="仿宋_GB2312"/>
          <w:color w:val="000000" w:themeColor="text1"/>
          <w:kern w:val="0"/>
          <w:sz w:val="36"/>
          <w:szCs w:val="36"/>
          <w14:textFill>
            <w14:solidFill>
              <w14:schemeClr w14:val="tx1"/>
            </w14:solidFill>
          </w14:textFill>
        </w:rPr>
        <w:t>4</w:t>
      </w:r>
      <w:r>
        <w:rPr>
          <w:rFonts w:eastAsia="仿宋_GB2312"/>
          <w:color w:val="000000" w:themeColor="text1"/>
          <w:kern w:val="0"/>
          <w:sz w:val="36"/>
          <w:szCs w:val="36"/>
          <w14:textFill>
            <w14:solidFill>
              <w14:schemeClr w14:val="tx1"/>
            </w14:solidFill>
          </w14:textFill>
        </w:rPr>
        <w:t>月</w:t>
      </w:r>
      <w:r>
        <w:rPr>
          <w:rFonts w:hint="eastAsia" w:eastAsia="仿宋_GB2312"/>
          <w:color w:val="000000" w:themeColor="text1"/>
          <w:kern w:val="0"/>
          <w:sz w:val="36"/>
          <w:szCs w:val="36"/>
          <w14:textFill>
            <w14:solidFill>
              <w14:schemeClr w14:val="tx1"/>
            </w14:solidFill>
          </w14:textFill>
        </w:rPr>
        <w:t>16</w:t>
      </w:r>
      <w:r>
        <w:rPr>
          <w:rFonts w:eastAsia="仿宋_GB2312"/>
          <w:color w:val="000000" w:themeColor="text1"/>
          <w:kern w:val="0"/>
          <w:sz w:val="36"/>
          <w:szCs w:val="36"/>
          <w14:textFill>
            <w14:solidFill>
              <w14:schemeClr w14:val="tx1"/>
            </w14:solidFill>
          </w14:textFill>
        </w:rPr>
        <w:t>日</w:t>
      </w:r>
    </w:p>
    <w:p w14:paraId="38F8F71A">
      <w:pPr>
        <w:spacing w:line="540" w:lineRule="exact"/>
        <w:jc w:val="center"/>
        <w:rPr>
          <w:rFonts w:eastAsia="仿宋_GB2312"/>
          <w:color w:val="000000" w:themeColor="text1"/>
          <w:kern w:val="0"/>
          <w:sz w:val="30"/>
          <w:szCs w:val="30"/>
          <w14:textFill>
            <w14:solidFill>
              <w14:schemeClr w14:val="tx1"/>
            </w14:solidFill>
          </w14:textFill>
        </w:rPr>
      </w:pPr>
    </w:p>
    <w:p w14:paraId="422C6202">
      <w:pPr>
        <w:spacing w:line="540" w:lineRule="exact"/>
        <w:rPr>
          <w:rStyle w:val="16"/>
          <w:rFonts w:eastAsia="黑体"/>
          <w:b w:val="0"/>
          <w:color w:val="000000" w:themeColor="text1"/>
          <w:spacing w:val="-4"/>
          <w:sz w:val="32"/>
          <w:szCs w:val="32"/>
          <w14:textFill>
            <w14:solidFill>
              <w14:schemeClr w14:val="tx1"/>
            </w14:solidFill>
          </w14:textFill>
        </w:rPr>
      </w:pPr>
    </w:p>
    <w:p w14:paraId="3BB8BE18">
      <w:pPr>
        <w:spacing w:line="540" w:lineRule="exact"/>
        <w:ind w:firstLine="640"/>
        <w:rPr>
          <w:rStyle w:val="16"/>
          <w:rFonts w:eastAsia="黑体"/>
          <w:b w:val="0"/>
          <w:color w:val="000000" w:themeColor="text1"/>
          <w:spacing w:val="-4"/>
          <w:sz w:val="32"/>
          <w:szCs w:val="32"/>
          <w14:textFill>
            <w14:solidFill>
              <w14:schemeClr w14:val="tx1"/>
            </w14:solidFill>
          </w14:textFill>
        </w:rPr>
      </w:pPr>
    </w:p>
    <w:p w14:paraId="3961709E">
      <w:pPr>
        <w:spacing w:line="540" w:lineRule="exact"/>
        <w:rPr>
          <w:rStyle w:val="16"/>
          <w:rFonts w:eastAsia="黑体"/>
          <w:b w:val="0"/>
          <w:color w:val="000000" w:themeColor="text1"/>
          <w:spacing w:val="-4"/>
          <w:sz w:val="32"/>
          <w:szCs w:val="32"/>
          <w14:textFill>
            <w14:solidFill>
              <w14:schemeClr w14:val="tx1"/>
            </w14:solidFill>
          </w14:textFill>
        </w:rPr>
      </w:pPr>
    </w:p>
    <w:p w14:paraId="6A2A2554">
      <w:pPr>
        <w:spacing w:line="560" w:lineRule="exact"/>
        <w:ind w:firstLine="640" w:firstLineChars="200"/>
        <w:rPr>
          <w:rFonts w:eastAsia="黑体"/>
          <w:bCs/>
          <w:color w:val="000000" w:themeColor="text1"/>
          <w:sz w:val="32"/>
          <w:szCs w:val="32"/>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p w14:paraId="6DE6EFBD">
      <w:pPr>
        <w:spacing w:line="560" w:lineRule="exact"/>
        <w:ind w:firstLine="640" w:firstLineChars="200"/>
        <w:rPr>
          <w:rFonts w:eastAsia="黑体"/>
          <w:bCs/>
          <w:color w:val="000000" w:themeColor="text1"/>
          <w:sz w:val="32"/>
          <w:szCs w:val="32"/>
          <w14:textFill>
            <w14:solidFill>
              <w14:schemeClr w14:val="tx1"/>
            </w14:solidFill>
          </w14:textFill>
        </w:rPr>
      </w:pPr>
      <w:r>
        <w:rPr>
          <w:rFonts w:eastAsia="黑体"/>
          <w:bCs/>
          <w:color w:val="000000" w:themeColor="text1"/>
          <w:sz w:val="32"/>
          <w:szCs w:val="32"/>
          <w14:textFill>
            <w14:solidFill>
              <w14:schemeClr w14:val="tx1"/>
            </w14:solidFill>
          </w14:textFill>
        </w:rPr>
        <w:t>一、基本情况</w:t>
      </w:r>
    </w:p>
    <w:p w14:paraId="4F8818E6">
      <w:p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（一）项目概况</w:t>
      </w:r>
    </w:p>
    <w:p w14:paraId="3330177B">
      <w:pPr>
        <w:spacing w:line="560" w:lineRule="exact"/>
        <w:ind w:firstLine="643" w:firstLineChars="200"/>
        <w:rPr>
          <w:rFonts w:eastAsia="仿宋_GB2312"/>
          <w:b/>
          <w:bCs/>
          <w:color w:val="000000" w:themeColor="text1"/>
          <w:sz w:val="32"/>
          <w:szCs w:val="32"/>
          <w14:textFill>
            <w14:solidFill>
              <w14:schemeClr w14:val="tx1"/>
            </w14:solidFill>
          </w14:textFill>
        </w:rPr>
      </w:pPr>
      <w:r>
        <w:rPr>
          <w:rFonts w:eastAsia="仿宋_GB2312"/>
          <w:b/>
          <w:bCs/>
          <w:color w:val="000000" w:themeColor="text1"/>
          <w:sz w:val="32"/>
          <w:szCs w:val="32"/>
          <w14:textFill>
            <w14:solidFill>
              <w14:schemeClr w14:val="tx1"/>
            </w14:solidFill>
          </w14:textFill>
        </w:rPr>
        <w:t>1、项目背景</w:t>
      </w:r>
    </w:p>
    <w:p w14:paraId="5701A10D">
      <w:pPr>
        <w:spacing w:line="56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民贸民品企业贷款贴息是指给国家为满足少数民族群众生产生活需要，促进民族地区贸易发展，保障民族特需商品供应，对民族贸易企业和民族特需商品定点生产企业用于开展民族贸易和民族特需商品生产的流动资金贷款给予的贴息补助。 本项目的实施将有效促进奇台县内民族贸易和民族特需商品发展。 根据昌州财金[2022]22号《关于下达2022年中央财政民族贸易和民族特需商品生产贷款贴息资金预算的通知》文件下达预算资金，设立本项目。</w:t>
      </w:r>
    </w:p>
    <w:p w14:paraId="748C419E">
      <w:pPr>
        <w:pStyle w:val="2"/>
        <w:numPr>
          <w:ilvl w:val="0"/>
          <w:numId w:val="1"/>
        </w:numPr>
        <w:spacing w:before="0" w:after="0" w:line="560" w:lineRule="exact"/>
        <w:ind w:firstLine="643" w:firstLineChars="200"/>
        <w:jc w:val="both"/>
        <w:rPr>
          <w:rFonts w:ascii="Times New Roman" w:hAnsi="Times New Roman" w:eastAsia="仿宋_GB2312"/>
          <w:color w:val="000000" w:themeColor="text1"/>
          <w:kern w:val="2"/>
          <w14:textFill>
            <w14:solidFill>
              <w14:schemeClr w14:val="tx1"/>
            </w14:solidFill>
          </w14:textFill>
        </w:rPr>
      </w:pPr>
      <w:r>
        <w:rPr>
          <w:rFonts w:ascii="Times New Roman" w:hAnsi="Times New Roman" w:eastAsia="仿宋_GB2312"/>
          <w:color w:val="000000" w:themeColor="text1"/>
          <w:kern w:val="2"/>
          <w14:textFill>
            <w14:solidFill>
              <w14:schemeClr w14:val="tx1"/>
            </w14:solidFill>
          </w14:textFill>
        </w:rPr>
        <w:t>项目主要内容：</w:t>
      </w:r>
    </w:p>
    <w:p w14:paraId="43BE38B1">
      <w:pPr>
        <w:spacing w:line="56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项目主要内容：为继续做好民族贸易和民族特需商品生产支持工作，满足少数民族群众生产生活需要，促进民族地区贸易发展，保障民族特需商品供应，对民族贸易企业和民族特需商品定点生产企业用于开展民族贸易和民族特需商品生产的流动资金贷款给予的贴息补助。加快推进少数民族地区经济社会发展，巩固和发展平等、团结、互助和谐的社会主义民族关系。</w:t>
      </w:r>
    </w:p>
    <w:p w14:paraId="7391C686">
      <w:pPr>
        <w:spacing w:line="56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项目实施情况：本项目由奇台县委统战部负责实施，单位主要职责为民族宗教工作和统一战线服务工作。本项目的实施与奇台县委统战部的职能密切相关，具备本项目的主体资格。奇台县委统战部具备实施本项目所需的物资与设备，确保项目实施不受资金供应影响，保障项目按预定时间完成。本项目本年预算280万元，资金来源为申请一般转移支付。项目资金均能及时到位。</w:t>
      </w:r>
    </w:p>
    <w:p w14:paraId="3A79F5EC">
      <w:pPr>
        <w:spacing w:line="560" w:lineRule="exact"/>
        <w:ind w:firstLine="643" w:firstLineChars="200"/>
        <w:rPr>
          <w:rFonts w:eastAsia="仿宋_GB2312"/>
          <w:b/>
          <w:bCs/>
          <w:color w:val="000000" w:themeColor="text1"/>
          <w:sz w:val="32"/>
          <w:szCs w:val="32"/>
          <w14:textFill>
            <w14:solidFill>
              <w14:schemeClr w14:val="tx1"/>
            </w14:solidFill>
          </w14:textFill>
        </w:rPr>
      </w:pPr>
      <w:r>
        <w:rPr>
          <w:rFonts w:eastAsia="仿宋_GB2312"/>
          <w:b/>
          <w:bCs/>
          <w:color w:val="000000" w:themeColor="text1"/>
          <w:sz w:val="32"/>
          <w:szCs w:val="32"/>
          <w14:textFill>
            <w14:solidFill>
              <w14:schemeClr w14:val="tx1"/>
            </w14:solidFill>
          </w14:textFill>
        </w:rPr>
        <w:t>3、资金投入和使用情况</w:t>
      </w:r>
    </w:p>
    <w:p w14:paraId="73DC204B">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（1）资金投入情况</w:t>
      </w:r>
    </w:p>
    <w:p w14:paraId="5ECFDAF9">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该项目年初预算数280万元，全年预算数280万元，实际总投入280万元，该项目资金已全部落实到位，资金来源为财政拨款。</w:t>
      </w:r>
    </w:p>
    <w:p w14:paraId="67107ADD">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（2）资金使用情况</w:t>
      </w:r>
    </w:p>
    <w:p w14:paraId="7E466C83">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该项目年初预算数280万元，全年预算数280万元,，全年执行数280万元，预算执行率为100%，主要用于：民族贸易和民族特需商品生产企业的贷款贴息补助方面。</w:t>
      </w:r>
    </w:p>
    <w:p w14:paraId="6EBDE3EF">
      <w:p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（二）项目绩效目标</w:t>
      </w:r>
    </w:p>
    <w:p w14:paraId="05DE3BE4">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1、总体目标</w:t>
      </w:r>
    </w:p>
    <w:p w14:paraId="39AC5B3E">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项目投入280万元用于民贸民品企业贷款贴息，主要实施内容为：于2023年12月31日前完成；涉及13家民贸民品企业，资金拨付率达到100%，贴息支持覆盖率100%，预算项目资金执行率100%，带动当地就业人数30人；通过本项目的实施促进民族地区贸易发展，保障民族特需商品供应，对民族贸易企业和民族特需商品定点生产企业用于开展民族贸易和民族特需商品生产的流动资金贷款给予的贴息补助。加快推进少数民族地区经济社会发展，巩固和发展平等、团结、互助和谐的社会主义民族关系。</w:t>
      </w:r>
    </w:p>
    <w:p w14:paraId="243522F5">
      <w:pPr>
        <w:numPr>
          <w:ilvl w:val="0"/>
          <w:numId w:val="1"/>
        </w:num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阶段性目标</w:t>
      </w:r>
    </w:p>
    <w:p w14:paraId="258AC4C8">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完成奇台县民贸民品企业13家贷款贴息工作，通过民贸民品企业贷款贴息项目实施，促进了民族地区贸易发展，保障民族特需商品供应，对民族贸易企业和民族特需商品定点生产企业用于开展民族贸易和民族特需商品生产的流动资金贷款给予的贴息补助。加快推进少数民族地区经济社会发展，巩固和发展平等、团结、互助和谐的社会主义民族关系。</w:t>
      </w:r>
    </w:p>
    <w:p w14:paraId="57ABF3D6">
      <w:pPr>
        <w:spacing w:line="360" w:lineRule="auto"/>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二、绩效评价工作开展情况</w:t>
      </w:r>
    </w:p>
    <w:p w14:paraId="7AB64802">
      <w:p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（一）绩效评价目的、对象和范围</w:t>
      </w:r>
    </w:p>
    <w:p w14:paraId="3DF56AD0">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1、绩效评价的目的</w:t>
      </w:r>
    </w:p>
    <w:p w14:paraId="0B0F9198">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F513A80">
      <w:pPr>
        <w:numPr>
          <w:ilvl w:val="0"/>
          <w:numId w:val="2"/>
        </w:num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项目在实施前向项目负责人提供财政支出绩效方面的资金管理信息，促进项目支出严格按照资金管理规定进行。</w:t>
      </w:r>
    </w:p>
    <w:p w14:paraId="1A3E28E1">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（2）项目绩效管理财政支出运行提供及时、有效的信息。</w:t>
      </w:r>
    </w:p>
    <w:p w14:paraId="5DB2F443">
      <w:pPr>
        <w:pStyle w:val="19"/>
        <w:spacing w:line="560" w:lineRule="exact"/>
        <w:ind w:firstLine="640" w:firstLineChars="200"/>
        <w:rPr>
          <w:rFonts w:eastAsia="方正仿宋_GBK" w:cs="方正仿宋_GBK"/>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综合来看，通过开展有效的财政支出绩效评价管理，</w:t>
      </w:r>
      <w:r>
        <w:rPr>
          <w:rFonts w:hint="eastAsia" w:eastAsia="仿宋_GB2312"/>
          <w:color w:val="000000" w:themeColor="text1"/>
          <w:sz w:val="32"/>
          <w:szCs w:val="32"/>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55194D8">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2、绩效评价的对象</w:t>
      </w:r>
    </w:p>
    <w:p w14:paraId="15C7E888">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民族贸易和民族特需商品生产企业贷款贴息项目所包含的全部项目内容。</w:t>
      </w:r>
    </w:p>
    <w:p w14:paraId="31305684">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3、绩效评价的范围</w:t>
      </w:r>
    </w:p>
    <w:p w14:paraId="2673C6C5">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民族贸易和民族特需商品生产企业贷款贴息进行评价，评价核心为专项资金的支出完成情况和效果。</w:t>
      </w:r>
    </w:p>
    <w:p w14:paraId="429D2B9D">
      <w:pPr>
        <w:spacing w:line="560" w:lineRule="exact"/>
        <w:ind w:firstLine="643" w:firstLineChars="200"/>
        <w:rPr>
          <w:color w:val="000000" w:themeColor="text1"/>
          <w14:textFill>
            <w14:solidFill>
              <w14:schemeClr w14:val="tx1"/>
            </w14:solidFill>
          </w14:textFill>
        </w:rPr>
      </w:pPr>
      <w:r>
        <w:rPr>
          <w:rFonts w:eastAsia="楷体_GB2312"/>
          <w:b/>
          <w:bCs/>
          <w:color w:val="000000" w:themeColor="text1"/>
          <w:sz w:val="32"/>
          <w:szCs w:val="32"/>
          <w14:textFill>
            <w14:solidFill>
              <w14:schemeClr w14:val="tx1"/>
            </w14:solidFill>
          </w14:textFill>
        </w:rPr>
        <w:t>（二）绩效评价原则、评价指标体系（详情见表1）、评价方法、评价标准。</w:t>
      </w:r>
    </w:p>
    <w:p w14:paraId="229EFAC8">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1、绩效评价原则</w:t>
      </w:r>
    </w:p>
    <w:p w14:paraId="48078ED7">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本次项目绩效评价遵循以下基本原则：</w:t>
      </w:r>
    </w:p>
    <w:p w14:paraId="64FFB32F">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（1）科学公正。绩效评价应当运用科学合理的方法，按照规范的程序，对项目绩效进行客观、公正</w:t>
      </w:r>
      <w:r>
        <w:rPr>
          <w:rFonts w:hint="eastAsia" w:ascii="Times New Roman" w:hAnsi="Times New Roman" w:eastAsia="仿宋_GB2312"/>
          <w:b w:val="0"/>
          <w:bCs w:val="0"/>
          <w:color w:val="000000" w:themeColor="text1"/>
          <w14:textFill>
            <w14:solidFill>
              <w14:schemeClr w14:val="tx1"/>
            </w14:solidFill>
          </w14:textFill>
        </w:rPr>
        <w:t>地</w:t>
      </w:r>
      <w:r>
        <w:rPr>
          <w:rFonts w:ascii="Times New Roman" w:hAnsi="Times New Roman" w:eastAsia="仿宋_GB2312"/>
          <w:b w:val="0"/>
          <w:bCs w:val="0"/>
          <w:color w:val="000000" w:themeColor="text1"/>
          <w14:textFill>
            <w14:solidFill>
              <w14:schemeClr w14:val="tx1"/>
            </w14:solidFill>
          </w14:textFill>
        </w:rPr>
        <w:t>反映。</w:t>
      </w:r>
    </w:p>
    <w:p w14:paraId="4089ED30">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14:paraId="065D1F7C">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（3）激励约束。绩效评价结果应与预算安排、政策调整、改进管理实质性挂钩，体现奖优罚劣和激励相容导向，有效要安排、低效要压减、无效要问责。</w:t>
      </w:r>
    </w:p>
    <w:p w14:paraId="3D8D91BE">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（4）公开透明。绩效评价结果应依法依规公开，并自觉接受社会监督。</w:t>
      </w:r>
    </w:p>
    <w:p w14:paraId="7B1CFA9D">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2、评价指标体系</w:t>
      </w:r>
    </w:p>
    <w:p w14:paraId="21C75C03">
      <w:pPr>
        <w:spacing w:line="560" w:lineRule="exact"/>
        <w:ind w:firstLine="708" w:firstLineChars="200"/>
        <w:rPr>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绩效评价框架是开展绩效评价的核心。绩效评价框架包括评价准则、关键评价问题、评价指标、数据来源、数据收集方法等。指标体系建立过程如下：</w:t>
      </w:r>
    </w:p>
    <w:p w14:paraId="7821A60B">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（1）确定评价指标</w:t>
      </w:r>
    </w:p>
    <w:p w14:paraId="3DEBF4B9">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14:paraId="20183972">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（2）确定权重</w:t>
      </w:r>
    </w:p>
    <w:p w14:paraId="5C6094E4">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14:paraId="003CDDCD">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（3）确定指标标准值</w:t>
      </w:r>
    </w:p>
    <w:p w14:paraId="3A15B553">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14:paraId="6DD9FF4D">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14:textFill>
            <w14:solidFill>
              <w14:schemeClr w14:val="tx1"/>
            </w14:solidFill>
          </w14:textFill>
        </w:rPr>
      </w:pPr>
      <w:r>
        <w:rPr>
          <w:rFonts w:ascii="Times New Roman" w:hAnsi="Times New Roman" w:eastAsia="仿宋_GB2312"/>
          <w:b w:val="0"/>
          <w:bCs w:val="0"/>
          <w:color w:val="000000" w:themeColor="text1"/>
          <w:spacing w:val="17"/>
          <w:kern w:val="2"/>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F242681">
      <w:pPr>
        <w:pStyle w:val="2"/>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14:textFill>
            <w14:solidFill>
              <w14:schemeClr w14:val="tx1"/>
            </w14:solidFill>
          </w14:textFill>
        </w:rPr>
      </w:pPr>
      <w:r>
        <w:rPr>
          <w:rFonts w:ascii="Times New Roman" w:hAnsi="Times New Roman" w:eastAsia="仿宋_GB2312"/>
          <w:b w:val="0"/>
          <w:bCs w:val="0"/>
          <w:color w:val="000000" w:themeColor="text1"/>
          <w:spacing w:val="17"/>
          <w14:textFill>
            <w14:solidFill>
              <w14:schemeClr w14:val="tx1"/>
            </w14:solidFill>
          </w14:textFill>
        </w:rPr>
        <w:t>具体评价指标体系详情见附件1</w:t>
      </w:r>
    </w:p>
    <w:p w14:paraId="08E614AF">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3、绩效评价方法</w:t>
      </w:r>
    </w:p>
    <w:p w14:paraId="7DB42DAD">
      <w:pPr>
        <w:spacing w:line="360" w:lineRule="auto"/>
        <w:ind w:firstLine="708" w:firstLineChars="200"/>
        <w:rPr>
          <w:rFonts w:eastAsia="仿宋_GB2312"/>
          <w:color w:val="000000" w:themeColor="text1"/>
          <w:spacing w:val="17"/>
          <w:sz w:val="32"/>
          <w:szCs w:val="32"/>
          <w14:textFill>
            <w14:solidFill>
              <w14:schemeClr w14:val="tx1"/>
            </w14:solidFill>
          </w14:textFill>
        </w:rPr>
      </w:pPr>
      <w:r>
        <w:rPr>
          <w:rFonts w:hint="eastAsia" w:eastAsia="仿宋_GB2312"/>
          <w:color w:val="000000" w:themeColor="text1"/>
          <w:spacing w:val="17"/>
          <w:sz w:val="32"/>
          <w:szCs w:val="32"/>
          <w14:textFill>
            <w14:solidFill>
              <w14:schemeClr w14:val="tx1"/>
            </w14:solidFill>
          </w14:textFill>
        </w:rPr>
        <w:t>本次绩效评价采用的方法比较法、因素分析法、公众评判法对项目绩效目标预期指标值与实施情况进行比较，以及采取公众问卷及抽样调查等方式进行评判的方法对民族贸易和民族特需商品生产企业贷款贴息项目进行评价。</w:t>
      </w:r>
    </w:p>
    <w:p w14:paraId="04493738">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4、评价标准</w:t>
      </w:r>
    </w:p>
    <w:p w14:paraId="07D80C14">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hint="eastAsia" w:eastAsia="仿宋_GB2312"/>
          <w:color w:val="000000" w:themeColor="text1"/>
          <w:spacing w:val="17"/>
          <w:sz w:val="32"/>
          <w:szCs w:val="32"/>
          <w14:textFill>
            <w14:solidFill>
              <w14:schemeClr w14:val="tx1"/>
            </w14:solidFill>
          </w14:textFill>
        </w:rPr>
        <w:t>绩效评价标准通常包括计划标准、行业标准、历史标准等，用于对绩效指标完成情况进行比较、分析、评价。本次评价主要采用了计划标准。</w:t>
      </w:r>
    </w:p>
    <w:p w14:paraId="06541F9B">
      <w:pPr>
        <w:spacing w:line="560" w:lineRule="exact"/>
        <w:ind w:firstLine="708" w:firstLineChars="200"/>
        <w:rPr>
          <w:rFonts w:eastAsia="仿宋_GB2312"/>
          <w:color w:val="000000" w:themeColor="text1"/>
          <w:spacing w:val="17"/>
          <w:sz w:val="32"/>
          <w:szCs w:val="32"/>
          <w14:textFill>
            <w14:solidFill>
              <w14:schemeClr w14:val="tx1"/>
            </w14:solidFill>
          </w14:textFill>
        </w:rPr>
      </w:pPr>
      <w:bookmarkStart w:id="0" w:name="_Toc31464"/>
      <w:bookmarkStart w:id="1" w:name="_Toc17882"/>
      <w:r>
        <w:rPr>
          <w:rFonts w:hint="eastAsia" w:eastAsia="仿宋_GB2312"/>
          <w:color w:val="000000" w:themeColor="text1"/>
          <w:spacing w:val="17"/>
          <w:sz w:val="32"/>
          <w:szCs w:val="32"/>
          <w14:textFill>
            <w14:solidFill>
              <w14:schemeClr w14:val="tx1"/>
            </w14:solidFill>
          </w14:textFill>
        </w:rPr>
        <w:t>计划标准：指以预先制定的目标、计划、预算、定额等作为评价标准。</w:t>
      </w:r>
      <w:bookmarkEnd w:id="0"/>
      <w:bookmarkEnd w:id="1"/>
    </w:p>
    <w:p w14:paraId="644D2398">
      <w:pPr>
        <w:spacing w:line="560" w:lineRule="exact"/>
        <w:ind w:firstLine="708" w:firstLineChars="200"/>
        <w:rPr>
          <w:rFonts w:eastAsia="仿宋_GB2312"/>
          <w:color w:val="000000" w:themeColor="text1"/>
          <w:spacing w:val="17"/>
          <w:sz w:val="32"/>
          <w:szCs w:val="32"/>
          <w14:textFill>
            <w14:solidFill>
              <w14:schemeClr w14:val="tx1"/>
            </w14:solidFill>
          </w14:textFill>
        </w:rPr>
      </w:pPr>
      <w:bookmarkStart w:id="2" w:name="_Toc2318"/>
      <w:bookmarkStart w:id="3" w:name="_Toc5633"/>
      <w:r>
        <w:rPr>
          <w:rFonts w:hint="eastAsia" w:eastAsia="仿宋_GB2312"/>
          <w:color w:val="000000" w:themeColor="text1"/>
          <w:spacing w:val="17"/>
          <w:sz w:val="32"/>
          <w:szCs w:val="32"/>
          <w14:textFill>
            <w14:solidFill>
              <w14:schemeClr w14:val="tx1"/>
            </w14:solidFill>
          </w14:textFill>
        </w:rPr>
        <w:t>行业标准：指参照国家公布的行业指标数据制定的评价标准。</w:t>
      </w:r>
      <w:bookmarkEnd w:id="2"/>
      <w:bookmarkEnd w:id="3"/>
    </w:p>
    <w:p w14:paraId="7E5B7773">
      <w:pPr>
        <w:spacing w:line="560" w:lineRule="exact"/>
        <w:ind w:firstLine="708" w:firstLineChars="200"/>
        <w:rPr>
          <w:rFonts w:eastAsia="方正仿宋_GBK" w:cs="方正仿宋_GBK"/>
          <w:color w:val="000000" w:themeColor="text1"/>
          <w:sz w:val="32"/>
          <w:szCs w:val="32"/>
          <w14:textFill>
            <w14:solidFill>
              <w14:schemeClr w14:val="tx1"/>
            </w14:solidFill>
          </w14:textFill>
        </w:rPr>
      </w:pPr>
      <w:bookmarkStart w:id="4" w:name="_Toc16028"/>
      <w:bookmarkStart w:id="5" w:name="_Toc430"/>
      <w:r>
        <w:rPr>
          <w:rFonts w:hint="eastAsia" w:eastAsia="仿宋_GB2312"/>
          <w:color w:val="000000" w:themeColor="text1"/>
          <w:spacing w:val="17"/>
          <w:sz w:val="32"/>
          <w:szCs w:val="32"/>
          <w14:textFill>
            <w14:solidFill>
              <w14:schemeClr w14:val="tx1"/>
            </w14:solidFill>
          </w14:textFill>
        </w:rPr>
        <w:t>历史标准：指参照历史数据制定的评价标准，为体现绩效改进的原则，在可实现的条件下应当确定相对较高的评价标准。</w:t>
      </w:r>
      <w:bookmarkEnd w:id="4"/>
      <w:bookmarkEnd w:id="5"/>
    </w:p>
    <w:p w14:paraId="160272F0">
      <w:pPr>
        <w:pStyle w:val="2"/>
        <w:numPr>
          <w:ilvl w:val="0"/>
          <w:numId w:val="3"/>
        </w:numPr>
        <w:spacing w:before="0" w:after="0" w:line="560" w:lineRule="exact"/>
        <w:ind w:firstLine="711" w:firstLineChars="200"/>
        <w:jc w:val="both"/>
        <w:rPr>
          <w:rFonts w:hint="eastAsia" w:ascii="楷体" w:hAnsi="楷体" w:eastAsia="楷体" w:cs="楷体"/>
          <w:color w:val="000000" w:themeColor="text1"/>
          <w:spacing w:val="17"/>
          <w14:textFill>
            <w14:solidFill>
              <w14:schemeClr w14:val="tx1"/>
            </w14:solidFill>
          </w14:textFill>
        </w:rPr>
      </w:pPr>
      <w:r>
        <w:rPr>
          <w:rFonts w:hint="eastAsia" w:ascii="楷体" w:hAnsi="楷体" w:eastAsia="楷体" w:cs="楷体"/>
          <w:color w:val="000000" w:themeColor="text1"/>
          <w:spacing w:val="17"/>
          <w14:textFill>
            <w14:solidFill>
              <w14:schemeClr w14:val="tx1"/>
            </w14:solidFill>
          </w14:textFill>
        </w:rPr>
        <w:t>绩效评价工作过程</w:t>
      </w:r>
    </w:p>
    <w:p w14:paraId="770013E9">
      <w:pPr>
        <w:spacing w:line="560" w:lineRule="exact"/>
        <w:ind w:firstLine="640" w:firstLineChars="200"/>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1.前期准备。首先成立评价工作组，开展前期调研；其次明确项目绩效目标，设计绩效评价指标体系并确定绩效评价方法；接着确定现场和非现场评价范围，设计资料清单；最后制定评价实施方案并进行论证。</w:t>
      </w:r>
    </w:p>
    <w:p w14:paraId="5908D0B9">
      <w:pPr>
        <w:spacing w:line="560" w:lineRule="exact"/>
        <w:ind w:firstLine="640" w:firstLineChars="200"/>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2.组织实施。制定绩效评价工作方案，具体包括项目概况、评价思路、方法手段、组织实施、进度安排等。收集项目立项依据、相关会议纪要、实施方案、财政资金分配方案、支付管理情况等相关评价资料并进行梳理。</w:t>
      </w:r>
    </w:p>
    <w:p w14:paraId="423C2572">
      <w:pPr>
        <w:spacing w:line="560" w:lineRule="exact"/>
        <w:ind w:firstLine="640" w:firstLineChars="200"/>
        <w:rPr>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3.分析评价。根据收集梳理的资料围绕项目立项、资金落实、业务管理、财务管理、项目产出、项目效益等内容，对照已确定的绩效评价指标进行详细全面的分析评价，逐项打分并形成绩效评价最终结果。</w:t>
      </w:r>
    </w:p>
    <w:p w14:paraId="187550E5">
      <w:pPr>
        <w:numPr>
          <w:ilvl w:val="0"/>
          <w:numId w:val="4"/>
        </w:numPr>
        <w:spacing w:line="56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综合评价情况及评价结论（附相关评分表）</w:t>
      </w:r>
    </w:p>
    <w:p w14:paraId="67AD29CB">
      <w:pPr>
        <w:pStyle w:val="2"/>
        <w:spacing w:before="0" w:after="0" w:line="560" w:lineRule="exact"/>
        <w:ind w:firstLine="643" w:firstLineChars="200"/>
        <w:jc w:val="both"/>
        <w:rPr>
          <w:rFonts w:ascii="Times New Roman" w:hAnsi="Times New Roman" w:eastAsia="楷体_GB2312"/>
          <w:color w:val="000000" w:themeColor="text1"/>
          <w14:textFill>
            <w14:solidFill>
              <w14:schemeClr w14:val="tx1"/>
            </w14:solidFill>
          </w14:textFill>
        </w:rPr>
      </w:pPr>
      <w:r>
        <w:rPr>
          <w:rFonts w:hint="eastAsia" w:ascii="Times New Roman" w:hAnsi="Times New Roman" w:eastAsia="楷体_GB2312"/>
          <w:color w:val="000000" w:themeColor="text1"/>
          <w14:textFill>
            <w14:solidFill>
              <w14:schemeClr w14:val="tx1"/>
            </w14:solidFill>
          </w14:textFill>
        </w:rPr>
        <w:t>（一）评价情况</w:t>
      </w:r>
    </w:p>
    <w:p w14:paraId="79295152">
      <w:pPr>
        <w:spacing w:line="600" w:lineRule="exact"/>
        <w:ind w:firstLine="640" w:firstLineChars="200"/>
        <w:outlineLvl w:val="0"/>
        <w:rPr>
          <w:rFonts w:eastAsia="仿宋_GB2312"/>
          <w:color w:val="000000" w:themeColor="text1"/>
          <w:kern w:val="28"/>
          <w:sz w:val="32"/>
          <w:szCs w:val="32"/>
          <w14:textFill>
            <w14:solidFill>
              <w14:schemeClr w14:val="tx1"/>
            </w14:solidFill>
          </w14:textFill>
        </w:rPr>
      </w:pPr>
      <w:r>
        <w:rPr>
          <w:rFonts w:hint="eastAsia" w:eastAsia="仿宋_GB2312"/>
          <w:color w:val="000000" w:themeColor="text1"/>
          <w:kern w:val="28"/>
          <w:sz w:val="32"/>
          <w:szCs w:val="32"/>
          <w14:textFill>
            <w14:solidFill>
              <w14:schemeClr w14:val="tx1"/>
            </w14:solidFill>
          </w14:textFill>
        </w:rPr>
        <w:t>项目总体组织规范，在项目实施过程做到认真履职，监督到位。按照相关制度的要求，项目负责人对项目绩效监控执行情况进行跟踪监督，有效完成了本项目的工作目标，确保资金使用安全和最大效益地发挥，保障项目如期按要求完成。规范了项目档案资料的整理。项目的实施达到项目预期效果。</w:t>
      </w:r>
    </w:p>
    <w:p w14:paraId="4121AB4E">
      <w:pPr>
        <w:pStyle w:val="2"/>
        <w:spacing w:before="0" w:after="0" w:line="560" w:lineRule="exact"/>
        <w:ind w:firstLine="643" w:firstLineChars="200"/>
        <w:jc w:val="both"/>
        <w:rPr>
          <w:rFonts w:ascii="Times New Roman" w:hAnsi="Times New Roman" w:eastAsia="楷体_GB2312"/>
          <w:color w:val="000000" w:themeColor="text1"/>
          <w14:textFill>
            <w14:solidFill>
              <w14:schemeClr w14:val="tx1"/>
            </w14:solidFill>
          </w14:textFill>
        </w:rPr>
      </w:pPr>
      <w:r>
        <w:rPr>
          <w:rFonts w:hint="eastAsia" w:ascii="Times New Roman" w:hAnsi="Times New Roman" w:eastAsia="楷体_GB2312"/>
          <w:color w:val="000000" w:themeColor="text1"/>
          <w14:textFill>
            <w14:solidFill>
              <w14:schemeClr w14:val="tx1"/>
            </w14:solidFill>
          </w14:textFill>
        </w:rPr>
        <w:t>（二）评价结论</w:t>
      </w:r>
    </w:p>
    <w:p w14:paraId="43B59432">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hint="eastAsia" w:ascii="Times New Roman" w:hAnsi="Times New Roman" w:eastAsia="仿宋_GB2312"/>
          <w:b w:val="0"/>
          <w:bCs w:val="0"/>
          <w:color w:val="000000" w:themeColor="text1"/>
          <w14:textFill>
            <w14:solidFill>
              <w14:schemeClr w14:val="tx1"/>
            </w14:solidFill>
          </w14:textFill>
        </w:rPr>
        <w:t>运用绩效评价组制定的评价指标体系以及财政部《项目支出绩效评价管理办法》（财预〔2020〕10号）文件的评分标准，通过数据采集、问卷调查及访谈等方式，对本项目进行客观评价，最终评分结果：总得分为 100分，属于“优（良/中/差）”。其中，项目决策类指标权重为20分，得分为 20分，得分率为 100%。项目过程类指标权重为20分，得分为20分，得分率为100%。项目产出类指标权重为40分，得分为40分，得分率为 100%。项目效益类指标权重为20分，得分为20分，得分率为100%。具体打分情况详见：附件1综合评分表。</w:t>
      </w:r>
    </w:p>
    <w:p w14:paraId="2803193C">
      <w:pPr>
        <w:pStyle w:val="2"/>
        <w:spacing w:before="0" w:after="0"/>
        <w:rPr>
          <w:rFonts w:ascii="Times New Roman" w:hAnsi="Times New Roman" w:eastAsia="仿宋_GB2312"/>
          <w:color w:val="000000" w:themeColor="text1"/>
          <w:sz w:val="30"/>
          <w:szCs w:val="30"/>
          <w14:textFill>
            <w14:solidFill>
              <w14:schemeClr w14:val="tx1"/>
            </w14:solidFill>
          </w14:textFill>
        </w:rPr>
      </w:pPr>
      <w:r>
        <w:rPr>
          <w:rFonts w:ascii="Times New Roman" w:hAnsi="Times New Roman" w:eastAsia="仿宋_GB2312"/>
          <w:color w:val="000000" w:themeColor="text1"/>
          <w:sz w:val="30"/>
          <w:szCs w:val="30"/>
          <w14:textFill>
            <w14:solidFill>
              <w14:schemeClr w14:val="tx1"/>
            </w14:solidFill>
          </w14:textFill>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2E8371D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9EBC8D3">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583F8B5">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2E8F81E">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得分</w:t>
            </w:r>
          </w:p>
        </w:tc>
      </w:tr>
      <w:tr w14:paraId="0D8C028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3B3F265">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14:paraId="2966CEA1">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6811CA55">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r>
      <w:tr w14:paraId="17FA9A4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F4A0B93">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14:paraId="66AADD04">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43EDE1C2">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r>
      <w:tr w14:paraId="446F07A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3FC9419">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14:paraId="0BCA2674">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14:paraId="6531D96D">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40</w:t>
            </w:r>
          </w:p>
        </w:tc>
      </w:tr>
      <w:tr w14:paraId="0CC42B0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285A8CC">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14:paraId="0CA9821D">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14:paraId="5DF14A81">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r>
      <w:tr w14:paraId="5625A82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CB28DAB">
            <w:pPr>
              <w:jc w:val="center"/>
              <w:rPr>
                <w:rFonts w:cs="宋体"/>
                <w:b/>
                <w:bCs/>
                <w:color w:val="000000" w:themeColor="text1"/>
                <w:sz w:val="22"/>
                <w14:textFill>
                  <w14:solidFill>
                    <w14:schemeClr w14:val="tx1"/>
                  </w14:solidFill>
                </w14:textFill>
              </w:rPr>
            </w:pPr>
            <w:r>
              <w:rPr>
                <w:rFonts w:hint="eastAsia" w:cs="宋体"/>
                <w:b/>
                <w:bCs/>
                <w:color w:val="000000" w:themeColor="text1"/>
                <w:sz w:val="22"/>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14:paraId="48F1BDD3">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14:paraId="7D0C2649">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100</w:t>
            </w:r>
          </w:p>
        </w:tc>
      </w:tr>
    </w:tbl>
    <w:p w14:paraId="7DB157F4">
      <w:pPr>
        <w:spacing w:line="56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四、绩效评价指标分析</w:t>
      </w:r>
    </w:p>
    <w:p w14:paraId="17881FC8">
      <w:pPr>
        <w:pStyle w:val="2"/>
        <w:spacing w:before="0" w:after="0" w:line="560" w:lineRule="exact"/>
        <w:ind w:firstLine="643" w:firstLineChars="200"/>
        <w:jc w:val="both"/>
        <w:rPr>
          <w:rFonts w:ascii="Times New Roman" w:hAnsi="Times New Roman" w:eastAsia="楷体_GB2312"/>
          <w:color w:val="000000" w:themeColor="text1"/>
          <w14:textFill>
            <w14:solidFill>
              <w14:schemeClr w14:val="tx1"/>
            </w14:solidFill>
          </w14:textFill>
        </w:rPr>
      </w:pPr>
      <w:r>
        <w:rPr>
          <w:rFonts w:ascii="Times New Roman" w:hAnsi="Times New Roman" w:eastAsia="楷体_GB2312"/>
          <w:color w:val="000000" w:themeColor="text1"/>
          <w14:textFill>
            <w14:solidFill>
              <w14:schemeClr w14:val="tx1"/>
            </w14:solidFill>
          </w14:textFill>
        </w:rPr>
        <w:t>（一）项目决策情况</w:t>
      </w:r>
    </w:p>
    <w:p w14:paraId="5C38041C">
      <w:pPr>
        <w:spacing w:line="600" w:lineRule="exact"/>
        <w:ind w:firstLine="600" w:firstLineChars="200"/>
        <w:outlineLvl w:val="0"/>
        <w:rPr>
          <w:rFonts w:hint="eastAsia" w:ascii="仿宋_GB2312" w:hAnsi="仿宋_GB2312" w:eastAsia="仿宋_GB2312" w:cs="仿宋_GB2312"/>
          <w:color w:val="000000" w:themeColor="text1"/>
          <w:sz w:val="30"/>
          <w:szCs w:val="30"/>
          <w14:textFill>
            <w14:solidFill>
              <w14:schemeClr w14:val="tx1"/>
            </w14:solidFill>
          </w14:textFill>
        </w:rPr>
      </w:pPr>
      <w:r>
        <w:rPr>
          <w:rFonts w:hint="eastAsia" w:ascii="仿宋_GB2312" w:hAnsi="仿宋_GB2312" w:eastAsia="仿宋_GB2312" w:cs="仿宋_GB2312"/>
          <w:color w:val="000000" w:themeColor="text1"/>
          <w:sz w:val="30"/>
          <w:szCs w:val="30"/>
          <w14:textFill>
            <w14:solidFill>
              <w14:schemeClr w14:val="tx1"/>
            </w14:solidFill>
          </w14:textFill>
        </w:rPr>
        <w:t>项目决策类指标包括项目立项、绩效目标和资金投入三方面的内容，由6个三级指标构成，权重分值为20分，实际得分20分，得分率为100%。</w:t>
      </w:r>
    </w:p>
    <w:p w14:paraId="6C0298CF">
      <w:pPr>
        <w:pStyle w:val="19"/>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1.项目立项</w:t>
      </w:r>
    </w:p>
    <w:p w14:paraId="3AAD39F5">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（1）立项依据充分性</w:t>
      </w:r>
    </w:p>
    <w:p w14:paraId="2295301E">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063A6A5">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（2）立项程序规范性</w:t>
      </w:r>
    </w:p>
    <w:p w14:paraId="19FCE72E">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63D7E05">
      <w:pPr>
        <w:pStyle w:val="19"/>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2.绩效目标</w:t>
      </w:r>
    </w:p>
    <w:p w14:paraId="50184308">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（1）绩效目标合理性</w:t>
      </w:r>
    </w:p>
    <w:p w14:paraId="4DD0731B">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14:textFill>
            <w14:solidFill>
              <w14:schemeClr w14:val="tx1"/>
            </w14:solidFill>
          </w14:textFill>
        </w:rPr>
        <w:t>设定绩效目标</w:t>
      </w:r>
      <w:r>
        <w:rPr>
          <w:rFonts w:hint="eastAsia" w:ascii="仿宋_GB2312" w:hAnsi="仿宋_GB2312" w:eastAsia="仿宋_GB2312" w:cs="仿宋_GB2312"/>
          <w:color w:val="000000" w:themeColor="text1"/>
          <w:sz w:val="32"/>
          <w:szCs w:val="32"/>
          <w:lang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14:textFill>
            <w14:solidFill>
              <w14:schemeClr w14:val="tx1"/>
            </w14:solidFill>
          </w14:textFill>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0DCAD8C">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（2）绩效指标明确性</w:t>
      </w:r>
    </w:p>
    <w:p w14:paraId="3CFAAC6D">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14:paraId="77B59FE5">
      <w:pPr>
        <w:pStyle w:val="19"/>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3.资金投入</w:t>
      </w:r>
    </w:p>
    <w:p w14:paraId="0DC40D47">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（1）预算编制科学性</w:t>
      </w:r>
    </w:p>
    <w:p w14:paraId="353E24A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预算编制经过科学论证，提供充分的测算依据佐证资料，预算内容与项目内容相匹配。项目投资额与工作任务相匹配。</w:t>
      </w:r>
    </w:p>
    <w:p w14:paraId="2C10D590">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（2）资金分配合理性</w:t>
      </w:r>
    </w:p>
    <w:p w14:paraId="1CDDC650">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资金分配额度与项目单位实际工作内容相适应，资金分配额度合理，资金分配依据充分。</w:t>
      </w:r>
    </w:p>
    <w:p w14:paraId="030DAC1B">
      <w:pPr>
        <w:pStyle w:val="2"/>
        <w:numPr>
          <w:ilvl w:val="0"/>
          <w:numId w:val="5"/>
        </w:numPr>
        <w:spacing w:before="0" w:after="0" w:line="560" w:lineRule="exact"/>
        <w:ind w:firstLine="643" w:firstLineChars="200"/>
        <w:jc w:val="both"/>
        <w:rPr>
          <w:rFonts w:hint="eastAsia" w:ascii="楷体" w:hAnsi="楷体" w:eastAsia="楷体" w:cs="楷体"/>
          <w:color w:val="000000" w:themeColor="text1"/>
          <w14:textFill>
            <w14:solidFill>
              <w14:schemeClr w14:val="tx1"/>
            </w14:solidFill>
          </w14:textFill>
        </w:rPr>
      </w:pPr>
      <w:r>
        <w:rPr>
          <w:rFonts w:hint="eastAsia" w:ascii="楷体" w:hAnsi="楷体" w:eastAsia="楷体" w:cs="楷体"/>
          <w:color w:val="000000" w:themeColor="text1"/>
          <w14:textFill>
            <w14:solidFill>
              <w14:schemeClr w14:val="tx1"/>
            </w14:solidFill>
          </w14:textFill>
        </w:rPr>
        <w:t>项目过程情况</w:t>
      </w:r>
    </w:p>
    <w:p w14:paraId="3E902E6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项目过程类指标包括资金管理和组织实施两方面的内容，由5个三级指标构成，权重分值为20分，实际得分20分，得分率为100%。</w:t>
      </w:r>
    </w:p>
    <w:p w14:paraId="3C50C770">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14:paraId="01FFF001">
      <w:pPr>
        <w:pStyle w:val="19"/>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1.资金管理</w:t>
      </w:r>
    </w:p>
    <w:p w14:paraId="52A70172">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（1）资金到位率</w:t>
      </w:r>
    </w:p>
    <w:p w14:paraId="6BEF5D43">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本项目总投资280万元，财政资金及时足额到位，到位率100%，预算资金按计划进度执行。</w:t>
      </w:r>
    </w:p>
    <w:p w14:paraId="58D9C4EE">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（2）预算执行率</w:t>
      </w:r>
    </w:p>
    <w:p w14:paraId="3564C663">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预算编制较为详细，项目资金支出总体能够按照预算执行，预算资金支出280万元，预算执行率为100%。</w:t>
      </w:r>
    </w:p>
    <w:p w14:paraId="761B9B54">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（3）资金使用合规性</w:t>
      </w:r>
    </w:p>
    <w:p w14:paraId="1C22DDC7">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0A2E34E">
      <w:pPr>
        <w:pStyle w:val="19"/>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2.组织实施</w:t>
      </w:r>
    </w:p>
    <w:p w14:paraId="03F6C9CF">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（1）管理制度健全性</w:t>
      </w:r>
    </w:p>
    <w:p w14:paraId="2DA8AC98">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3AF21081">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（2）制度执行有效性</w:t>
      </w:r>
    </w:p>
    <w:p w14:paraId="736FF1C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14:paraId="289B3769">
      <w:pPr>
        <w:pStyle w:val="12"/>
        <w:numPr>
          <w:ilvl w:val="0"/>
          <w:numId w:val="5"/>
        </w:numPr>
        <w:spacing w:line="560" w:lineRule="exact"/>
        <w:ind w:firstLine="643"/>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项目产出</w:t>
      </w:r>
      <w:r>
        <w:rPr>
          <w:rFonts w:hint="eastAsia" w:eastAsia="楷体_GB2312"/>
          <w:b/>
          <w:bCs/>
          <w:color w:val="000000" w:themeColor="text1"/>
          <w:sz w:val="32"/>
          <w:szCs w:val="32"/>
          <w14:textFill>
            <w14:solidFill>
              <w14:schemeClr w14:val="tx1"/>
            </w14:solidFill>
          </w14:textFill>
        </w:rPr>
        <w:t>情况</w:t>
      </w:r>
    </w:p>
    <w:p w14:paraId="65A981FF">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项目产出类指标包括产出数量、产出质量、产出时效、产出成本四方面的内容，由6个三级指标构成，权重分为40分，实际得分40分，得分率为100%。具体产出指标完成情况如下：</w:t>
      </w:r>
    </w:p>
    <w:p w14:paraId="32ECFF1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①</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数量指标：</w:t>
      </w:r>
    </w:p>
    <w:p w14:paraId="4902B49A">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指标1：支持民贸民品企业贴息数量，指标值：&lt;=13家，实际完成值：13家，指标完成率100%。</w:t>
      </w:r>
    </w:p>
    <w:p w14:paraId="07D747F9">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②</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质量指标：</w:t>
      </w:r>
    </w:p>
    <w:p w14:paraId="68F0CEA2">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指标1：贴息支持政策覆盖率，指标值：=100%，实际完成值：100%，指标完成率100%。</w:t>
      </w:r>
    </w:p>
    <w:p w14:paraId="7933F903">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指标2：贴息资金管理规范率指标值：=100%，实际完成值：100%，指标完成率100%。</w:t>
      </w:r>
    </w:p>
    <w:p w14:paraId="59E4D1F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③</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时效指标：</w:t>
      </w:r>
    </w:p>
    <w:p w14:paraId="3A57BD88">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指标1：收到上级拨付资金时限，指标值：&lt;=30日，实际完成值：30日，指标完成率100%。</w:t>
      </w:r>
    </w:p>
    <w:p w14:paraId="530EEB3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指标2：上级资金拨付及时率指标值：=100%，实际完成值：100%，指标完成率100%。</w:t>
      </w:r>
    </w:p>
    <w:p w14:paraId="7E626A87">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4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④</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成本指标：</w:t>
      </w:r>
    </w:p>
    <w:p w14:paraId="209DBD2C">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指标1：预算项目资金执行率，指标值：&lt;=100%，实际完成值：100%，指标完成率100%。</w:t>
      </w:r>
    </w:p>
    <w:p w14:paraId="5E6F0BD6">
      <w:pPr>
        <w:pStyle w:val="12"/>
        <w:numPr>
          <w:ilvl w:val="0"/>
          <w:numId w:val="5"/>
        </w:numPr>
        <w:spacing w:line="560" w:lineRule="exact"/>
        <w:ind w:firstLine="643"/>
        <w:rPr>
          <w:rFonts w:eastAsia="楷体_GB2312"/>
          <w:b/>
          <w:bCs/>
          <w:color w:val="000000" w:themeColor="text1"/>
          <w:sz w:val="32"/>
          <w:szCs w:val="32"/>
          <w14:textFill>
            <w14:solidFill>
              <w14:schemeClr w14:val="tx1"/>
            </w14:solidFill>
          </w14:textFill>
        </w:rPr>
      </w:pPr>
      <w:r>
        <w:rPr>
          <w:rFonts w:hint="eastAsia" w:eastAsia="楷体_GB2312"/>
          <w:b/>
          <w:bCs/>
          <w:color w:val="000000" w:themeColor="text1"/>
          <w:sz w:val="32"/>
          <w:szCs w:val="32"/>
          <w14:textFill>
            <w14:solidFill>
              <w14:schemeClr w14:val="tx1"/>
            </w14:solidFill>
          </w14:textFill>
        </w:rPr>
        <w:t>项目效益情况</w:t>
      </w:r>
    </w:p>
    <w:p w14:paraId="6525FC30">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项目效益类指标包括项目实施效益和满意度两方面的内容，由3个三级指标构成，权重分为20分，实际得分20分，得分率为100%。具体效益指标及满意度指标完成情况如下：</w:t>
      </w:r>
    </w:p>
    <w:p w14:paraId="7D48A968">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1.实施效益</w:t>
      </w:r>
    </w:p>
    <w:p w14:paraId="6797F12A">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①经济效益指标：</w:t>
      </w:r>
    </w:p>
    <w:p w14:paraId="4B0BD829">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指标1：促进企业增收，指标值：有效促进，实际完成值：有效促进，指标完成率100%。</w:t>
      </w:r>
    </w:p>
    <w:p w14:paraId="2070790F">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②社会效益指标：</w:t>
      </w:r>
    </w:p>
    <w:p w14:paraId="15E0F7F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指标1：民贸民品企业带动当地就业人数，指标值：&gt;=30人，实际完成值：30人，指标完成率100%。</w:t>
      </w:r>
    </w:p>
    <w:p w14:paraId="72956517">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2.满意度</w:t>
      </w:r>
    </w:p>
    <w:p w14:paraId="6854238E">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满意度指标：申报贴息资金企业满意度，指标值：&gt;=90%，实际完成值：90%，指标完成率100%。</w:t>
      </w:r>
    </w:p>
    <w:p w14:paraId="7EE4F6B1">
      <w:pPr>
        <w:spacing w:line="560" w:lineRule="exact"/>
        <w:ind w:firstLine="640" w:firstLineChars="200"/>
        <w:rPr>
          <w:rFonts w:eastAsia="黑体"/>
          <w:color w:val="000000" w:themeColor="text1"/>
          <w:sz w:val="32"/>
          <w:szCs w:val="32"/>
          <w:lang w:eastAsia="zh-Hans"/>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五、预算执行进度与绩效指标总体完成率偏差</w:t>
      </w:r>
    </w:p>
    <w:p w14:paraId="30D8EB06">
      <w:pPr>
        <w:pStyle w:val="19"/>
        <w:spacing w:line="560" w:lineRule="exact"/>
        <w:ind w:firstLine="640"/>
        <w:rPr>
          <w:rFonts w:eastAsia="仿宋_GB2312"/>
          <w:color w:val="000000" w:themeColor="text1"/>
          <w:kern w:val="2"/>
          <w:sz w:val="32"/>
          <w:szCs w:val="32"/>
          <w14:textFill>
            <w14:solidFill>
              <w14:schemeClr w14:val="tx1"/>
            </w14:solidFill>
          </w14:textFill>
        </w:rPr>
      </w:pPr>
      <w:r>
        <w:rPr>
          <w:rFonts w:hint="eastAsia" w:eastAsia="仿宋_GB2312"/>
          <w:color w:val="000000" w:themeColor="text1"/>
          <w:kern w:val="2"/>
          <w:sz w:val="32"/>
          <w:szCs w:val="32"/>
          <w14:textFill>
            <w14:solidFill>
              <w14:schemeClr w14:val="tx1"/>
            </w14:solidFill>
          </w14:textFill>
        </w:rPr>
        <w:t>民族贸易和民族特需商品生产企业贷款贴息年初预算280万元，全年预算280万元，实际支出280万元，预算执行率为100%，项目绩效指标总体完成率为100%，无偏差。</w:t>
      </w:r>
    </w:p>
    <w:p w14:paraId="0CBD0F70">
      <w:pPr>
        <w:spacing w:line="560" w:lineRule="exact"/>
        <w:ind w:firstLine="640" w:firstLineChars="200"/>
        <w:rPr>
          <w:rStyle w:val="18"/>
          <w:rFonts w:ascii="Times New Roman" w:hAnsi="Times New Roman" w:cs="Times New Roman"/>
          <w:color w:val="000000" w:themeColor="text1"/>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六</w:t>
      </w:r>
      <w:r>
        <w:rPr>
          <w:rFonts w:eastAsia="黑体"/>
          <w:color w:val="000000" w:themeColor="text1"/>
          <w:sz w:val="32"/>
          <w:szCs w:val="32"/>
          <w14:textFill>
            <w14:solidFill>
              <w14:schemeClr w14:val="tx1"/>
            </w14:solidFill>
          </w14:textFill>
        </w:rPr>
        <w:t>、主要经验及做法、存在的问题及原因分析</w:t>
      </w:r>
    </w:p>
    <w:p w14:paraId="4C05EF63">
      <w:pPr>
        <w:spacing w:line="560" w:lineRule="exact"/>
        <w:ind w:firstLine="627" w:firstLineChars="200"/>
        <w:rPr>
          <w:rFonts w:eastAsia="楷体"/>
          <w:b/>
          <w:color w:val="000000" w:themeColor="text1"/>
          <w:spacing w:val="-4"/>
          <w:sz w:val="32"/>
          <w:szCs w:val="32"/>
          <w14:textFill>
            <w14:solidFill>
              <w14:schemeClr w14:val="tx1"/>
            </w14:solidFill>
          </w14:textFill>
        </w:rPr>
      </w:pPr>
      <w:r>
        <w:rPr>
          <w:rFonts w:eastAsia="楷体"/>
          <w:b/>
          <w:color w:val="000000" w:themeColor="text1"/>
          <w:spacing w:val="-4"/>
          <w:sz w:val="32"/>
          <w:szCs w:val="32"/>
          <w14:textFill>
            <w14:solidFill>
              <w14:schemeClr w14:val="tx1"/>
            </w14:solidFill>
          </w14:textFill>
        </w:rPr>
        <w:t>（一）主要经验及做法</w:t>
      </w:r>
    </w:p>
    <w:p w14:paraId="1ABD8F8B">
      <w:pPr>
        <w:ind w:firstLine="640" w:firstLineChars="200"/>
        <w:rPr>
          <w:rFonts w:eastAsia="仿宋_GB2312"/>
          <w:color w:val="000000" w:themeColor="text1"/>
          <w14:textFill>
            <w14:solidFill>
              <w14:schemeClr w14:val="tx1"/>
            </w14:solidFill>
          </w14:textFill>
        </w:rPr>
      </w:pPr>
      <w:r>
        <w:rPr>
          <w:rFonts w:hint="eastAsia" w:eastAsia="仿宋_GB2312"/>
          <w:color w:val="000000" w:themeColor="text1"/>
          <w:sz w:val="32"/>
          <w:szCs w:val="32"/>
          <w14:textFill>
            <w14:solidFill>
              <w14:schemeClr w14:val="tx1"/>
            </w14:solidFill>
          </w14:textFill>
        </w:rPr>
        <w:t>奇台县委统战部单位建立健全了预算管理规章制度，各部门严格按预算编制的原则和要求做好当年预算编制工作，在预算绩效管理工作中，做到合理安排各项资金，重点保障基本支出，按轻重缓急顺序原则，优先安排了奇台县委统战部单位事业发展中关系民生与稳定的项目，切实优化资源配置，提高了资金使用的效率和效果。</w:t>
      </w:r>
    </w:p>
    <w:p w14:paraId="75389485">
      <w:pPr>
        <w:keepNext/>
        <w:keepLines/>
        <w:numPr>
          <w:ilvl w:val="0"/>
          <w:numId w:val="6"/>
        </w:num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存在的问题及原因分析</w:t>
      </w:r>
    </w:p>
    <w:p w14:paraId="16A6A808">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1288FC2C">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2.因轮岗、调动等因素使我单位绩效工作人员流动频繁，造成了工作衔接不到位的情况。</w:t>
      </w:r>
    </w:p>
    <w:p w14:paraId="2C3EDF7B">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3.民品企业不符合银行贷款条件，无法享受优惠贷款利率政策。</w:t>
      </w:r>
    </w:p>
    <w:p w14:paraId="03102DB5">
      <w:pPr>
        <w:spacing w:line="560" w:lineRule="exact"/>
        <w:ind w:firstLine="640" w:firstLineChars="200"/>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七、</w:t>
      </w:r>
      <w:r>
        <w:rPr>
          <w:rFonts w:eastAsia="黑体"/>
          <w:color w:val="000000" w:themeColor="text1"/>
          <w:sz w:val="32"/>
          <w:szCs w:val="32"/>
          <w14:textFill>
            <w14:solidFill>
              <w14:schemeClr w14:val="tx1"/>
            </w14:solidFill>
          </w14:textFill>
        </w:rPr>
        <w:t>有关建议</w:t>
      </w:r>
    </w:p>
    <w:p w14:paraId="1EB618D3">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1.多进行有关绩效管理工作方面的培训。积极组织第三方开展绩效管理工作培训，进一步夯实业务基础，提高我单位绩效人员水平。</w:t>
      </w:r>
    </w:p>
    <w:p w14:paraId="4AE3269A">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2.专门设定对绩效工作人员定职、定岗、定责等相关制度措施，进一步提升我单位绩效管理工作业务水平，扎实做好绩效管理工作。</w:t>
      </w:r>
    </w:p>
    <w:p w14:paraId="074CCB86">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8288489">
      <w:pPr>
        <w:spacing w:line="600" w:lineRule="exact"/>
        <w:ind w:firstLine="640" w:firstLineChars="200"/>
        <w:outlineLvl w:val="0"/>
        <w:rPr>
          <w:color w:val="000000" w:themeColor="text1"/>
          <w:sz w:val="22"/>
          <w:szCs w:val="28"/>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14:textFill>
            <w14:solidFill>
              <w14:schemeClr w14:val="tx1"/>
            </w14:solidFill>
          </w14:textFill>
        </w:rPr>
        <w:t>。</w:t>
      </w:r>
    </w:p>
    <w:p w14:paraId="35713FBB">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4A6B91B">
      <w:pPr>
        <w:spacing w:line="560" w:lineRule="exact"/>
        <w:ind w:firstLine="640" w:firstLineChars="200"/>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八、</w:t>
      </w:r>
      <w:r>
        <w:rPr>
          <w:rFonts w:eastAsia="黑体"/>
          <w:color w:val="000000" w:themeColor="text1"/>
          <w:sz w:val="32"/>
          <w:szCs w:val="32"/>
          <w14:textFill>
            <w14:solidFill>
              <w14:schemeClr w14:val="tx1"/>
            </w14:solidFill>
          </w14:textFill>
        </w:rPr>
        <w:t>其他需要说</w:t>
      </w:r>
      <w:bookmarkStart w:id="6" w:name="page8"/>
      <w:bookmarkEnd w:id="6"/>
      <w:r>
        <w:rPr>
          <w:rFonts w:eastAsia="黑体"/>
          <w:color w:val="000000" w:themeColor="text1"/>
          <w:sz w:val="32"/>
          <w:szCs w:val="32"/>
          <w14:textFill>
            <w14:solidFill>
              <w14:schemeClr w14:val="tx1"/>
            </w14:solidFill>
          </w14:textFill>
        </w:rPr>
        <w:t>明的问题</w:t>
      </w:r>
    </w:p>
    <w:p w14:paraId="1B18284A">
      <w:pPr>
        <w:pStyle w:val="13"/>
        <w:spacing w:after="0" w:line="560" w:lineRule="exact"/>
        <w:ind w:left="0" w:leftChars="0" w:firstLine="64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Hans"/>
          <w14:textFill>
            <w14:solidFill>
              <w14:schemeClr w14:val="tx1"/>
            </w14:solidFill>
          </w14:textFill>
        </w:rPr>
        <w:t>本项目无其他需说明的问题。</w:t>
      </w:r>
    </w:p>
    <w:p w14:paraId="08CE4C71">
      <w:pPr>
        <w:pStyle w:val="13"/>
        <w:spacing w:after="0" w:line="560" w:lineRule="exact"/>
        <w:ind w:left="0" w:leftChars="0" w:firstLine="640"/>
        <w:rPr>
          <w:rFonts w:hint="eastAsia" w:ascii="仿宋_GB2312" w:hAnsi="仿宋_GB2312" w:eastAsia="仿宋_GB2312" w:cs="仿宋_GB2312"/>
          <w:color w:val="000000" w:themeColor="text1"/>
          <w:sz w:val="32"/>
          <w:szCs w:val="32"/>
          <w14:textFill>
            <w14:solidFill>
              <w14:schemeClr w14:val="tx1"/>
            </w14:solidFill>
          </w14:textFill>
        </w:rPr>
      </w:pPr>
    </w:p>
    <w:p w14:paraId="6D574F4F">
      <w:pPr>
        <w:pStyle w:val="13"/>
        <w:spacing w:after="0" w:line="560" w:lineRule="exact"/>
        <w:ind w:left="0" w:leftChars="0" w:firstLine="640"/>
        <w:rPr>
          <w:rFonts w:hint="eastAsia" w:ascii="仿宋_GB2312" w:hAnsi="仿宋_GB2312" w:eastAsia="仿宋_GB2312" w:cs="仿宋_GB2312"/>
          <w:color w:val="000000" w:themeColor="text1"/>
          <w:sz w:val="32"/>
          <w:szCs w:val="32"/>
          <w14:textFill>
            <w14:solidFill>
              <w14:schemeClr w14:val="tx1"/>
            </w14:solidFill>
          </w14:textFill>
        </w:rPr>
      </w:pPr>
    </w:p>
    <w:p w14:paraId="498A75BF">
      <w:pPr>
        <w:pStyle w:val="13"/>
        <w:spacing w:after="0" w:line="560" w:lineRule="exact"/>
        <w:ind w:left="0" w:leftChars="0" w:firstLine="0" w:firstLineChars="0"/>
        <w:rPr>
          <w:rFonts w:hint="eastAsia" w:ascii="仿宋_GB2312" w:hAnsi="仿宋_GB2312" w:eastAsia="仿宋_GB2312" w:cs="仿宋_GB2312"/>
          <w:color w:val="000000" w:themeColor="text1"/>
          <w:sz w:val="32"/>
          <w:szCs w:val="32"/>
          <w14:textFill>
            <w14:solidFill>
              <w14:schemeClr w14:val="tx1"/>
            </w14:solidFill>
          </w14:textFill>
        </w:rPr>
      </w:pPr>
    </w:p>
    <w:p w14:paraId="5FD3F787">
      <w:pPr>
        <w:widowControl/>
        <w:jc w:val="center"/>
        <w:textAlignment w:val="center"/>
        <w:rPr>
          <w:rFonts w:eastAsia="方正小标宋简体"/>
          <w:b/>
          <w:color w:val="000000" w:themeColor="text1"/>
          <w:kern w:val="0"/>
          <w:sz w:val="32"/>
          <w:szCs w:val="32"/>
          <w:lang w:bidi="ar"/>
          <w14:textFill>
            <w14:solidFill>
              <w14:schemeClr w14:val="tx1"/>
            </w14:solidFill>
          </w14:textFill>
        </w:rPr>
        <w:sectPr>
          <w:pgSz w:w="11906" w:h="16838"/>
          <w:pgMar w:top="1440" w:right="1558" w:bottom="1440" w:left="1800" w:header="851" w:footer="992" w:gutter="0"/>
          <w:cols w:space="425" w:num="1"/>
          <w:docGrid w:type="lines" w:linePitch="312" w:charSpace="0"/>
        </w:sectPr>
      </w:pPr>
    </w:p>
    <w:tbl>
      <w:tblPr>
        <w:tblStyle w:val="14"/>
        <w:tblW w:w="8504" w:type="dxa"/>
        <w:tblInd w:w="0" w:type="dxa"/>
        <w:tblLayout w:type="fixed"/>
        <w:tblCellMar>
          <w:top w:w="0" w:type="dxa"/>
          <w:left w:w="0" w:type="dxa"/>
          <w:bottom w:w="0" w:type="dxa"/>
          <w:right w:w="0" w:type="dxa"/>
        </w:tblCellMar>
      </w:tblPr>
      <w:tblGrid>
        <w:gridCol w:w="657"/>
        <w:gridCol w:w="721"/>
        <w:gridCol w:w="750"/>
        <w:gridCol w:w="551"/>
        <w:gridCol w:w="685"/>
        <w:gridCol w:w="390"/>
        <w:gridCol w:w="917"/>
        <w:gridCol w:w="817"/>
        <w:gridCol w:w="530"/>
        <w:gridCol w:w="475"/>
        <w:gridCol w:w="539"/>
        <w:gridCol w:w="379"/>
        <w:gridCol w:w="430"/>
        <w:gridCol w:w="663"/>
      </w:tblGrid>
      <w:tr w14:paraId="645FF259">
        <w:tblPrEx>
          <w:tblCellMar>
            <w:top w:w="0" w:type="dxa"/>
            <w:left w:w="0" w:type="dxa"/>
            <w:bottom w:w="0" w:type="dxa"/>
            <w:right w:w="0" w:type="dxa"/>
          </w:tblCellMar>
        </w:tblPrEx>
        <w:trPr>
          <w:trHeight w:val="405" w:hRule="atLeast"/>
        </w:trPr>
        <w:tc>
          <w:tcPr>
            <w:tcW w:w="8504" w:type="dxa"/>
            <w:gridSpan w:val="14"/>
            <w:tcBorders>
              <w:top w:val="nil"/>
              <w:left w:val="nil"/>
              <w:bottom w:val="nil"/>
              <w:right w:val="nil"/>
            </w:tcBorders>
            <w:shd w:val="clear" w:color="auto" w:fill="auto"/>
            <w:tcMar>
              <w:top w:w="15" w:type="dxa"/>
              <w:left w:w="15" w:type="dxa"/>
              <w:right w:w="15" w:type="dxa"/>
            </w:tcMar>
            <w:vAlign w:val="center"/>
          </w:tcPr>
          <w:p w14:paraId="61CBD965">
            <w:pPr>
              <w:widowControl/>
              <w:jc w:val="center"/>
              <w:textAlignment w:val="center"/>
              <w:rPr>
                <w:rFonts w:hint="eastAsia" w:ascii="宋体" w:hAnsi="宋体" w:cs="宋体"/>
                <w:b/>
                <w:color w:val="000000" w:themeColor="text1"/>
                <w:sz w:val="32"/>
                <w:szCs w:val="32"/>
                <w14:textFill>
                  <w14:solidFill>
                    <w14:schemeClr w14:val="tx1"/>
                  </w14:solidFill>
                </w14:textFill>
              </w:rPr>
            </w:pPr>
            <w:r>
              <w:rPr>
                <w:rFonts w:hint="eastAsia" w:ascii="宋体" w:hAnsi="宋体" w:cs="宋体"/>
                <w:b/>
                <w:color w:val="000000" w:themeColor="text1"/>
                <w:kern w:val="0"/>
                <w:sz w:val="32"/>
                <w:szCs w:val="32"/>
                <w:lang w:bidi="ar"/>
                <w14:textFill>
                  <w14:solidFill>
                    <w14:schemeClr w14:val="tx1"/>
                  </w14:solidFill>
                </w14:textFill>
              </w:rPr>
              <w:t>项目支出绩效自评表</w:t>
            </w:r>
          </w:p>
        </w:tc>
      </w:tr>
      <w:tr w14:paraId="0BB2A4C5">
        <w:tblPrEx>
          <w:tblCellMar>
            <w:top w:w="0" w:type="dxa"/>
            <w:left w:w="0" w:type="dxa"/>
            <w:bottom w:w="0" w:type="dxa"/>
            <w:right w:w="0" w:type="dxa"/>
          </w:tblCellMar>
        </w:tblPrEx>
        <w:trPr>
          <w:trHeight w:val="270" w:hRule="atLeast"/>
        </w:trPr>
        <w:tc>
          <w:tcPr>
            <w:tcW w:w="8504" w:type="dxa"/>
            <w:gridSpan w:val="14"/>
            <w:tcBorders>
              <w:top w:val="nil"/>
              <w:left w:val="nil"/>
              <w:bottom w:val="nil"/>
              <w:right w:val="nil"/>
            </w:tcBorders>
            <w:shd w:val="clear" w:color="auto" w:fill="auto"/>
            <w:tcMar>
              <w:top w:w="15" w:type="dxa"/>
              <w:left w:w="15" w:type="dxa"/>
              <w:right w:w="15" w:type="dxa"/>
            </w:tcMar>
            <w:vAlign w:val="center"/>
          </w:tcPr>
          <w:p w14:paraId="4FE1276F">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(2023年度)</w:t>
            </w:r>
          </w:p>
        </w:tc>
      </w:tr>
      <w:tr w14:paraId="795748EE">
        <w:tblPrEx>
          <w:tblCellMar>
            <w:top w:w="0" w:type="dxa"/>
            <w:left w:w="0" w:type="dxa"/>
            <w:bottom w:w="0" w:type="dxa"/>
            <w:right w:w="0" w:type="dxa"/>
          </w:tblCellMar>
        </w:tblPrEx>
        <w:trPr>
          <w:trHeight w:val="270" w:hRule="atLeast"/>
        </w:trPr>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F67CC11">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项目名称</w:t>
            </w:r>
          </w:p>
        </w:tc>
        <w:tc>
          <w:tcPr>
            <w:tcW w:w="7126"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C0C925A">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2020年民族贸易和民族特需商品贷款贴息</w:t>
            </w:r>
          </w:p>
        </w:tc>
      </w:tr>
      <w:tr w14:paraId="31BAEC83">
        <w:tblPrEx>
          <w:tblCellMar>
            <w:top w:w="0" w:type="dxa"/>
            <w:left w:w="0" w:type="dxa"/>
            <w:bottom w:w="0" w:type="dxa"/>
            <w:right w:w="0" w:type="dxa"/>
          </w:tblCellMar>
        </w:tblPrEx>
        <w:trPr>
          <w:trHeight w:val="270" w:hRule="atLeast"/>
        </w:trPr>
        <w:tc>
          <w:tcPr>
            <w:tcW w:w="137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95C22E">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主管部门</w:t>
            </w:r>
          </w:p>
        </w:tc>
        <w:tc>
          <w:tcPr>
            <w:tcW w:w="3293"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04731F5">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中国共产党奇台县委员会统战部</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545646">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实施单位</w:t>
            </w:r>
          </w:p>
        </w:tc>
        <w:tc>
          <w:tcPr>
            <w:tcW w:w="2486"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C7EA634">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中国共产党奇台县委员会统战部</w:t>
            </w:r>
          </w:p>
        </w:tc>
      </w:tr>
      <w:tr w14:paraId="69B516D5">
        <w:tblPrEx>
          <w:tblCellMar>
            <w:top w:w="0" w:type="dxa"/>
            <w:left w:w="0" w:type="dxa"/>
            <w:bottom w:w="0" w:type="dxa"/>
            <w:right w:w="0" w:type="dxa"/>
          </w:tblCellMar>
        </w:tblPrEx>
        <w:trPr>
          <w:trHeight w:val="480" w:hRule="atLeast"/>
        </w:trPr>
        <w:tc>
          <w:tcPr>
            <w:tcW w:w="137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102C56">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项目资金</w:t>
            </w:r>
            <w:r>
              <w:rPr>
                <w:rFonts w:hint="eastAsia" w:ascii="宋体" w:hAnsi="宋体" w:cs="宋体"/>
                <w:color w:val="000000" w:themeColor="text1"/>
                <w:kern w:val="0"/>
                <w:sz w:val="16"/>
                <w:szCs w:val="16"/>
                <w:lang w:bidi="ar"/>
                <w14:textFill>
                  <w14:solidFill>
                    <w14:schemeClr w14:val="tx1"/>
                  </w14:solidFill>
                </w14:textFill>
              </w:rPr>
              <w:br w:type="textWrapping"/>
            </w:r>
            <w:r>
              <w:rPr>
                <w:rFonts w:hint="eastAsia" w:ascii="宋体" w:hAnsi="宋体" w:cs="宋体"/>
                <w:color w:val="000000" w:themeColor="text1"/>
                <w:kern w:val="0"/>
                <w:sz w:val="16"/>
                <w:szCs w:val="16"/>
                <w:lang w:bidi="ar"/>
                <w14:textFill>
                  <w14:solidFill>
                    <w14:schemeClr w14:val="tx1"/>
                  </w14:solidFill>
                </w14:textFill>
              </w:rPr>
              <w:t>（万元）</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681DBC5">
            <w:pPr>
              <w:jc w:val="center"/>
              <w:rPr>
                <w:rFonts w:hint="eastAsia" w:ascii="宋体" w:hAnsi="宋体" w:cs="宋体"/>
                <w:color w:val="000000" w:themeColor="text1"/>
                <w:sz w:val="16"/>
                <w:szCs w:val="16"/>
                <w14:textFill>
                  <w14:solidFill>
                    <w14:schemeClr w14:val="tx1"/>
                  </w14:solidFill>
                </w14:textFill>
              </w:rPr>
            </w:pP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D91093">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年初预算数</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5DA27C">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全年预算数</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2F22AD">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全年执行数</w:t>
            </w:r>
          </w:p>
        </w:tc>
        <w:tc>
          <w:tcPr>
            <w:tcW w:w="10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520018">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分值</w:t>
            </w:r>
          </w:p>
        </w:tc>
        <w:tc>
          <w:tcPr>
            <w:tcW w:w="8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6DA69DE">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执行率</w:t>
            </w:r>
          </w:p>
        </w:tc>
        <w:tc>
          <w:tcPr>
            <w:tcW w:w="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1C38A0">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得分</w:t>
            </w:r>
          </w:p>
        </w:tc>
      </w:tr>
      <w:tr w14:paraId="396D3637">
        <w:tblPrEx>
          <w:tblCellMar>
            <w:top w:w="0" w:type="dxa"/>
            <w:left w:w="0" w:type="dxa"/>
            <w:bottom w:w="0" w:type="dxa"/>
            <w:right w:w="0" w:type="dxa"/>
          </w:tblCellMar>
        </w:tblPrEx>
        <w:trPr>
          <w:trHeight w:val="440" w:hRule="atLeast"/>
        </w:trPr>
        <w:tc>
          <w:tcPr>
            <w:tcW w:w="13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39D8DF">
            <w:pPr>
              <w:jc w:val="center"/>
              <w:rPr>
                <w:rFonts w:hint="eastAsia" w:ascii="宋体" w:hAnsi="宋体" w:cs="宋体"/>
                <w:color w:val="000000" w:themeColor="text1"/>
                <w:sz w:val="16"/>
                <w:szCs w:val="16"/>
                <w14:textFill>
                  <w14:solidFill>
                    <w14:schemeClr w14:val="tx1"/>
                  </w14:solidFill>
                </w14:textFill>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D41C7A4">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年度资金总额</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94B63F">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280.00</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20564C">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280.00</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E9B590F">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280.00</w:t>
            </w:r>
          </w:p>
        </w:tc>
        <w:tc>
          <w:tcPr>
            <w:tcW w:w="10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457CF">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10</w:t>
            </w:r>
          </w:p>
        </w:tc>
        <w:tc>
          <w:tcPr>
            <w:tcW w:w="8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999855A">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100.00%</w:t>
            </w:r>
          </w:p>
        </w:tc>
        <w:tc>
          <w:tcPr>
            <w:tcW w:w="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19DAFC7">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10.00分</w:t>
            </w:r>
          </w:p>
        </w:tc>
      </w:tr>
      <w:tr w14:paraId="0CBC4BB5">
        <w:tblPrEx>
          <w:tblCellMar>
            <w:top w:w="0" w:type="dxa"/>
            <w:left w:w="0" w:type="dxa"/>
            <w:bottom w:w="0" w:type="dxa"/>
            <w:right w:w="0" w:type="dxa"/>
          </w:tblCellMar>
        </w:tblPrEx>
        <w:trPr>
          <w:trHeight w:val="440" w:hRule="atLeast"/>
        </w:trPr>
        <w:tc>
          <w:tcPr>
            <w:tcW w:w="13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DC5BC6A">
            <w:pPr>
              <w:jc w:val="center"/>
              <w:rPr>
                <w:rFonts w:hint="eastAsia" w:ascii="宋体" w:hAnsi="宋体" w:cs="宋体"/>
                <w:color w:val="000000" w:themeColor="text1"/>
                <w:sz w:val="16"/>
                <w:szCs w:val="16"/>
                <w14:textFill>
                  <w14:solidFill>
                    <w14:schemeClr w14:val="tx1"/>
                  </w14:solidFill>
                </w14:textFill>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D9FF95">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其中：当年财政拨款</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2EBF22">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280.00</w:t>
            </w: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7676A8D">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280.00</w:t>
            </w: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56F459E">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280</w:t>
            </w:r>
          </w:p>
        </w:tc>
        <w:tc>
          <w:tcPr>
            <w:tcW w:w="10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8CE8030">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w:t>
            </w:r>
          </w:p>
        </w:tc>
        <w:tc>
          <w:tcPr>
            <w:tcW w:w="8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5187758">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w:t>
            </w:r>
          </w:p>
        </w:tc>
        <w:tc>
          <w:tcPr>
            <w:tcW w:w="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6A756DD">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w:t>
            </w:r>
          </w:p>
        </w:tc>
      </w:tr>
      <w:tr w14:paraId="212AB105">
        <w:tblPrEx>
          <w:tblCellMar>
            <w:top w:w="0" w:type="dxa"/>
            <w:left w:w="0" w:type="dxa"/>
            <w:bottom w:w="0" w:type="dxa"/>
            <w:right w:w="0" w:type="dxa"/>
          </w:tblCellMar>
        </w:tblPrEx>
        <w:trPr>
          <w:trHeight w:val="440" w:hRule="atLeast"/>
        </w:trPr>
        <w:tc>
          <w:tcPr>
            <w:tcW w:w="13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B11621">
            <w:pPr>
              <w:jc w:val="center"/>
              <w:rPr>
                <w:rFonts w:hint="eastAsia" w:ascii="宋体" w:hAnsi="宋体" w:cs="宋体"/>
                <w:color w:val="000000" w:themeColor="text1"/>
                <w:sz w:val="16"/>
                <w:szCs w:val="16"/>
                <w14:textFill>
                  <w14:solidFill>
                    <w14:schemeClr w14:val="tx1"/>
                  </w14:solidFill>
                </w14:textFill>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AAAC61">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 xml:space="preserve">      上年结转资金</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0A3EE83">
            <w:pPr>
              <w:jc w:val="center"/>
              <w:rPr>
                <w:rFonts w:hint="eastAsia" w:ascii="宋体" w:hAnsi="宋体" w:cs="宋体"/>
                <w:color w:val="000000" w:themeColor="text1"/>
                <w:sz w:val="16"/>
                <w:szCs w:val="16"/>
                <w14:textFill>
                  <w14:solidFill>
                    <w14:schemeClr w14:val="tx1"/>
                  </w14:solidFill>
                </w14:textFill>
              </w:rPr>
            </w:pP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01F94D">
            <w:pPr>
              <w:jc w:val="center"/>
              <w:rPr>
                <w:rFonts w:hint="eastAsia" w:ascii="宋体" w:hAnsi="宋体" w:cs="宋体"/>
                <w:color w:val="000000" w:themeColor="text1"/>
                <w:sz w:val="16"/>
                <w:szCs w:val="16"/>
                <w14:textFill>
                  <w14:solidFill>
                    <w14:schemeClr w14:val="tx1"/>
                  </w14:solidFill>
                </w14:textFill>
              </w:rPr>
            </w:pP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2C5AD0E">
            <w:pPr>
              <w:jc w:val="center"/>
              <w:rPr>
                <w:rFonts w:hint="eastAsia" w:ascii="宋体" w:hAnsi="宋体" w:cs="宋体"/>
                <w:color w:val="000000" w:themeColor="text1"/>
                <w:sz w:val="16"/>
                <w:szCs w:val="16"/>
                <w14:textFill>
                  <w14:solidFill>
                    <w14:schemeClr w14:val="tx1"/>
                  </w14:solidFill>
                </w14:textFill>
              </w:rPr>
            </w:pPr>
          </w:p>
        </w:tc>
        <w:tc>
          <w:tcPr>
            <w:tcW w:w="10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8CC0C3">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w:t>
            </w:r>
          </w:p>
        </w:tc>
        <w:tc>
          <w:tcPr>
            <w:tcW w:w="8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6CBC80B">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w:t>
            </w:r>
          </w:p>
        </w:tc>
        <w:tc>
          <w:tcPr>
            <w:tcW w:w="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C60140">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w:t>
            </w:r>
          </w:p>
        </w:tc>
      </w:tr>
      <w:tr w14:paraId="77927599">
        <w:tblPrEx>
          <w:tblCellMar>
            <w:top w:w="0" w:type="dxa"/>
            <w:left w:w="0" w:type="dxa"/>
            <w:bottom w:w="0" w:type="dxa"/>
            <w:right w:w="0" w:type="dxa"/>
          </w:tblCellMar>
        </w:tblPrEx>
        <w:trPr>
          <w:trHeight w:val="440" w:hRule="atLeast"/>
        </w:trPr>
        <w:tc>
          <w:tcPr>
            <w:tcW w:w="137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D5CC34">
            <w:pPr>
              <w:jc w:val="center"/>
              <w:rPr>
                <w:rFonts w:hint="eastAsia" w:ascii="宋体" w:hAnsi="宋体" w:cs="宋体"/>
                <w:color w:val="000000" w:themeColor="text1"/>
                <w:sz w:val="16"/>
                <w:szCs w:val="16"/>
                <w14:textFill>
                  <w14:solidFill>
                    <w14:schemeClr w14:val="tx1"/>
                  </w14:solidFill>
                </w14:textFill>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07DA5C">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 xml:space="preserve">  其他资金</w:t>
            </w:r>
          </w:p>
        </w:tc>
        <w:tc>
          <w:tcPr>
            <w:tcW w:w="68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E50AB73">
            <w:pPr>
              <w:jc w:val="center"/>
              <w:rPr>
                <w:rFonts w:hint="eastAsia" w:ascii="宋体" w:hAnsi="宋体" w:cs="宋体"/>
                <w:color w:val="000000" w:themeColor="text1"/>
                <w:sz w:val="16"/>
                <w:szCs w:val="16"/>
                <w14:textFill>
                  <w14:solidFill>
                    <w14:schemeClr w14:val="tx1"/>
                  </w14:solidFill>
                </w14:textFill>
              </w:rPr>
            </w:pPr>
          </w:p>
        </w:tc>
        <w:tc>
          <w:tcPr>
            <w:tcW w:w="130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7CE452D">
            <w:pPr>
              <w:jc w:val="center"/>
              <w:rPr>
                <w:rFonts w:hint="eastAsia" w:ascii="宋体" w:hAnsi="宋体" w:cs="宋体"/>
                <w:color w:val="000000" w:themeColor="text1"/>
                <w:sz w:val="16"/>
                <w:szCs w:val="16"/>
                <w14:textFill>
                  <w14:solidFill>
                    <w14:schemeClr w14:val="tx1"/>
                  </w14:solidFill>
                </w14:textFill>
              </w:rPr>
            </w:pPr>
          </w:p>
        </w:tc>
        <w:tc>
          <w:tcPr>
            <w:tcW w:w="1347"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F40A67E">
            <w:pPr>
              <w:jc w:val="center"/>
              <w:rPr>
                <w:rFonts w:hint="eastAsia" w:ascii="宋体" w:hAnsi="宋体" w:cs="宋体"/>
                <w:color w:val="000000" w:themeColor="text1"/>
                <w:sz w:val="16"/>
                <w:szCs w:val="16"/>
                <w14:textFill>
                  <w14:solidFill>
                    <w14:schemeClr w14:val="tx1"/>
                  </w14:solidFill>
                </w14:textFill>
              </w:rPr>
            </w:pPr>
          </w:p>
        </w:tc>
        <w:tc>
          <w:tcPr>
            <w:tcW w:w="1014"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FECC5">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w:t>
            </w:r>
          </w:p>
        </w:tc>
        <w:tc>
          <w:tcPr>
            <w:tcW w:w="809"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56AEF7F">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w:t>
            </w:r>
          </w:p>
        </w:tc>
        <w:tc>
          <w:tcPr>
            <w:tcW w:w="6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72C23D">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w:t>
            </w:r>
          </w:p>
        </w:tc>
      </w:tr>
      <w:tr w14:paraId="35A22EAC">
        <w:tblPrEx>
          <w:tblCellMar>
            <w:top w:w="0" w:type="dxa"/>
            <w:left w:w="0" w:type="dxa"/>
            <w:bottom w:w="0" w:type="dxa"/>
            <w:right w:w="0" w:type="dxa"/>
          </w:tblCellMar>
        </w:tblPrEx>
        <w:trPr>
          <w:trHeight w:val="270" w:hRule="atLeast"/>
        </w:trPr>
        <w:tc>
          <w:tcPr>
            <w:tcW w:w="6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B66DCF">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年度总体目标</w:t>
            </w:r>
          </w:p>
        </w:tc>
        <w:tc>
          <w:tcPr>
            <w:tcW w:w="401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9F8886">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预期目标</w:t>
            </w:r>
          </w:p>
        </w:tc>
        <w:tc>
          <w:tcPr>
            <w:tcW w:w="38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8454CDB">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实际完成情况</w:t>
            </w:r>
          </w:p>
        </w:tc>
      </w:tr>
      <w:tr w14:paraId="58F50334">
        <w:tblPrEx>
          <w:tblCellMar>
            <w:top w:w="0" w:type="dxa"/>
            <w:left w:w="0" w:type="dxa"/>
            <w:bottom w:w="0" w:type="dxa"/>
            <w:right w:w="0" w:type="dxa"/>
          </w:tblCellMar>
        </w:tblPrEx>
        <w:trPr>
          <w:trHeight w:val="54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9E55068">
            <w:pPr>
              <w:jc w:val="center"/>
              <w:rPr>
                <w:rFonts w:hint="eastAsia" w:ascii="宋体" w:hAnsi="宋体" w:cs="宋体"/>
                <w:color w:val="000000" w:themeColor="text1"/>
                <w:sz w:val="16"/>
                <w:szCs w:val="16"/>
                <w14:textFill>
                  <w14:solidFill>
                    <w14:schemeClr w14:val="tx1"/>
                  </w14:solidFill>
                </w14:textFill>
              </w:rPr>
            </w:pPr>
          </w:p>
        </w:tc>
        <w:tc>
          <w:tcPr>
            <w:tcW w:w="4014"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14:paraId="5D4A6A0A">
            <w:pPr>
              <w:widowControl/>
              <w:jc w:val="left"/>
              <w:textAlignment w:val="top"/>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本项目投入280万元用于民贸民品企业贷款贴息，主要实施内容为：于2023年12月31日前完成；涉及13家民贸民品企业，资金拨付率达到100%，贴息支持覆盖率100%，预算项目资金执行率100%，带动当地就业人数30人；通过本项目的实施促进民族地区贸易发展，保障民族特需商品供应，对民族贸易企业和民族特需商品定点生产企业用于开展民族贸易和民族特需商品生产的流动资金贷款给予的贴息补助。加快推进</w:t>
            </w:r>
            <w:r>
              <w:rPr>
                <w:rFonts w:hint="eastAsia" w:ascii="宋体" w:hAnsi="宋体" w:cs="宋体"/>
                <w:color w:val="000000" w:themeColor="text1"/>
                <w:kern w:val="0"/>
                <w:sz w:val="16"/>
                <w:szCs w:val="16"/>
                <w:lang w:eastAsia="zh-CN" w:bidi="ar"/>
                <w14:textFill>
                  <w14:solidFill>
                    <w14:schemeClr w14:val="tx1"/>
                  </w14:solidFill>
                </w14:textFill>
              </w:rPr>
              <w:t>少数民族</w:t>
            </w:r>
            <w:r>
              <w:rPr>
                <w:rFonts w:hint="eastAsia" w:ascii="宋体" w:hAnsi="宋体" w:cs="宋体"/>
                <w:color w:val="000000" w:themeColor="text1"/>
                <w:kern w:val="0"/>
                <w:sz w:val="16"/>
                <w:szCs w:val="16"/>
                <w:lang w:bidi="ar"/>
                <w14:textFill>
                  <w14:solidFill>
                    <w14:schemeClr w14:val="tx1"/>
                  </w14:solidFill>
                </w14:textFill>
              </w:rPr>
              <w:t>地区经济社会发展，巩固和发展平等、团结、互助和谐的社会主义民族关系。</w:t>
            </w:r>
          </w:p>
        </w:tc>
        <w:tc>
          <w:tcPr>
            <w:tcW w:w="3833"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tcPr>
          <w:p w14:paraId="0AD2EDAF">
            <w:pPr>
              <w:widowControl/>
              <w:jc w:val="left"/>
              <w:textAlignment w:val="top"/>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截止2023年底，本项目投入234.93万元用于民贸民品企业贷款贴息，支持民贸民品企业数量1家；监督检查次数1次；贴息支持政策覆盖辖内企业10%；贴息资金足额拨付率100%；贴息资金管理规范率100%；收到上级拨付资金时限30日；上级资金拨付及时到位率100；促进企业增收：贴息资金两倍；民贸民品企业带动当地就业人数30人；申报贴息资金企业满意度90%。</w:t>
            </w:r>
          </w:p>
        </w:tc>
      </w:tr>
      <w:tr w14:paraId="7523673E">
        <w:tblPrEx>
          <w:tblCellMar>
            <w:top w:w="0" w:type="dxa"/>
            <w:left w:w="0" w:type="dxa"/>
            <w:bottom w:w="0" w:type="dxa"/>
            <w:right w:w="0" w:type="dxa"/>
          </w:tblCellMar>
        </w:tblPrEx>
        <w:trPr>
          <w:trHeight w:val="312" w:hRule="atLeast"/>
        </w:trPr>
        <w:tc>
          <w:tcPr>
            <w:tcW w:w="6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A88B74F">
            <w:pPr>
              <w:jc w:val="center"/>
              <w:rPr>
                <w:rFonts w:hint="eastAsia" w:ascii="宋体" w:hAnsi="宋体" w:cs="宋体"/>
                <w:color w:val="000000" w:themeColor="text1"/>
                <w:sz w:val="16"/>
                <w:szCs w:val="16"/>
                <w14:textFill>
                  <w14:solidFill>
                    <w14:schemeClr w14:val="tx1"/>
                  </w14:solidFill>
                </w14:textFill>
              </w:rPr>
            </w:pPr>
          </w:p>
        </w:tc>
        <w:tc>
          <w:tcPr>
            <w:tcW w:w="7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9ED2E3C">
            <w:pPr>
              <w:widowControl/>
              <w:jc w:val="center"/>
              <w:textAlignment w:val="center"/>
              <w:rPr>
                <w:rFonts w:hint="eastAsia" w:ascii="宋体" w:hAnsi="宋体" w:cs="宋体"/>
                <w:color w:val="000000" w:themeColor="text1"/>
                <w:sz w:val="13"/>
                <w:szCs w:val="13"/>
                <w14:textFill>
                  <w14:solidFill>
                    <w14:schemeClr w14:val="tx1"/>
                  </w14:solidFill>
                </w14:textFill>
              </w:rPr>
            </w:pPr>
            <w:r>
              <w:rPr>
                <w:rFonts w:hint="eastAsia" w:ascii="宋体" w:hAnsi="宋体" w:cs="宋体"/>
                <w:color w:val="000000" w:themeColor="text1"/>
                <w:kern w:val="0"/>
                <w:sz w:val="13"/>
                <w:szCs w:val="13"/>
                <w:lang w:bidi="ar"/>
                <w14:textFill>
                  <w14:solidFill>
                    <w14:schemeClr w14:val="tx1"/>
                  </w14:solidFill>
                </w14:textFill>
              </w:rPr>
              <w:t>一级指标</w:t>
            </w:r>
          </w:p>
        </w:tc>
        <w:tc>
          <w:tcPr>
            <w:tcW w:w="75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139A27">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二级指标</w:t>
            </w:r>
          </w:p>
        </w:tc>
        <w:tc>
          <w:tcPr>
            <w:tcW w:w="162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A0D8270">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三级指标</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51EC56">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年度指标值</w:t>
            </w:r>
          </w:p>
        </w:tc>
        <w:tc>
          <w:tcPr>
            <w:tcW w:w="81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47D6E">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实际完成值</w:t>
            </w:r>
          </w:p>
        </w:tc>
        <w:tc>
          <w:tcPr>
            <w:tcW w:w="100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0ACA4CD">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分值</w:t>
            </w:r>
          </w:p>
        </w:tc>
        <w:tc>
          <w:tcPr>
            <w:tcW w:w="918"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3B1D05">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得分</w:t>
            </w:r>
          </w:p>
        </w:tc>
        <w:tc>
          <w:tcPr>
            <w:tcW w:w="10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D52CC6">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偏差原因分析及改进措施</w:t>
            </w:r>
          </w:p>
        </w:tc>
      </w:tr>
      <w:tr w14:paraId="19ABD9F2">
        <w:tblPrEx>
          <w:tblCellMar>
            <w:top w:w="0" w:type="dxa"/>
            <w:left w:w="0" w:type="dxa"/>
            <w:bottom w:w="0" w:type="dxa"/>
            <w:right w:w="0" w:type="dxa"/>
          </w:tblCellMar>
        </w:tblPrEx>
        <w:trPr>
          <w:trHeight w:val="312"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CA204">
            <w:pPr>
              <w:jc w:val="center"/>
              <w:rPr>
                <w:rFonts w:hint="eastAsia" w:ascii="宋体" w:hAnsi="宋体" w:cs="宋体"/>
                <w:color w:val="000000" w:themeColor="text1"/>
                <w:sz w:val="16"/>
                <w:szCs w:val="16"/>
                <w14:textFill>
                  <w14:solidFill>
                    <w14:schemeClr w14:val="tx1"/>
                  </w14:solidFill>
                </w14:textFill>
              </w:rPr>
            </w:pPr>
          </w:p>
        </w:tc>
        <w:tc>
          <w:tcPr>
            <w:tcW w:w="7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3207442">
            <w:pPr>
              <w:jc w:val="center"/>
              <w:rPr>
                <w:rFonts w:hint="eastAsia" w:ascii="宋体" w:hAnsi="宋体" w:cs="宋体"/>
                <w:color w:val="000000" w:themeColor="text1"/>
                <w:sz w:val="16"/>
                <w:szCs w:val="16"/>
                <w14:textFill>
                  <w14:solidFill>
                    <w14:schemeClr w14:val="tx1"/>
                  </w14:solidFill>
                </w14:textFill>
              </w:rPr>
            </w:pPr>
          </w:p>
        </w:tc>
        <w:tc>
          <w:tcPr>
            <w:tcW w:w="75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18C4AA">
            <w:pPr>
              <w:jc w:val="center"/>
              <w:rPr>
                <w:rFonts w:hint="eastAsia" w:ascii="宋体" w:hAnsi="宋体" w:cs="宋体"/>
                <w:color w:val="000000" w:themeColor="text1"/>
                <w:sz w:val="20"/>
                <w:szCs w:val="20"/>
                <w14:textFill>
                  <w14:solidFill>
                    <w14:schemeClr w14:val="tx1"/>
                  </w14:solidFill>
                </w14:textFill>
              </w:rPr>
            </w:pPr>
          </w:p>
        </w:tc>
        <w:tc>
          <w:tcPr>
            <w:tcW w:w="162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43DB2E7">
            <w:pPr>
              <w:jc w:val="center"/>
              <w:rPr>
                <w:rFonts w:hint="eastAsia" w:ascii="宋体" w:hAnsi="宋体" w:cs="宋体"/>
                <w:color w:val="000000" w:themeColor="text1"/>
                <w:sz w:val="20"/>
                <w:szCs w:val="20"/>
                <w14:textFill>
                  <w14:solidFill>
                    <w14:schemeClr w14:val="tx1"/>
                  </w14:solidFill>
                </w14:textFill>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053F93">
            <w:pPr>
              <w:jc w:val="center"/>
              <w:rPr>
                <w:rFonts w:hint="eastAsia" w:ascii="宋体" w:hAnsi="宋体" w:cs="宋体"/>
                <w:color w:val="000000" w:themeColor="text1"/>
                <w:sz w:val="20"/>
                <w:szCs w:val="20"/>
                <w14:textFill>
                  <w14:solidFill>
                    <w14:schemeClr w14:val="tx1"/>
                  </w14:solidFill>
                </w14:textFill>
              </w:rPr>
            </w:pPr>
          </w:p>
        </w:tc>
        <w:tc>
          <w:tcPr>
            <w:tcW w:w="81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A64EDC1">
            <w:pPr>
              <w:jc w:val="center"/>
              <w:rPr>
                <w:rFonts w:hint="eastAsia" w:ascii="宋体" w:hAnsi="宋体" w:cs="宋体"/>
                <w:color w:val="000000" w:themeColor="text1"/>
                <w:sz w:val="20"/>
                <w:szCs w:val="20"/>
                <w14:textFill>
                  <w14:solidFill>
                    <w14:schemeClr w14:val="tx1"/>
                  </w14:solidFill>
                </w14:textFill>
              </w:rPr>
            </w:pPr>
          </w:p>
        </w:tc>
        <w:tc>
          <w:tcPr>
            <w:tcW w:w="100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D01C89F">
            <w:pPr>
              <w:jc w:val="center"/>
              <w:rPr>
                <w:rFonts w:hint="eastAsia" w:ascii="宋体" w:hAnsi="宋体" w:cs="宋体"/>
                <w:color w:val="000000" w:themeColor="text1"/>
                <w:sz w:val="20"/>
                <w:szCs w:val="20"/>
                <w14:textFill>
                  <w14:solidFill>
                    <w14:schemeClr w14:val="tx1"/>
                  </w14:solidFill>
                </w14:textFill>
              </w:rPr>
            </w:pPr>
          </w:p>
        </w:tc>
        <w:tc>
          <w:tcPr>
            <w:tcW w:w="918"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87A6EDA">
            <w:pPr>
              <w:jc w:val="center"/>
              <w:rPr>
                <w:rFonts w:hint="eastAsia" w:ascii="宋体" w:hAnsi="宋体" w:cs="宋体"/>
                <w:color w:val="000000" w:themeColor="text1"/>
                <w:sz w:val="20"/>
                <w:szCs w:val="20"/>
                <w14:textFill>
                  <w14:solidFill>
                    <w14:schemeClr w14:val="tx1"/>
                  </w14:solidFill>
                </w14:textFill>
              </w:rPr>
            </w:pPr>
          </w:p>
        </w:tc>
        <w:tc>
          <w:tcPr>
            <w:tcW w:w="10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FB7B09">
            <w:pPr>
              <w:jc w:val="center"/>
              <w:rPr>
                <w:rFonts w:hint="eastAsia" w:ascii="宋体" w:hAnsi="宋体" w:cs="宋体"/>
                <w:color w:val="000000" w:themeColor="text1"/>
                <w:sz w:val="20"/>
                <w:szCs w:val="20"/>
                <w14:textFill>
                  <w14:solidFill>
                    <w14:schemeClr w14:val="tx1"/>
                  </w14:solidFill>
                </w14:textFill>
              </w:rPr>
            </w:pPr>
          </w:p>
        </w:tc>
      </w:tr>
      <w:tr w14:paraId="1F86B6A7">
        <w:tblPrEx>
          <w:tblCellMar>
            <w:top w:w="0" w:type="dxa"/>
            <w:left w:w="0" w:type="dxa"/>
            <w:bottom w:w="0" w:type="dxa"/>
            <w:right w:w="0" w:type="dxa"/>
          </w:tblCellMar>
        </w:tblPrEx>
        <w:trPr>
          <w:trHeight w:val="400" w:hRule="atLeast"/>
        </w:trPr>
        <w:tc>
          <w:tcPr>
            <w:tcW w:w="657"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D4CBF0">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年度绩效指标完成情况</w:t>
            </w:r>
          </w:p>
        </w:tc>
        <w:tc>
          <w:tcPr>
            <w:tcW w:w="7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EA0AAC7">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产出指标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C4600B">
            <w:pPr>
              <w:widowControl/>
              <w:jc w:val="center"/>
              <w:textAlignment w:val="center"/>
              <w:rPr>
                <w:rFonts w:hint="eastAsia" w:ascii="宋体" w:hAnsi="宋体" w:cs="宋体"/>
                <w:color w:val="000000" w:themeColor="text1"/>
                <w:sz w:val="15"/>
                <w:szCs w:val="15"/>
                <w14:textFill>
                  <w14:solidFill>
                    <w14:schemeClr w14:val="tx1"/>
                  </w14:solidFill>
                </w14:textFill>
              </w:rPr>
            </w:pPr>
            <w:r>
              <w:rPr>
                <w:rFonts w:hint="eastAsia" w:ascii="宋体" w:hAnsi="宋体" w:cs="宋体"/>
                <w:color w:val="000000" w:themeColor="text1"/>
                <w:kern w:val="0"/>
                <w:sz w:val="15"/>
                <w:szCs w:val="15"/>
                <w:lang w:bidi="ar"/>
                <w14:textFill>
                  <w14:solidFill>
                    <w14:schemeClr w14:val="tx1"/>
                  </w14:solidFill>
                </w14:textFill>
              </w:rPr>
              <w:t>数量指标</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CA57856">
            <w:pPr>
              <w:widowControl/>
              <w:jc w:val="left"/>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支持民贸民品企业贴息数量</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065C20">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&lt;=13家</w:t>
            </w: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090C25">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=13家</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23BD16">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A19C012">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8EA4C88">
            <w:pPr>
              <w:jc w:val="center"/>
              <w:rPr>
                <w:rFonts w:hint="eastAsia" w:ascii="宋体" w:hAnsi="宋体" w:cs="宋体"/>
                <w:color w:val="000000" w:themeColor="text1"/>
                <w:sz w:val="20"/>
                <w:szCs w:val="20"/>
                <w14:textFill>
                  <w14:solidFill>
                    <w14:schemeClr w14:val="tx1"/>
                  </w14:solidFill>
                </w14:textFill>
              </w:rPr>
            </w:pPr>
          </w:p>
        </w:tc>
      </w:tr>
      <w:tr w14:paraId="036A2302">
        <w:tblPrEx>
          <w:tblCellMar>
            <w:top w:w="0" w:type="dxa"/>
            <w:left w:w="0" w:type="dxa"/>
            <w:bottom w:w="0" w:type="dxa"/>
            <w:right w:w="0" w:type="dxa"/>
          </w:tblCellMar>
        </w:tblPrEx>
        <w:trPr>
          <w:trHeight w:val="40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19F5D2">
            <w:pPr>
              <w:jc w:val="center"/>
              <w:rPr>
                <w:rFonts w:hint="eastAsia" w:ascii="宋体" w:hAnsi="宋体" w:cs="宋体"/>
                <w:color w:val="000000" w:themeColor="text1"/>
                <w:sz w:val="16"/>
                <w:szCs w:val="16"/>
                <w14:textFill>
                  <w14:solidFill>
                    <w14:schemeClr w14:val="tx1"/>
                  </w14:solidFill>
                </w14:textFill>
              </w:rPr>
            </w:pPr>
          </w:p>
        </w:tc>
        <w:tc>
          <w:tcPr>
            <w:tcW w:w="7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F821E7">
            <w:pPr>
              <w:jc w:val="center"/>
              <w:rPr>
                <w:rFonts w:hint="eastAsia" w:ascii="宋体" w:hAnsi="宋体" w:cs="宋体"/>
                <w:color w:val="000000" w:themeColor="text1"/>
                <w:sz w:val="16"/>
                <w:szCs w:val="16"/>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395FA1">
            <w:pPr>
              <w:widowControl/>
              <w:jc w:val="center"/>
              <w:textAlignment w:val="center"/>
              <w:rPr>
                <w:rFonts w:hint="eastAsia" w:ascii="宋体" w:hAnsi="宋体" w:cs="宋体"/>
                <w:color w:val="000000" w:themeColor="text1"/>
                <w:sz w:val="15"/>
                <w:szCs w:val="15"/>
                <w14:textFill>
                  <w14:solidFill>
                    <w14:schemeClr w14:val="tx1"/>
                  </w14:solidFill>
                </w14:textFill>
              </w:rPr>
            </w:pPr>
            <w:r>
              <w:rPr>
                <w:rFonts w:hint="eastAsia" w:ascii="宋体" w:hAnsi="宋体" w:cs="宋体"/>
                <w:color w:val="000000" w:themeColor="text1"/>
                <w:kern w:val="0"/>
                <w:sz w:val="15"/>
                <w:szCs w:val="15"/>
                <w:lang w:bidi="ar"/>
                <w14:textFill>
                  <w14:solidFill>
                    <w14:schemeClr w14:val="tx1"/>
                  </w14:solidFill>
                </w14:textFill>
              </w:rPr>
              <w:t>质量指标</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4A166C9E">
            <w:pPr>
              <w:widowControl/>
              <w:jc w:val="left"/>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贴息支持政策覆盖率</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951CE07">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&gt;=100%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259BA36">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=100%</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7497106">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781D0FE">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A3B63A2">
            <w:pPr>
              <w:jc w:val="center"/>
              <w:rPr>
                <w:rFonts w:hint="eastAsia" w:ascii="宋体" w:hAnsi="宋体" w:cs="宋体"/>
                <w:color w:val="000000" w:themeColor="text1"/>
                <w:sz w:val="20"/>
                <w:szCs w:val="20"/>
                <w14:textFill>
                  <w14:solidFill>
                    <w14:schemeClr w14:val="tx1"/>
                  </w14:solidFill>
                </w14:textFill>
              </w:rPr>
            </w:pPr>
          </w:p>
        </w:tc>
      </w:tr>
      <w:tr w14:paraId="2F05855D">
        <w:tblPrEx>
          <w:tblCellMar>
            <w:top w:w="0" w:type="dxa"/>
            <w:left w:w="0" w:type="dxa"/>
            <w:bottom w:w="0" w:type="dxa"/>
            <w:right w:w="0" w:type="dxa"/>
          </w:tblCellMar>
        </w:tblPrEx>
        <w:trPr>
          <w:trHeight w:val="40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9CDBF72">
            <w:pPr>
              <w:jc w:val="center"/>
              <w:rPr>
                <w:rFonts w:hint="eastAsia" w:ascii="宋体" w:hAnsi="宋体" w:cs="宋体"/>
                <w:color w:val="000000" w:themeColor="text1"/>
                <w:sz w:val="16"/>
                <w:szCs w:val="16"/>
                <w14:textFill>
                  <w14:solidFill>
                    <w14:schemeClr w14:val="tx1"/>
                  </w14:solidFill>
                </w14:textFill>
              </w:rPr>
            </w:pPr>
          </w:p>
        </w:tc>
        <w:tc>
          <w:tcPr>
            <w:tcW w:w="7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364957">
            <w:pPr>
              <w:jc w:val="center"/>
              <w:rPr>
                <w:rFonts w:hint="eastAsia" w:ascii="宋体" w:hAnsi="宋体" w:cs="宋体"/>
                <w:color w:val="000000" w:themeColor="text1"/>
                <w:sz w:val="16"/>
                <w:szCs w:val="16"/>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EA848AE">
            <w:pPr>
              <w:widowControl/>
              <w:jc w:val="center"/>
              <w:textAlignment w:val="center"/>
              <w:rPr>
                <w:rFonts w:hint="eastAsia" w:ascii="宋体" w:hAnsi="宋体" w:cs="宋体"/>
                <w:color w:val="000000" w:themeColor="text1"/>
                <w:sz w:val="15"/>
                <w:szCs w:val="15"/>
                <w14:textFill>
                  <w14:solidFill>
                    <w14:schemeClr w14:val="tx1"/>
                  </w14:solidFill>
                </w14:textFill>
              </w:rPr>
            </w:pPr>
            <w:r>
              <w:rPr>
                <w:rFonts w:hint="eastAsia" w:ascii="宋体" w:hAnsi="宋体" w:cs="宋体"/>
                <w:color w:val="000000" w:themeColor="text1"/>
                <w:kern w:val="0"/>
                <w:sz w:val="15"/>
                <w:szCs w:val="15"/>
                <w:lang w:bidi="ar"/>
                <w14:textFill>
                  <w14:solidFill>
                    <w14:schemeClr w14:val="tx1"/>
                  </w14:solidFill>
                </w14:textFill>
              </w:rPr>
              <w:t>质量指标</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8F8E5EB">
            <w:pPr>
              <w:widowControl/>
              <w:jc w:val="left"/>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贴息资金管理规范率</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9956BE">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8A17FDB">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=100%</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6B2BD50">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158E37">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FFD99E4">
            <w:pPr>
              <w:jc w:val="center"/>
              <w:rPr>
                <w:rFonts w:hint="eastAsia" w:ascii="宋体" w:hAnsi="宋体" w:cs="宋体"/>
                <w:color w:val="000000" w:themeColor="text1"/>
                <w:sz w:val="20"/>
                <w:szCs w:val="20"/>
                <w14:textFill>
                  <w14:solidFill>
                    <w14:schemeClr w14:val="tx1"/>
                  </w14:solidFill>
                </w14:textFill>
              </w:rPr>
            </w:pPr>
          </w:p>
        </w:tc>
      </w:tr>
      <w:tr w14:paraId="0BDBD9BB">
        <w:tblPrEx>
          <w:tblCellMar>
            <w:top w:w="0" w:type="dxa"/>
            <w:left w:w="0" w:type="dxa"/>
            <w:bottom w:w="0" w:type="dxa"/>
            <w:right w:w="0" w:type="dxa"/>
          </w:tblCellMar>
        </w:tblPrEx>
        <w:trPr>
          <w:trHeight w:val="40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1DA09D8">
            <w:pPr>
              <w:jc w:val="center"/>
              <w:rPr>
                <w:rFonts w:hint="eastAsia" w:ascii="宋体" w:hAnsi="宋体" w:cs="宋体"/>
                <w:color w:val="000000" w:themeColor="text1"/>
                <w:sz w:val="16"/>
                <w:szCs w:val="16"/>
                <w14:textFill>
                  <w14:solidFill>
                    <w14:schemeClr w14:val="tx1"/>
                  </w14:solidFill>
                </w14:textFill>
              </w:rPr>
            </w:pPr>
          </w:p>
        </w:tc>
        <w:tc>
          <w:tcPr>
            <w:tcW w:w="7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4B85AC5">
            <w:pPr>
              <w:jc w:val="center"/>
              <w:rPr>
                <w:rFonts w:hint="eastAsia" w:ascii="宋体" w:hAnsi="宋体" w:cs="宋体"/>
                <w:color w:val="000000" w:themeColor="text1"/>
                <w:sz w:val="16"/>
                <w:szCs w:val="16"/>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7EECFE">
            <w:pPr>
              <w:widowControl/>
              <w:jc w:val="center"/>
              <w:textAlignment w:val="center"/>
              <w:rPr>
                <w:rFonts w:hint="eastAsia" w:ascii="宋体" w:hAnsi="宋体" w:cs="宋体"/>
                <w:color w:val="000000" w:themeColor="text1"/>
                <w:sz w:val="15"/>
                <w:szCs w:val="15"/>
                <w14:textFill>
                  <w14:solidFill>
                    <w14:schemeClr w14:val="tx1"/>
                  </w14:solidFill>
                </w14:textFill>
              </w:rPr>
            </w:pPr>
            <w:r>
              <w:rPr>
                <w:rFonts w:hint="eastAsia" w:ascii="宋体" w:hAnsi="宋体" w:cs="宋体"/>
                <w:color w:val="000000" w:themeColor="text1"/>
                <w:kern w:val="0"/>
                <w:sz w:val="15"/>
                <w:szCs w:val="15"/>
                <w:lang w:bidi="ar"/>
                <w14:textFill>
                  <w14:solidFill>
                    <w14:schemeClr w14:val="tx1"/>
                  </w14:solidFill>
                </w14:textFill>
              </w:rPr>
              <w:t>时效指标</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356AA4F">
            <w:pPr>
              <w:widowControl/>
              <w:jc w:val="left"/>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收到上级拨付资金时限</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ED070F7">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&lt;=30日</w:t>
            </w: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D8A8C85">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=30日</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3DAD86">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5</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436B40B">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5</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1A5AC9D">
            <w:pPr>
              <w:jc w:val="center"/>
              <w:rPr>
                <w:rFonts w:hint="eastAsia" w:ascii="宋体" w:hAnsi="宋体" w:cs="宋体"/>
                <w:color w:val="000000" w:themeColor="text1"/>
                <w:sz w:val="20"/>
                <w:szCs w:val="20"/>
                <w14:textFill>
                  <w14:solidFill>
                    <w14:schemeClr w14:val="tx1"/>
                  </w14:solidFill>
                </w14:textFill>
              </w:rPr>
            </w:pPr>
          </w:p>
        </w:tc>
      </w:tr>
      <w:tr w14:paraId="465938A8">
        <w:tblPrEx>
          <w:tblCellMar>
            <w:top w:w="0" w:type="dxa"/>
            <w:left w:w="0" w:type="dxa"/>
            <w:bottom w:w="0" w:type="dxa"/>
            <w:right w:w="0" w:type="dxa"/>
          </w:tblCellMar>
        </w:tblPrEx>
        <w:trPr>
          <w:trHeight w:val="40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C3C947B">
            <w:pPr>
              <w:jc w:val="center"/>
              <w:rPr>
                <w:rFonts w:hint="eastAsia" w:ascii="宋体" w:hAnsi="宋体" w:cs="宋体"/>
                <w:color w:val="000000" w:themeColor="text1"/>
                <w:sz w:val="16"/>
                <w:szCs w:val="16"/>
                <w14:textFill>
                  <w14:solidFill>
                    <w14:schemeClr w14:val="tx1"/>
                  </w14:solidFill>
                </w14:textFill>
              </w:rPr>
            </w:pPr>
          </w:p>
        </w:tc>
        <w:tc>
          <w:tcPr>
            <w:tcW w:w="7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B18F958">
            <w:pPr>
              <w:jc w:val="center"/>
              <w:rPr>
                <w:rFonts w:hint="eastAsia" w:ascii="宋体" w:hAnsi="宋体" w:cs="宋体"/>
                <w:color w:val="000000" w:themeColor="text1"/>
                <w:sz w:val="16"/>
                <w:szCs w:val="16"/>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8226375">
            <w:pPr>
              <w:widowControl/>
              <w:jc w:val="center"/>
              <w:textAlignment w:val="center"/>
              <w:rPr>
                <w:rFonts w:hint="eastAsia" w:ascii="宋体" w:hAnsi="宋体" w:cs="宋体"/>
                <w:color w:val="000000" w:themeColor="text1"/>
                <w:sz w:val="15"/>
                <w:szCs w:val="15"/>
                <w14:textFill>
                  <w14:solidFill>
                    <w14:schemeClr w14:val="tx1"/>
                  </w14:solidFill>
                </w14:textFill>
              </w:rPr>
            </w:pPr>
            <w:r>
              <w:rPr>
                <w:rFonts w:hint="eastAsia" w:ascii="宋体" w:hAnsi="宋体" w:cs="宋体"/>
                <w:color w:val="000000" w:themeColor="text1"/>
                <w:kern w:val="0"/>
                <w:sz w:val="15"/>
                <w:szCs w:val="15"/>
                <w:lang w:bidi="ar"/>
                <w14:textFill>
                  <w14:solidFill>
                    <w14:schemeClr w14:val="tx1"/>
                  </w14:solidFill>
                </w14:textFill>
              </w:rPr>
              <w:t>时效指标</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3A4E6C13">
            <w:pPr>
              <w:widowControl/>
              <w:jc w:val="left"/>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上级资金拨付及时率</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D94F64F">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6BA13A3">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=100%</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B900D16">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5</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052D9A9">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5</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5750BFA">
            <w:pPr>
              <w:jc w:val="center"/>
              <w:rPr>
                <w:rFonts w:hint="eastAsia" w:ascii="宋体" w:hAnsi="宋体" w:cs="宋体"/>
                <w:color w:val="000000" w:themeColor="text1"/>
                <w:sz w:val="20"/>
                <w:szCs w:val="20"/>
                <w14:textFill>
                  <w14:solidFill>
                    <w14:schemeClr w14:val="tx1"/>
                  </w14:solidFill>
                </w14:textFill>
              </w:rPr>
            </w:pPr>
          </w:p>
        </w:tc>
      </w:tr>
      <w:tr w14:paraId="6E48395A">
        <w:tblPrEx>
          <w:tblCellMar>
            <w:top w:w="0" w:type="dxa"/>
            <w:left w:w="0" w:type="dxa"/>
            <w:bottom w:w="0" w:type="dxa"/>
            <w:right w:w="0" w:type="dxa"/>
          </w:tblCellMar>
        </w:tblPrEx>
        <w:trPr>
          <w:trHeight w:val="40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7DF5FC4">
            <w:pPr>
              <w:jc w:val="center"/>
              <w:rPr>
                <w:rFonts w:hint="eastAsia" w:ascii="宋体" w:hAnsi="宋体" w:cs="宋体"/>
                <w:color w:val="000000" w:themeColor="text1"/>
                <w:sz w:val="16"/>
                <w:szCs w:val="16"/>
                <w14:textFill>
                  <w14:solidFill>
                    <w14:schemeClr w14:val="tx1"/>
                  </w14:solidFill>
                </w14:textFill>
              </w:rPr>
            </w:pP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9E121">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成本指标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BEEA3A7">
            <w:pPr>
              <w:widowControl/>
              <w:jc w:val="center"/>
              <w:textAlignment w:val="center"/>
              <w:rPr>
                <w:rFonts w:hint="eastAsia" w:ascii="宋体" w:hAnsi="宋体" w:cs="宋体"/>
                <w:color w:val="000000" w:themeColor="text1"/>
                <w:sz w:val="15"/>
                <w:szCs w:val="15"/>
                <w14:textFill>
                  <w14:solidFill>
                    <w14:schemeClr w14:val="tx1"/>
                  </w14:solidFill>
                </w14:textFill>
              </w:rPr>
            </w:pPr>
            <w:r>
              <w:rPr>
                <w:rFonts w:hint="eastAsia" w:ascii="宋体" w:hAnsi="宋体" w:cs="宋体"/>
                <w:color w:val="000000" w:themeColor="text1"/>
                <w:kern w:val="0"/>
                <w:sz w:val="15"/>
                <w:szCs w:val="15"/>
                <w:lang w:bidi="ar"/>
                <w14:textFill>
                  <w14:solidFill>
                    <w14:schemeClr w14:val="tx1"/>
                  </w14:solidFill>
                </w14:textFill>
              </w:rPr>
              <w:t>经济成本指标</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D091077">
            <w:pPr>
              <w:widowControl/>
              <w:jc w:val="left"/>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预算项目资金执行率</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FC9740E">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&lt;=100%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761A38">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=100%</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3D8CE15">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20</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66B94B">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20</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2DF5EE5">
            <w:pPr>
              <w:jc w:val="center"/>
              <w:rPr>
                <w:rFonts w:hint="eastAsia" w:ascii="宋体" w:hAnsi="宋体" w:cs="宋体"/>
                <w:color w:val="000000" w:themeColor="text1"/>
                <w:sz w:val="20"/>
                <w:szCs w:val="20"/>
                <w14:textFill>
                  <w14:solidFill>
                    <w14:schemeClr w14:val="tx1"/>
                  </w14:solidFill>
                </w14:textFill>
              </w:rPr>
            </w:pPr>
          </w:p>
        </w:tc>
      </w:tr>
      <w:tr w14:paraId="5F51ECA4">
        <w:tblPrEx>
          <w:tblCellMar>
            <w:top w:w="0" w:type="dxa"/>
            <w:left w:w="0" w:type="dxa"/>
            <w:bottom w:w="0" w:type="dxa"/>
            <w:right w:w="0" w:type="dxa"/>
          </w:tblCellMar>
        </w:tblPrEx>
        <w:trPr>
          <w:trHeight w:val="40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3CD1A71">
            <w:pPr>
              <w:jc w:val="center"/>
              <w:rPr>
                <w:rFonts w:hint="eastAsia" w:ascii="宋体" w:hAnsi="宋体" w:cs="宋体"/>
                <w:color w:val="000000" w:themeColor="text1"/>
                <w:sz w:val="16"/>
                <w:szCs w:val="16"/>
                <w14:textFill>
                  <w14:solidFill>
                    <w14:schemeClr w14:val="tx1"/>
                  </w14:solidFill>
                </w14:textFill>
              </w:rPr>
            </w:pPr>
          </w:p>
        </w:tc>
        <w:tc>
          <w:tcPr>
            <w:tcW w:w="721"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E7C5EDB">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效益指标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44FD06D">
            <w:pPr>
              <w:widowControl/>
              <w:jc w:val="center"/>
              <w:textAlignment w:val="center"/>
              <w:rPr>
                <w:rFonts w:hint="eastAsia" w:ascii="宋体" w:hAnsi="宋体" w:cs="宋体"/>
                <w:color w:val="000000" w:themeColor="text1"/>
                <w:sz w:val="15"/>
                <w:szCs w:val="15"/>
                <w14:textFill>
                  <w14:solidFill>
                    <w14:schemeClr w14:val="tx1"/>
                  </w14:solidFill>
                </w14:textFill>
              </w:rPr>
            </w:pPr>
            <w:r>
              <w:rPr>
                <w:rFonts w:hint="eastAsia" w:ascii="宋体" w:hAnsi="宋体" w:cs="宋体"/>
                <w:color w:val="000000" w:themeColor="text1"/>
                <w:kern w:val="0"/>
                <w:sz w:val="15"/>
                <w:szCs w:val="15"/>
                <w:lang w:bidi="ar"/>
                <w14:textFill>
                  <w14:solidFill>
                    <w14:schemeClr w14:val="tx1"/>
                  </w14:solidFill>
                </w14:textFill>
              </w:rPr>
              <w:t>经济效益指标</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54FBA968">
            <w:pPr>
              <w:widowControl/>
              <w:jc w:val="left"/>
              <w:textAlignment w:val="center"/>
              <w:rPr>
                <w:rFonts w:hint="eastAsia" w:ascii="宋体" w:hAnsi="宋体" w:cs="宋体"/>
                <w:color w:val="000000" w:themeColor="text1"/>
                <w:sz w:val="15"/>
                <w:szCs w:val="15"/>
                <w14:textFill>
                  <w14:solidFill>
                    <w14:schemeClr w14:val="tx1"/>
                  </w14:solidFill>
                </w14:textFill>
              </w:rPr>
            </w:pPr>
            <w:r>
              <w:rPr>
                <w:rFonts w:hint="eastAsia" w:ascii="宋体" w:hAnsi="宋体" w:cs="宋体"/>
                <w:color w:val="000000" w:themeColor="text1"/>
                <w:kern w:val="0"/>
                <w:sz w:val="15"/>
                <w:szCs w:val="15"/>
                <w:lang w:bidi="ar"/>
                <w14:textFill>
                  <w14:solidFill>
                    <w14:schemeClr w14:val="tx1"/>
                  </w14:solidFill>
                </w14:textFill>
              </w:rPr>
              <w:t>促进企业增收</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9EE361">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有效促进</w:t>
            </w: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85EFF5">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有效促进</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C535D2C">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52A52A6">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53B19946">
            <w:pPr>
              <w:jc w:val="center"/>
              <w:rPr>
                <w:rFonts w:hint="eastAsia" w:ascii="宋体" w:hAnsi="宋体" w:cs="宋体"/>
                <w:color w:val="000000" w:themeColor="text1"/>
                <w:sz w:val="20"/>
                <w:szCs w:val="20"/>
                <w14:textFill>
                  <w14:solidFill>
                    <w14:schemeClr w14:val="tx1"/>
                  </w14:solidFill>
                </w14:textFill>
              </w:rPr>
            </w:pPr>
          </w:p>
        </w:tc>
      </w:tr>
      <w:tr w14:paraId="13902F53">
        <w:tblPrEx>
          <w:tblCellMar>
            <w:top w:w="0" w:type="dxa"/>
            <w:left w:w="0" w:type="dxa"/>
            <w:bottom w:w="0" w:type="dxa"/>
            <w:right w:w="0" w:type="dxa"/>
          </w:tblCellMar>
        </w:tblPrEx>
        <w:trPr>
          <w:trHeight w:val="400"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4F04417">
            <w:pPr>
              <w:jc w:val="center"/>
              <w:rPr>
                <w:rFonts w:hint="eastAsia" w:ascii="宋体" w:hAnsi="宋体" w:cs="宋体"/>
                <w:color w:val="000000" w:themeColor="text1"/>
                <w:sz w:val="16"/>
                <w:szCs w:val="16"/>
                <w14:textFill>
                  <w14:solidFill>
                    <w14:schemeClr w14:val="tx1"/>
                  </w14:solidFill>
                </w14:textFill>
              </w:rPr>
            </w:pPr>
          </w:p>
        </w:tc>
        <w:tc>
          <w:tcPr>
            <w:tcW w:w="721"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0711180">
            <w:pPr>
              <w:jc w:val="center"/>
              <w:rPr>
                <w:rFonts w:hint="eastAsia" w:ascii="宋体" w:hAnsi="宋体" w:cs="宋体"/>
                <w:color w:val="000000" w:themeColor="text1"/>
                <w:sz w:val="16"/>
                <w:szCs w:val="16"/>
                <w14:textFill>
                  <w14:solidFill>
                    <w14:schemeClr w14:val="tx1"/>
                  </w14:solidFill>
                </w14:textFill>
              </w:rPr>
            </w:pP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CB951F6">
            <w:pPr>
              <w:widowControl/>
              <w:jc w:val="center"/>
              <w:textAlignment w:val="center"/>
              <w:rPr>
                <w:rFonts w:hint="eastAsia" w:ascii="宋体" w:hAnsi="宋体" w:cs="宋体"/>
                <w:color w:val="000000" w:themeColor="text1"/>
                <w:sz w:val="15"/>
                <w:szCs w:val="15"/>
                <w14:textFill>
                  <w14:solidFill>
                    <w14:schemeClr w14:val="tx1"/>
                  </w14:solidFill>
                </w14:textFill>
              </w:rPr>
            </w:pPr>
            <w:r>
              <w:rPr>
                <w:rFonts w:hint="eastAsia" w:ascii="宋体" w:hAnsi="宋体" w:cs="宋体"/>
                <w:color w:val="000000" w:themeColor="text1"/>
                <w:kern w:val="0"/>
                <w:sz w:val="15"/>
                <w:szCs w:val="15"/>
                <w:lang w:bidi="ar"/>
                <w14:textFill>
                  <w14:solidFill>
                    <w14:schemeClr w14:val="tx1"/>
                  </w14:solidFill>
                </w14:textFill>
              </w:rPr>
              <w:t>社会效益指标</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2C8A2AF4">
            <w:pPr>
              <w:widowControl/>
              <w:jc w:val="left"/>
              <w:textAlignment w:val="center"/>
              <w:rPr>
                <w:rFonts w:hint="eastAsia" w:ascii="宋体" w:hAnsi="宋体" w:cs="宋体"/>
                <w:color w:val="000000" w:themeColor="text1"/>
                <w:sz w:val="15"/>
                <w:szCs w:val="15"/>
                <w14:textFill>
                  <w14:solidFill>
                    <w14:schemeClr w14:val="tx1"/>
                  </w14:solidFill>
                </w14:textFill>
              </w:rPr>
            </w:pPr>
            <w:r>
              <w:rPr>
                <w:rFonts w:hint="eastAsia" w:ascii="宋体" w:hAnsi="宋体" w:cs="宋体"/>
                <w:color w:val="000000" w:themeColor="text1"/>
                <w:kern w:val="0"/>
                <w:sz w:val="15"/>
                <w:szCs w:val="15"/>
                <w:lang w:bidi="ar"/>
                <w14:textFill>
                  <w14:solidFill>
                    <w14:schemeClr w14:val="tx1"/>
                  </w14:solidFill>
                </w14:textFill>
              </w:rPr>
              <w:t>民贸民品企业带动当地就业人数</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4B9E8B49">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&gt;=30人</w:t>
            </w: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C5255A6">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=30人</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AC8AE3">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F58E82C">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CFEBA7">
            <w:pPr>
              <w:jc w:val="center"/>
              <w:rPr>
                <w:rFonts w:hint="eastAsia" w:ascii="宋体" w:hAnsi="宋体" w:cs="宋体"/>
                <w:color w:val="000000" w:themeColor="text1"/>
                <w:sz w:val="20"/>
                <w:szCs w:val="20"/>
                <w14:textFill>
                  <w14:solidFill>
                    <w14:schemeClr w14:val="tx1"/>
                  </w14:solidFill>
                </w14:textFill>
              </w:rPr>
            </w:pPr>
          </w:p>
        </w:tc>
      </w:tr>
      <w:tr w14:paraId="6F80A2C5">
        <w:tblPrEx>
          <w:tblCellMar>
            <w:top w:w="0" w:type="dxa"/>
            <w:left w:w="0" w:type="dxa"/>
            <w:bottom w:w="0" w:type="dxa"/>
            <w:right w:w="0" w:type="dxa"/>
          </w:tblCellMar>
        </w:tblPrEx>
        <w:trPr>
          <w:trHeight w:val="539" w:hRule="atLeast"/>
        </w:trPr>
        <w:tc>
          <w:tcPr>
            <w:tcW w:w="657"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D744BD6">
            <w:pPr>
              <w:jc w:val="center"/>
              <w:rPr>
                <w:rFonts w:hint="eastAsia" w:ascii="宋体" w:hAnsi="宋体" w:cs="宋体"/>
                <w:color w:val="000000" w:themeColor="text1"/>
                <w:sz w:val="16"/>
                <w:szCs w:val="16"/>
                <w14:textFill>
                  <w14:solidFill>
                    <w14:schemeClr w14:val="tx1"/>
                  </w14:solidFill>
                </w14:textFill>
              </w:rPr>
            </w:pPr>
          </w:p>
        </w:tc>
        <w:tc>
          <w:tcPr>
            <w:tcW w:w="72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8E0B90">
            <w:pPr>
              <w:widowControl/>
              <w:jc w:val="center"/>
              <w:textAlignment w:val="center"/>
              <w:rPr>
                <w:rFonts w:hint="eastAsia" w:ascii="宋体" w:hAnsi="宋体" w:cs="宋体"/>
                <w:color w:val="000000" w:themeColor="text1"/>
                <w:sz w:val="16"/>
                <w:szCs w:val="16"/>
                <w14:textFill>
                  <w14:solidFill>
                    <w14:schemeClr w14:val="tx1"/>
                  </w14:solidFill>
                </w14:textFill>
              </w:rPr>
            </w:pPr>
            <w:r>
              <w:rPr>
                <w:rFonts w:hint="eastAsia" w:ascii="宋体" w:hAnsi="宋体" w:cs="宋体"/>
                <w:color w:val="000000" w:themeColor="text1"/>
                <w:kern w:val="0"/>
                <w:sz w:val="16"/>
                <w:szCs w:val="16"/>
                <w:lang w:bidi="ar"/>
                <w14:textFill>
                  <w14:solidFill>
                    <w14:schemeClr w14:val="tx1"/>
                  </w14:solidFill>
                </w14:textFill>
              </w:rPr>
              <w:t>满意度指标</w:t>
            </w:r>
          </w:p>
        </w:tc>
        <w:tc>
          <w:tcPr>
            <w:tcW w:w="75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5E5D58">
            <w:pPr>
              <w:widowControl/>
              <w:jc w:val="center"/>
              <w:textAlignment w:val="center"/>
              <w:rPr>
                <w:rFonts w:hint="eastAsia" w:ascii="宋体" w:hAnsi="宋体" w:cs="宋体"/>
                <w:color w:val="000000" w:themeColor="text1"/>
                <w:sz w:val="15"/>
                <w:szCs w:val="15"/>
                <w14:textFill>
                  <w14:solidFill>
                    <w14:schemeClr w14:val="tx1"/>
                  </w14:solidFill>
                </w14:textFill>
              </w:rPr>
            </w:pPr>
            <w:r>
              <w:rPr>
                <w:rFonts w:hint="eastAsia" w:ascii="宋体" w:hAnsi="宋体" w:cs="宋体"/>
                <w:color w:val="000000" w:themeColor="text1"/>
                <w:kern w:val="0"/>
                <w:sz w:val="15"/>
                <w:szCs w:val="15"/>
                <w:lang w:bidi="ar"/>
                <w14:textFill>
                  <w14:solidFill>
                    <w14:schemeClr w14:val="tx1"/>
                  </w14:solidFill>
                </w14:textFill>
              </w:rPr>
              <w:t>满意度指标</w:t>
            </w:r>
          </w:p>
        </w:tc>
        <w:tc>
          <w:tcPr>
            <w:tcW w:w="1626"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14:paraId="6C2FBE20">
            <w:pPr>
              <w:widowControl/>
              <w:jc w:val="left"/>
              <w:textAlignment w:val="center"/>
              <w:rPr>
                <w:rFonts w:hint="eastAsia" w:ascii="宋体" w:hAnsi="宋体" w:cs="宋体"/>
                <w:color w:val="000000" w:themeColor="text1"/>
                <w:sz w:val="15"/>
                <w:szCs w:val="15"/>
                <w14:textFill>
                  <w14:solidFill>
                    <w14:schemeClr w14:val="tx1"/>
                  </w14:solidFill>
                </w14:textFill>
              </w:rPr>
            </w:pPr>
            <w:r>
              <w:rPr>
                <w:rFonts w:hint="eastAsia" w:ascii="宋体" w:hAnsi="宋体" w:cs="宋体"/>
                <w:color w:val="000000" w:themeColor="text1"/>
                <w:kern w:val="0"/>
                <w:sz w:val="15"/>
                <w:szCs w:val="15"/>
                <w:lang w:bidi="ar"/>
                <w14:textFill>
                  <w14:solidFill>
                    <w14:schemeClr w14:val="tx1"/>
                  </w14:solidFill>
                </w14:textFill>
              </w:rPr>
              <w:t>申报贴息资金企业满意度</w:t>
            </w:r>
          </w:p>
        </w:tc>
        <w:tc>
          <w:tcPr>
            <w:tcW w:w="9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7E9DC490">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&gt;=90%</w:t>
            </w:r>
          </w:p>
        </w:tc>
        <w:tc>
          <w:tcPr>
            <w:tcW w:w="817"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058ABABB">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=90%</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62A597F">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1B83482">
            <w:pPr>
              <w:widowControl/>
              <w:jc w:val="center"/>
              <w:textAlignment w:val="center"/>
              <w:rPr>
                <w:rFonts w:hint="eastAsia" w:ascii="宋体" w:hAnsi="宋体" w:cs="宋体"/>
                <w:color w:val="000000" w:themeColor="text1"/>
                <w:sz w:val="18"/>
                <w:szCs w:val="18"/>
                <w14:textFill>
                  <w14:solidFill>
                    <w14:schemeClr w14:val="tx1"/>
                  </w14:solidFill>
                </w14:textFill>
              </w:rPr>
            </w:pPr>
            <w:r>
              <w:rPr>
                <w:rFonts w:hint="eastAsia" w:ascii="宋体" w:hAnsi="宋体" w:cs="宋体"/>
                <w:color w:val="000000" w:themeColor="text1"/>
                <w:kern w:val="0"/>
                <w:sz w:val="18"/>
                <w:szCs w:val="18"/>
                <w:lang w:bidi="ar"/>
                <w14:textFill>
                  <w14:solidFill>
                    <w14:schemeClr w14:val="tx1"/>
                  </w14:solidFill>
                </w14:textFill>
              </w:rPr>
              <w:t>10</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2C30AC2">
            <w:pPr>
              <w:jc w:val="center"/>
              <w:rPr>
                <w:rFonts w:hint="eastAsia" w:ascii="宋体" w:hAnsi="宋体" w:cs="宋体"/>
                <w:color w:val="000000" w:themeColor="text1"/>
                <w:sz w:val="20"/>
                <w:szCs w:val="20"/>
                <w14:textFill>
                  <w14:solidFill>
                    <w14:schemeClr w14:val="tx1"/>
                  </w14:solidFill>
                </w14:textFill>
              </w:rPr>
            </w:pPr>
          </w:p>
        </w:tc>
      </w:tr>
      <w:tr w14:paraId="044ADBA8">
        <w:tblPrEx>
          <w:tblCellMar>
            <w:top w:w="0" w:type="dxa"/>
            <w:left w:w="0" w:type="dxa"/>
            <w:bottom w:w="0" w:type="dxa"/>
            <w:right w:w="0" w:type="dxa"/>
          </w:tblCellMar>
        </w:tblPrEx>
        <w:trPr>
          <w:trHeight w:val="270" w:hRule="atLeast"/>
        </w:trPr>
        <w:tc>
          <w:tcPr>
            <w:tcW w:w="5488"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34F147CB">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总分</w:t>
            </w:r>
          </w:p>
        </w:tc>
        <w:tc>
          <w:tcPr>
            <w:tcW w:w="10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275C03B3">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918"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1006B269">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100.00分</w:t>
            </w:r>
          </w:p>
        </w:tc>
        <w:tc>
          <w:tcPr>
            <w:tcW w:w="1093"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14:paraId="6BF72B73">
            <w:pPr>
              <w:jc w:val="center"/>
              <w:rPr>
                <w:rFonts w:hint="eastAsia" w:ascii="宋体" w:hAnsi="宋体" w:cs="宋体"/>
                <w:color w:val="000000" w:themeColor="text1"/>
                <w:sz w:val="20"/>
                <w:szCs w:val="20"/>
                <w14:textFill>
                  <w14:solidFill>
                    <w14:schemeClr w14:val="tx1"/>
                  </w14:solidFill>
                </w14:textFill>
              </w:rPr>
            </w:pPr>
          </w:p>
        </w:tc>
      </w:tr>
    </w:tbl>
    <w:p w14:paraId="46D97FB1">
      <w:pPr>
        <w:pStyle w:val="2"/>
        <w:jc w:val="both"/>
        <w:rPr>
          <w:rFonts w:ascii="Times New Roman" w:hAnsi="Times New Roman"/>
          <w:color w:val="000000" w:themeColor="text1"/>
          <w14:textFill>
            <w14:solidFill>
              <w14:schemeClr w14:val="tx1"/>
            </w14:solidFill>
          </w14:textFill>
        </w:rPr>
        <w:sectPr>
          <w:pgSz w:w="11906" w:h="16838"/>
          <w:pgMar w:top="1440" w:right="1558" w:bottom="1440" w:left="1800" w:header="851" w:footer="992" w:gutter="0"/>
          <w:cols w:space="425" w:num="1"/>
          <w:docGrid w:type="lines" w:linePitch="312" w:charSpace="0"/>
        </w:sectPr>
      </w:pPr>
    </w:p>
    <w:p w14:paraId="210483F7">
      <w:pPr>
        <w:spacing w:line="600" w:lineRule="exact"/>
        <w:rPr>
          <w:rFonts w:hint="eastAsia" w:ascii="黑体" w:hAnsi="黑体" w:eastAsia="黑体" w:cs="黑体"/>
          <w:color w:val="000000" w:themeColor="text1"/>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附件1</w:t>
      </w:r>
    </w:p>
    <w:p w14:paraId="45476C54">
      <w:pPr>
        <w:pStyle w:val="19"/>
        <w:ind w:firstLine="562"/>
        <w:jc w:val="center"/>
        <w:rPr>
          <w:color w:val="000000" w:themeColor="text1"/>
          <w:sz w:val="28"/>
          <w:szCs w:val="40"/>
          <w14:textFill>
            <w14:solidFill>
              <w14:schemeClr w14:val="tx1"/>
            </w14:solidFill>
          </w14:textFill>
        </w:rPr>
      </w:pPr>
      <w:bookmarkStart w:id="7" w:name="_Toc30064_WPSOffice_Level1"/>
      <w:bookmarkStart w:id="8" w:name="_Toc26499_WPSOffice_Level2"/>
      <w:r>
        <w:rPr>
          <w:rFonts w:hint="eastAsia"/>
          <w:b/>
          <w:bCs/>
          <w:color w:val="000000" w:themeColor="text1"/>
          <w:sz w:val="28"/>
          <w:szCs w:val="40"/>
          <w14:textFill>
            <w14:solidFill>
              <w14:schemeClr w14:val="tx1"/>
            </w14:solidFill>
          </w14:textFill>
        </w:rPr>
        <w:t>民族贸易和民族特需商品生产企业贷款贴息绩效评价指标体系及综合评分表</w:t>
      </w:r>
      <w:bookmarkEnd w:id="7"/>
      <w:bookmarkEnd w:id="8"/>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146F35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6013A4EF">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一级指标</w:t>
            </w:r>
          </w:p>
        </w:tc>
        <w:tc>
          <w:tcPr>
            <w:tcW w:w="764" w:type="dxa"/>
            <w:shd w:val="clear" w:color="auto" w:fill="FFFFFF"/>
            <w:vAlign w:val="center"/>
          </w:tcPr>
          <w:p w14:paraId="6CAB5D88">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二级指标</w:t>
            </w:r>
          </w:p>
        </w:tc>
        <w:tc>
          <w:tcPr>
            <w:tcW w:w="873" w:type="dxa"/>
            <w:shd w:val="clear" w:color="auto" w:fill="FFFFFF"/>
            <w:vAlign w:val="center"/>
          </w:tcPr>
          <w:p w14:paraId="05301C27">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三级指标</w:t>
            </w:r>
          </w:p>
        </w:tc>
        <w:tc>
          <w:tcPr>
            <w:tcW w:w="2353" w:type="dxa"/>
            <w:shd w:val="clear" w:color="auto" w:fill="FFFFFF"/>
            <w:vAlign w:val="center"/>
          </w:tcPr>
          <w:p w14:paraId="21B4AD75">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指标解释</w:t>
            </w:r>
          </w:p>
        </w:tc>
        <w:tc>
          <w:tcPr>
            <w:tcW w:w="5198" w:type="dxa"/>
            <w:shd w:val="clear" w:color="auto" w:fill="FFFFFF"/>
            <w:vAlign w:val="center"/>
          </w:tcPr>
          <w:p w14:paraId="2B6F1834">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指标说明</w:t>
            </w:r>
          </w:p>
        </w:tc>
        <w:tc>
          <w:tcPr>
            <w:tcW w:w="1300" w:type="dxa"/>
            <w:shd w:val="clear" w:color="auto" w:fill="FFFFFF"/>
            <w:vAlign w:val="center"/>
          </w:tcPr>
          <w:p w14:paraId="60004D4B">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权重</w:t>
            </w:r>
          </w:p>
        </w:tc>
        <w:tc>
          <w:tcPr>
            <w:tcW w:w="1363" w:type="dxa"/>
            <w:shd w:val="clear" w:color="auto" w:fill="FFFFFF"/>
            <w:vAlign w:val="center"/>
          </w:tcPr>
          <w:p w14:paraId="06A21E40">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得分</w:t>
            </w:r>
          </w:p>
        </w:tc>
      </w:tr>
      <w:tr w14:paraId="76E536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0959997C">
            <w:pPr>
              <w:widowControl/>
              <w:spacing w:line="0" w:lineRule="atLeast"/>
              <w:jc w:val="center"/>
              <w:rPr>
                <w:color w:val="000000" w:themeColor="text1"/>
                <w:kern w:val="0"/>
                <w:sz w:val="22"/>
                <w:szCs w:val="22"/>
                <w14:textFill>
                  <w14:solidFill>
                    <w14:schemeClr w14:val="tx1"/>
                  </w14:solidFill>
                </w14:textFill>
              </w:rPr>
            </w:pPr>
          </w:p>
          <w:p w14:paraId="4D61F25A">
            <w:pPr>
              <w:widowControl/>
              <w:spacing w:line="0" w:lineRule="atLeast"/>
              <w:jc w:val="center"/>
              <w:rPr>
                <w:color w:val="000000" w:themeColor="text1"/>
                <w:kern w:val="0"/>
                <w:sz w:val="22"/>
                <w:szCs w:val="22"/>
                <w14:textFill>
                  <w14:solidFill>
                    <w14:schemeClr w14:val="tx1"/>
                  </w14:solidFill>
                </w14:textFill>
              </w:rPr>
            </w:pPr>
          </w:p>
          <w:p w14:paraId="419B4B66">
            <w:pPr>
              <w:widowControl/>
              <w:spacing w:line="0" w:lineRule="atLeast"/>
              <w:jc w:val="center"/>
              <w:rPr>
                <w:color w:val="000000" w:themeColor="text1"/>
                <w:kern w:val="0"/>
                <w:sz w:val="22"/>
                <w:szCs w:val="22"/>
                <w14:textFill>
                  <w14:solidFill>
                    <w14:schemeClr w14:val="tx1"/>
                  </w14:solidFill>
                </w14:textFill>
              </w:rPr>
            </w:pPr>
          </w:p>
          <w:p w14:paraId="7DA866B0">
            <w:pPr>
              <w:widowControl/>
              <w:spacing w:line="0" w:lineRule="atLeast"/>
              <w:jc w:val="center"/>
              <w:rPr>
                <w:color w:val="000000" w:themeColor="text1"/>
                <w:kern w:val="0"/>
                <w:sz w:val="22"/>
                <w:szCs w:val="22"/>
                <w14:textFill>
                  <w14:solidFill>
                    <w14:schemeClr w14:val="tx1"/>
                  </w14:solidFill>
                </w14:textFill>
              </w:rPr>
            </w:pPr>
          </w:p>
          <w:p w14:paraId="40785796">
            <w:pPr>
              <w:widowControl/>
              <w:spacing w:line="0" w:lineRule="atLeast"/>
              <w:jc w:val="center"/>
              <w:rPr>
                <w:color w:val="000000" w:themeColor="text1"/>
                <w:kern w:val="0"/>
                <w:sz w:val="22"/>
                <w:szCs w:val="22"/>
                <w14:textFill>
                  <w14:solidFill>
                    <w14:schemeClr w14:val="tx1"/>
                  </w14:solidFill>
                </w14:textFill>
              </w:rPr>
            </w:pPr>
          </w:p>
          <w:p w14:paraId="63C4F3D3">
            <w:pPr>
              <w:widowControl/>
              <w:spacing w:line="0" w:lineRule="atLeast"/>
              <w:jc w:val="center"/>
              <w:rPr>
                <w:color w:val="000000" w:themeColor="text1"/>
                <w:kern w:val="0"/>
                <w:sz w:val="22"/>
                <w:szCs w:val="22"/>
                <w14:textFill>
                  <w14:solidFill>
                    <w14:schemeClr w14:val="tx1"/>
                  </w14:solidFill>
                </w14:textFill>
              </w:rPr>
            </w:pPr>
          </w:p>
          <w:p w14:paraId="15CAD9CB">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决策　</w:t>
            </w:r>
          </w:p>
        </w:tc>
        <w:tc>
          <w:tcPr>
            <w:tcW w:w="764" w:type="dxa"/>
            <w:vMerge w:val="restart"/>
            <w:shd w:val="clear" w:color="auto" w:fill="FFFFFF"/>
            <w:vAlign w:val="center"/>
          </w:tcPr>
          <w:p w14:paraId="2212090E">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项目立项　</w:t>
            </w:r>
          </w:p>
        </w:tc>
        <w:tc>
          <w:tcPr>
            <w:tcW w:w="873" w:type="dxa"/>
            <w:shd w:val="clear" w:color="auto" w:fill="FFFFFF"/>
            <w:vAlign w:val="center"/>
          </w:tcPr>
          <w:p w14:paraId="28F21C6E">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立项依据</w:t>
            </w:r>
          </w:p>
          <w:p w14:paraId="6B39603B">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充分性</w:t>
            </w:r>
          </w:p>
        </w:tc>
        <w:tc>
          <w:tcPr>
            <w:tcW w:w="2353" w:type="dxa"/>
            <w:shd w:val="clear" w:color="auto" w:fill="FFFFFF"/>
            <w:vAlign w:val="center"/>
          </w:tcPr>
          <w:p w14:paraId="132DA116">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项目立项是否符合法律法规、相关政策、发展规划以及部门职责，用以反映和考核项目立项依据情况。</w:t>
            </w:r>
          </w:p>
        </w:tc>
        <w:tc>
          <w:tcPr>
            <w:tcW w:w="5198" w:type="dxa"/>
            <w:shd w:val="clear" w:color="auto" w:fill="FFFFFF"/>
            <w:vAlign w:val="center"/>
          </w:tcPr>
          <w:p w14:paraId="588980F6">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①项目立项是否符合国家法律法规、国民经济发展规划和相关政策；</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②项目立项是否符合行业发展规划和政策要求；</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③项目立项是否与部门职责范围相符，属于部门履职所需；</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④项目是否属于公共财政支持范围，是否符合中央、地方事权支出责任划分原则；</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⑤项目是否与相关部门同类项目或部门内部相关项目重复。</w:t>
            </w:r>
          </w:p>
        </w:tc>
        <w:tc>
          <w:tcPr>
            <w:tcW w:w="1300" w:type="dxa"/>
            <w:shd w:val="clear" w:color="auto" w:fill="FFFFFF"/>
            <w:vAlign w:val="center"/>
          </w:tcPr>
          <w:p w14:paraId="2E255182">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3" w:type="dxa"/>
            <w:shd w:val="clear" w:color="auto" w:fill="FFFFFF"/>
            <w:vAlign w:val="center"/>
          </w:tcPr>
          <w:p w14:paraId="68B4B088">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r>
      <w:tr w14:paraId="3A3558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5259AECE">
            <w:pPr>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14:paraId="5593FE8F">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14:paraId="2999991B">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立项程序</w:t>
            </w:r>
          </w:p>
          <w:p w14:paraId="04935C88">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规范性</w:t>
            </w:r>
          </w:p>
        </w:tc>
        <w:tc>
          <w:tcPr>
            <w:tcW w:w="2353" w:type="dxa"/>
            <w:shd w:val="clear" w:color="auto" w:fill="FFFFFF"/>
            <w:vAlign w:val="center"/>
          </w:tcPr>
          <w:p w14:paraId="245177F8">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项目申请、设立过程是否符合相关要求，用以反映和考核项目立项的规范情况。</w:t>
            </w:r>
          </w:p>
        </w:tc>
        <w:tc>
          <w:tcPr>
            <w:tcW w:w="5198" w:type="dxa"/>
            <w:shd w:val="clear" w:color="auto" w:fill="FFFFFF"/>
            <w:vAlign w:val="center"/>
          </w:tcPr>
          <w:p w14:paraId="64741F29">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①项目是否按照规定的程序申请设立；</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②审批文件、材料是否符合相关要求；</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③事前是否已经过必要的可行性研究、专家论证、风险评估、绩效评估、集体决策。</w:t>
            </w:r>
          </w:p>
        </w:tc>
        <w:tc>
          <w:tcPr>
            <w:tcW w:w="1300" w:type="dxa"/>
            <w:shd w:val="clear" w:color="auto" w:fill="FFFFFF"/>
            <w:vAlign w:val="center"/>
          </w:tcPr>
          <w:p w14:paraId="55DC5F54">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3" w:type="dxa"/>
            <w:shd w:val="clear" w:color="auto" w:fill="FFFFFF"/>
            <w:vAlign w:val="center"/>
          </w:tcPr>
          <w:p w14:paraId="024207E4">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r>
      <w:tr w14:paraId="2CB02D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2B89245E">
            <w:pPr>
              <w:spacing w:line="0" w:lineRule="atLeast"/>
              <w:jc w:val="center"/>
              <w:rPr>
                <w:color w:val="000000" w:themeColor="text1"/>
                <w:kern w:val="0"/>
                <w:sz w:val="22"/>
                <w:szCs w:val="22"/>
                <w14:textFill>
                  <w14:solidFill>
                    <w14:schemeClr w14:val="tx1"/>
                  </w14:solidFill>
                </w14:textFill>
              </w:rPr>
            </w:pPr>
          </w:p>
        </w:tc>
        <w:tc>
          <w:tcPr>
            <w:tcW w:w="764" w:type="dxa"/>
            <w:vMerge w:val="restart"/>
            <w:shd w:val="clear" w:color="auto" w:fill="FFFFFF"/>
            <w:vAlign w:val="center"/>
          </w:tcPr>
          <w:p w14:paraId="474502F0">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绩效目标　</w:t>
            </w:r>
          </w:p>
        </w:tc>
        <w:tc>
          <w:tcPr>
            <w:tcW w:w="873" w:type="dxa"/>
            <w:shd w:val="clear" w:color="auto" w:fill="FFFFFF"/>
            <w:vAlign w:val="center"/>
          </w:tcPr>
          <w:p w14:paraId="3D8E9465">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绩效目标</w:t>
            </w:r>
          </w:p>
          <w:p w14:paraId="21DFAD0D">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合理性</w:t>
            </w:r>
          </w:p>
        </w:tc>
        <w:tc>
          <w:tcPr>
            <w:tcW w:w="2353" w:type="dxa"/>
            <w:shd w:val="clear" w:color="000000" w:fill="FFFFFF"/>
            <w:vAlign w:val="center"/>
          </w:tcPr>
          <w:p w14:paraId="1CFE94B5">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项目所设定的绩效目标是否依据充分，是否符合客观实际，用以反映和考核项目绩效目标与项目实施的相符情况。</w:t>
            </w:r>
          </w:p>
        </w:tc>
        <w:tc>
          <w:tcPr>
            <w:tcW w:w="5198" w:type="dxa"/>
            <w:shd w:val="clear" w:color="000000" w:fill="FFFFFF"/>
            <w:vAlign w:val="center"/>
          </w:tcPr>
          <w:p w14:paraId="6D9B9415">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（如未设定预算绩效目标，也可考核其他工作任务目标）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①项目是否有绩效目标；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②项目绩效目标与实际工作内容是否具有相关性；</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③项目预期产出效益和效果是否符合正常的业绩水平；</w:t>
            </w:r>
          </w:p>
          <w:p w14:paraId="048CC98B">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④是否与预算确定的项目投资额或资金量相匹配。</w:t>
            </w:r>
          </w:p>
        </w:tc>
        <w:tc>
          <w:tcPr>
            <w:tcW w:w="1300" w:type="dxa"/>
            <w:shd w:val="clear" w:color="000000" w:fill="FFFFFF"/>
            <w:vAlign w:val="center"/>
          </w:tcPr>
          <w:p w14:paraId="281C79CB">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3" w:type="dxa"/>
            <w:shd w:val="clear" w:color="000000" w:fill="FFFFFF"/>
            <w:vAlign w:val="center"/>
          </w:tcPr>
          <w:p w14:paraId="67791F3C">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r>
      <w:tr w14:paraId="79E78D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7DC9508D">
            <w:pPr>
              <w:widowControl/>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14:paraId="2F243685">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14:paraId="1B4C6B8E">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绩效指标</w:t>
            </w:r>
          </w:p>
          <w:p w14:paraId="5DC6D4E4">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明确性</w:t>
            </w:r>
          </w:p>
        </w:tc>
        <w:tc>
          <w:tcPr>
            <w:tcW w:w="2353" w:type="dxa"/>
            <w:shd w:val="clear" w:color="000000" w:fill="FFFFFF"/>
            <w:vAlign w:val="center"/>
          </w:tcPr>
          <w:p w14:paraId="2FE21269">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依据绩效目标设定的绩效指标是否清晰、细化、可衡量等，用以反映和考核项目绩效目标的明细化情况。</w:t>
            </w:r>
          </w:p>
        </w:tc>
        <w:tc>
          <w:tcPr>
            <w:tcW w:w="5198" w:type="dxa"/>
            <w:shd w:val="clear" w:color="000000" w:fill="FFFFFF"/>
            <w:vAlign w:val="center"/>
          </w:tcPr>
          <w:p w14:paraId="0EE908FC">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①是否将项目绩效目标细化分解为具体的绩效指标；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②是否通过清晰、可衡量的指标值予以体现；</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③是否与项目目标任务数或计划数相对应。</w:t>
            </w:r>
            <w:r>
              <w:rPr>
                <w:color w:val="000000" w:themeColor="text1"/>
                <w:kern w:val="0"/>
                <w:sz w:val="22"/>
                <w:szCs w:val="22"/>
                <w14:textFill>
                  <w14:solidFill>
                    <w14:schemeClr w14:val="tx1"/>
                  </w14:solidFill>
                </w14:textFill>
              </w:rPr>
              <w:br w:type="textWrapping"/>
            </w:r>
          </w:p>
        </w:tc>
        <w:tc>
          <w:tcPr>
            <w:tcW w:w="1300" w:type="dxa"/>
            <w:shd w:val="clear" w:color="000000" w:fill="FFFFFF"/>
            <w:vAlign w:val="center"/>
          </w:tcPr>
          <w:p w14:paraId="1D0A5FED">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3" w:type="dxa"/>
            <w:shd w:val="clear" w:color="000000" w:fill="FFFFFF"/>
            <w:vAlign w:val="center"/>
          </w:tcPr>
          <w:p w14:paraId="320EB94D">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r>
      <w:tr w14:paraId="0C972D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43238927">
            <w:pPr>
              <w:spacing w:line="0" w:lineRule="atLeast"/>
              <w:jc w:val="center"/>
              <w:rPr>
                <w:color w:val="000000" w:themeColor="text1"/>
                <w:kern w:val="0"/>
                <w:sz w:val="22"/>
                <w:szCs w:val="22"/>
                <w14:textFill>
                  <w14:solidFill>
                    <w14:schemeClr w14:val="tx1"/>
                  </w14:solidFill>
                </w14:textFill>
              </w:rPr>
            </w:pPr>
          </w:p>
        </w:tc>
        <w:tc>
          <w:tcPr>
            <w:tcW w:w="764" w:type="dxa"/>
            <w:vMerge w:val="restart"/>
            <w:shd w:val="clear" w:color="auto" w:fill="FFFFFF"/>
            <w:vAlign w:val="center"/>
          </w:tcPr>
          <w:p w14:paraId="45516506">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资金投入</w:t>
            </w:r>
          </w:p>
          <w:p w14:paraId="5E9D786F">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873" w:type="dxa"/>
            <w:shd w:val="clear" w:color="auto" w:fill="FFFFFF"/>
            <w:vAlign w:val="center"/>
          </w:tcPr>
          <w:p w14:paraId="5A2231AF">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预算编制</w:t>
            </w:r>
          </w:p>
          <w:p w14:paraId="6CD8EDF9">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科学性</w:t>
            </w:r>
          </w:p>
        </w:tc>
        <w:tc>
          <w:tcPr>
            <w:tcW w:w="2353" w:type="dxa"/>
            <w:shd w:val="clear" w:color="auto" w:fill="FFFFFF"/>
            <w:vAlign w:val="center"/>
          </w:tcPr>
          <w:p w14:paraId="592E5CC5">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62A9E062">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①预算编制是否经过科学论证；</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②预算内容与项目内容是否匹配；</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③预算额度测算依据是否充分，是否按照标准编制；</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④预算确定的项目投资额或资金量是否与工作任务相匹配。</w:t>
            </w:r>
          </w:p>
        </w:tc>
        <w:tc>
          <w:tcPr>
            <w:tcW w:w="1300" w:type="dxa"/>
            <w:shd w:val="clear" w:color="auto" w:fill="FFFFFF"/>
            <w:vAlign w:val="center"/>
          </w:tcPr>
          <w:p w14:paraId="2A12023E">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auto" w:fill="FFFFFF"/>
            <w:vAlign w:val="center"/>
          </w:tcPr>
          <w:p w14:paraId="0FECDAEB">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r>
      <w:tr w14:paraId="32DAC7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1EB5C5ED">
            <w:pPr>
              <w:widowControl/>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14:paraId="3E76D217">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14:paraId="6F6690A6">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资金分配</w:t>
            </w:r>
          </w:p>
          <w:p w14:paraId="4CC81768">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合理性</w:t>
            </w:r>
          </w:p>
        </w:tc>
        <w:tc>
          <w:tcPr>
            <w:tcW w:w="2353" w:type="dxa"/>
            <w:shd w:val="clear" w:color="auto" w:fill="FFFFFF"/>
            <w:vAlign w:val="center"/>
          </w:tcPr>
          <w:p w14:paraId="3336C839">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57AC0B92">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①预算资金分配依据是否充分；</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②资金分配额度是否合理，与项目单位或地方实际是否相适应。</w:t>
            </w:r>
          </w:p>
        </w:tc>
        <w:tc>
          <w:tcPr>
            <w:tcW w:w="1300" w:type="dxa"/>
            <w:shd w:val="clear" w:color="auto" w:fill="FFFFFF"/>
            <w:vAlign w:val="center"/>
          </w:tcPr>
          <w:p w14:paraId="7E44CA35">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auto" w:fill="FFFFFF"/>
            <w:vAlign w:val="center"/>
          </w:tcPr>
          <w:p w14:paraId="300E6238">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r>
      <w:tr w14:paraId="2A6E3A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0E2BF133">
            <w:pPr>
              <w:spacing w:line="0" w:lineRule="atLeast"/>
              <w:jc w:val="center"/>
              <w:rPr>
                <w:color w:val="000000" w:themeColor="text1"/>
                <w:kern w:val="0"/>
                <w:sz w:val="22"/>
                <w:szCs w:val="22"/>
                <w14:textFill>
                  <w14:solidFill>
                    <w14:schemeClr w14:val="tx1"/>
                  </w14:solidFill>
                </w14:textFill>
              </w:rPr>
            </w:pPr>
          </w:p>
          <w:p w14:paraId="46D0FCD5">
            <w:pPr>
              <w:spacing w:line="0" w:lineRule="atLeast"/>
              <w:jc w:val="center"/>
              <w:rPr>
                <w:color w:val="000000" w:themeColor="text1"/>
                <w:kern w:val="0"/>
                <w:sz w:val="22"/>
                <w:szCs w:val="22"/>
                <w14:textFill>
                  <w14:solidFill>
                    <w14:schemeClr w14:val="tx1"/>
                  </w14:solidFill>
                </w14:textFill>
              </w:rPr>
            </w:pPr>
          </w:p>
          <w:p w14:paraId="5A803FE8">
            <w:pPr>
              <w:spacing w:line="0" w:lineRule="atLeast"/>
              <w:jc w:val="center"/>
              <w:rPr>
                <w:color w:val="000000" w:themeColor="text1"/>
                <w:kern w:val="0"/>
                <w:sz w:val="22"/>
                <w:szCs w:val="22"/>
                <w14:textFill>
                  <w14:solidFill>
                    <w14:schemeClr w14:val="tx1"/>
                  </w14:solidFill>
                </w14:textFill>
              </w:rPr>
            </w:pPr>
          </w:p>
          <w:p w14:paraId="0520A0E5">
            <w:pPr>
              <w:spacing w:line="0" w:lineRule="atLeast"/>
              <w:jc w:val="center"/>
              <w:rPr>
                <w:color w:val="000000" w:themeColor="text1"/>
                <w:kern w:val="0"/>
                <w:sz w:val="22"/>
                <w:szCs w:val="22"/>
                <w14:textFill>
                  <w14:solidFill>
                    <w14:schemeClr w14:val="tx1"/>
                  </w14:solidFill>
                </w14:textFill>
              </w:rPr>
            </w:pPr>
          </w:p>
          <w:p w14:paraId="4FC91D19">
            <w:pPr>
              <w:spacing w:line="0" w:lineRule="atLeast"/>
              <w:jc w:val="center"/>
              <w:rPr>
                <w:color w:val="000000" w:themeColor="text1"/>
                <w:kern w:val="0"/>
                <w:sz w:val="22"/>
                <w:szCs w:val="22"/>
                <w14:textFill>
                  <w14:solidFill>
                    <w14:schemeClr w14:val="tx1"/>
                  </w14:solidFill>
                </w14:textFill>
              </w:rPr>
            </w:pPr>
          </w:p>
          <w:p w14:paraId="716E32DA">
            <w:pPr>
              <w:spacing w:line="0" w:lineRule="atLeast"/>
              <w:jc w:val="center"/>
              <w:rPr>
                <w:color w:val="000000" w:themeColor="text1"/>
                <w:kern w:val="0"/>
                <w:sz w:val="22"/>
                <w:szCs w:val="22"/>
                <w14:textFill>
                  <w14:solidFill>
                    <w14:schemeClr w14:val="tx1"/>
                  </w14:solidFill>
                </w14:textFill>
              </w:rPr>
            </w:pPr>
          </w:p>
          <w:p w14:paraId="2BA1CF2E">
            <w:pPr>
              <w:spacing w:line="0" w:lineRule="atLeast"/>
              <w:jc w:val="center"/>
              <w:rPr>
                <w:color w:val="000000" w:themeColor="text1"/>
                <w:kern w:val="0"/>
                <w:sz w:val="22"/>
                <w:szCs w:val="22"/>
                <w14:textFill>
                  <w14:solidFill>
                    <w14:schemeClr w14:val="tx1"/>
                  </w14:solidFill>
                </w14:textFill>
              </w:rPr>
            </w:pPr>
          </w:p>
          <w:p w14:paraId="7995E675">
            <w:pPr>
              <w:spacing w:line="0" w:lineRule="atLeast"/>
              <w:jc w:val="center"/>
              <w:rPr>
                <w:color w:val="000000" w:themeColor="text1"/>
                <w:kern w:val="0"/>
                <w:sz w:val="22"/>
                <w:szCs w:val="22"/>
                <w14:textFill>
                  <w14:solidFill>
                    <w14:schemeClr w14:val="tx1"/>
                  </w14:solidFill>
                </w14:textFill>
              </w:rPr>
            </w:pPr>
          </w:p>
          <w:p w14:paraId="06B7130A">
            <w:pPr>
              <w:spacing w:line="0" w:lineRule="atLeast"/>
              <w:jc w:val="center"/>
              <w:rPr>
                <w:color w:val="000000" w:themeColor="text1"/>
                <w:kern w:val="0"/>
                <w:sz w:val="22"/>
                <w:szCs w:val="22"/>
                <w14:textFill>
                  <w14:solidFill>
                    <w14:schemeClr w14:val="tx1"/>
                  </w14:solidFill>
                </w14:textFill>
              </w:rPr>
            </w:pPr>
          </w:p>
          <w:p w14:paraId="386215EA">
            <w:pPr>
              <w:spacing w:line="0" w:lineRule="atLeast"/>
              <w:jc w:val="center"/>
              <w:rPr>
                <w:color w:val="000000" w:themeColor="text1"/>
                <w:kern w:val="0"/>
                <w:sz w:val="22"/>
                <w:szCs w:val="22"/>
                <w14:textFill>
                  <w14:solidFill>
                    <w14:schemeClr w14:val="tx1"/>
                  </w14:solidFill>
                </w14:textFill>
              </w:rPr>
            </w:pPr>
          </w:p>
          <w:p w14:paraId="25EF7D16">
            <w:pPr>
              <w:spacing w:line="0" w:lineRule="atLeast"/>
              <w:jc w:val="center"/>
              <w:rPr>
                <w:color w:val="000000" w:themeColor="text1"/>
                <w:kern w:val="0"/>
                <w:sz w:val="22"/>
                <w:szCs w:val="22"/>
                <w14:textFill>
                  <w14:solidFill>
                    <w14:schemeClr w14:val="tx1"/>
                  </w14:solidFill>
                </w14:textFill>
              </w:rPr>
            </w:pPr>
          </w:p>
          <w:p w14:paraId="6F9E8EFA">
            <w:pPr>
              <w:spacing w:line="0" w:lineRule="atLeast"/>
              <w:jc w:val="center"/>
              <w:rPr>
                <w:color w:val="000000" w:themeColor="text1"/>
                <w:kern w:val="0"/>
                <w:sz w:val="22"/>
                <w:szCs w:val="22"/>
                <w14:textFill>
                  <w14:solidFill>
                    <w14:schemeClr w14:val="tx1"/>
                  </w14:solidFill>
                </w14:textFill>
              </w:rPr>
            </w:pPr>
          </w:p>
          <w:p w14:paraId="30E012CB">
            <w:pPr>
              <w:spacing w:line="0" w:lineRule="atLeast"/>
              <w:jc w:val="center"/>
              <w:rPr>
                <w:color w:val="000000" w:themeColor="text1"/>
                <w:kern w:val="0"/>
                <w:sz w:val="22"/>
                <w:szCs w:val="22"/>
                <w14:textFill>
                  <w14:solidFill>
                    <w14:schemeClr w14:val="tx1"/>
                  </w14:solidFill>
                </w14:textFill>
              </w:rPr>
            </w:pPr>
          </w:p>
          <w:p w14:paraId="1F3DC6E5">
            <w:pPr>
              <w:spacing w:line="0" w:lineRule="atLeast"/>
              <w:jc w:val="center"/>
              <w:rPr>
                <w:color w:val="000000" w:themeColor="text1"/>
                <w:kern w:val="0"/>
                <w:sz w:val="22"/>
                <w:szCs w:val="22"/>
                <w14:textFill>
                  <w14:solidFill>
                    <w14:schemeClr w14:val="tx1"/>
                  </w14:solidFill>
                </w14:textFill>
              </w:rPr>
            </w:pPr>
          </w:p>
          <w:p w14:paraId="20040E2B">
            <w:pPr>
              <w:spacing w:line="0" w:lineRule="atLeast"/>
              <w:jc w:val="center"/>
              <w:rPr>
                <w:color w:val="000000" w:themeColor="text1"/>
                <w:kern w:val="0"/>
                <w:sz w:val="22"/>
                <w:szCs w:val="22"/>
                <w14:textFill>
                  <w14:solidFill>
                    <w14:schemeClr w14:val="tx1"/>
                  </w14:solidFill>
                </w14:textFill>
              </w:rPr>
            </w:pPr>
          </w:p>
          <w:p w14:paraId="56A04C54">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过程</w:t>
            </w:r>
          </w:p>
          <w:p w14:paraId="5E9D2202">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764" w:type="dxa"/>
            <w:vMerge w:val="restart"/>
            <w:shd w:val="clear" w:color="auto" w:fill="FFFFFF"/>
            <w:vAlign w:val="center"/>
          </w:tcPr>
          <w:p w14:paraId="4D2E8B5B">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资金管理</w:t>
            </w:r>
          </w:p>
        </w:tc>
        <w:tc>
          <w:tcPr>
            <w:tcW w:w="873" w:type="dxa"/>
            <w:shd w:val="clear" w:color="auto" w:fill="FFFFFF"/>
            <w:vAlign w:val="center"/>
          </w:tcPr>
          <w:p w14:paraId="0DA4F9BA">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资金到位率</w:t>
            </w:r>
          </w:p>
        </w:tc>
        <w:tc>
          <w:tcPr>
            <w:tcW w:w="2353" w:type="dxa"/>
            <w:shd w:val="clear" w:color="000000" w:fill="FFFFFF"/>
            <w:vAlign w:val="center"/>
          </w:tcPr>
          <w:p w14:paraId="0D0D1BFB">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实际到位资金与预算资金的比率，用以反映和考核资金落实情况对项目实施的总体保障程度。</w:t>
            </w:r>
          </w:p>
        </w:tc>
        <w:tc>
          <w:tcPr>
            <w:tcW w:w="5198" w:type="dxa"/>
            <w:shd w:val="clear" w:color="000000" w:fill="FFFFFF"/>
            <w:vAlign w:val="center"/>
          </w:tcPr>
          <w:p w14:paraId="4AF723A1">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资金到位率=（实际到位资金/预算资金）×100%。</w:t>
            </w:r>
          </w:p>
          <w:p w14:paraId="061EC137">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实际到位资金：一定时期（本年度或项目期）内落实到具体项目的资金。</w:t>
            </w:r>
          </w:p>
          <w:p w14:paraId="64E719C5">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预算资金：一定时期（本年度或项目期）内预算安排到具体项目的资金。</w:t>
            </w:r>
          </w:p>
        </w:tc>
        <w:tc>
          <w:tcPr>
            <w:tcW w:w="1300" w:type="dxa"/>
            <w:shd w:val="clear" w:color="000000" w:fill="FFFFFF"/>
            <w:vAlign w:val="center"/>
          </w:tcPr>
          <w:p w14:paraId="10D47CA7">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000000" w:fill="FFFFFF"/>
            <w:vAlign w:val="center"/>
          </w:tcPr>
          <w:p w14:paraId="42BEBD3A">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r>
      <w:tr w14:paraId="3C1600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61C737EF">
            <w:pPr>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14:paraId="32B9BA32">
            <w:pPr>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14:paraId="1A28D8FF">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预算执行率</w:t>
            </w:r>
          </w:p>
        </w:tc>
        <w:tc>
          <w:tcPr>
            <w:tcW w:w="2353" w:type="dxa"/>
            <w:shd w:val="clear" w:color="auto" w:fill="FFFFFF"/>
            <w:vAlign w:val="center"/>
          </w:tcPr>
          <w:p w14:paraId="2C197765">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项目预算资金是否按照计划执行，用以反映或考核项目预算执行情况。</w:t>
            </w:r>
          </w:p>
        </w:tc>
        <w:tc>
          <w:tcPr>
            <w:tcW w:w="5198" w:type="dxa"/>
            <w:shd w:val="clear" w:color="auto" w:fill="FFFFFF"/>
            <w:vAlign w:val="center"/>
          </w:tcPr>
          <w:p w14:paraId="68061F7A">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预算执行率=（实际支出资金/实际到位资金）×100%。</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实际支出资金：一定时期（本年度或项目期）内项目实际拨付的资金。</w:t>
            </w:r>
          </w:p>
        </w:tc>
        <w:tc>
          <w:tcPr>
            <w:tcW w:w="1300" w:type="dxa"/>
            <w:shd w:val="clear" w:color="auto" w:fill="FFFFFF"/>
            <w:vAlign w:val="center"/>
          </w:tcPr>
          <w:p w14:paraId="4DF27797">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auto" w:fill="FFFFFF"/>
            <w:vAlign w:val="center"/>
          </w:tcPr>
          <w:p w14:paraId="69E2C7C0">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r>
      <w:tr w14:paraId="041E91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33114F48">
            <w:pPr>
              <w:spacing w:line="0" w:lineRule="atLeast"/>
              <w:jc w:val="center"/>
              <w:rPr>
                <w:color w:val="000000" w:themeColor="text1"/>
                <w:kern w:val="0"/>
                <w:sz w:val="22"/>
                <w:szCs w:val="22"/>
                <w14:textFill>
                  <w14:solidFill>
                    <w14:schemeClr w14:val="tx1"/>
                  </w14:solidFill>
                </w14:textFill>
              </w:rPr>
            </w:pPr>
          </w:p>
        </w:tc>
        <w:tc>
          <w:tcPr>
            <w:tcW w:w="764" w:type="dxa"/>
            <w:shd w:val="clear" w:color="auto" w:fill="FFFFFF"/>
            <w:vAlign w:val="center"/>
          </w:tcPr>
          <w:p w14:paraId="3A1B58F2">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资金管理</w:t>
            </w:r>
          </w:p>
        </w:tc>
        <w:tc>
          <w:tcPr>
            <w:tcW w:w="873" w:type="dxa"/>
            <w:shd w:val="clear" w:color="auto" w:fill="FFFFFF"/>
            <w:vAlign w:val="center"/>
          </w:tcPr>
          <w:p w14:paraId="463002F2">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资金使用</w:t>
            </w:r>
          </w:p>
          <w:p w14:paraId="3AEDDF3F">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合规性</w:t>
            </w:r>
          </w:p>
        </w:tc>
        <w:tc>
          <w:tcPr>
            <w:tcW w:w="2353" w:type="dxa"/>
            <w:shd w:val="clear" w:color="000000" w:fill="FFFFFF"/>
            <w:vAlign w:val="center"/>
          </w:tcPr>
          <w:p w14:paraId="529A4BDA">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项目资金使用是否符合相关的财务管理制度规定，用以反映和考核项目资金的规范运行情况。</w:t>
            </w:r>
          </w:p>
        </w:tc>
        <w:tc>
          <w:tcPr>
            <w:tcW w:w="5198" w:type="dxa"/>
            <w:shd w:val="clear" w:color="000000" w:fill="FFFFFF"/>
            <w:vAlign w:val="center"/>
          </w:tcPr>
          <w:p w14:paraId="045CCD7B">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①是否符合国家财经法规和财务管理制度以及有关专项资金管理办法的规定；</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②资金的拨付是否有完整的审批程序和手续；</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③是否符合项目预算批复或合同规定的用途；</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④是否存在截留、挤占、挪用、虚列支出等情况。</w:t>
            </w:r>
          </w:p>
        </w:tc>
        <w:tc>
          <w:tcPr>
            <w:tcW w:w="1300" w:type="dxa"/>
            <w:shd w:val="clear" w:color="000000" w:fill="FFFFFF"/>
            <w:vAlign w:val="center"/>
          </w:tcPr>
          <w:p w14:paraId="77438EA5">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000000" w:fill="FFFFFF"/>
            <w:vAlign w:val="center"/>
          </w:tcPr>
          <w:p w14:paraId="75C43B29">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r>
      <w:tr w14:paraId="786BA2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23BCD97D">
            <w:pPr>
              <w:spacing w:line="0" w:lineRule="atLeast"/>
              <w:jc w:val="center"/>
              <w:rPr>
                <w:color w:val="000000" w:themeColor="text1"/>
                <w:kern w:val="0"/>
                <w:sz w:val="22"/>
                <w:szCs w:val="22"/>
                <w14:textFill>
                  <w14:solidFill>
                    <w14:schemeClr w14:val="tx1"/>
                  </w14:solidFill>
                </w14:textFill>
              </w:rPr>
            </w:pPr>
          </w:p>
        </w:tc>
        <w:tc>
          <w:tcPr>
            <w:tcW w:w="764" w:type="dxa"/>
            <w:vMerge w:val="restart"/>
            <w:shd w:val="clear" w:color="auto" w:fill="FFFFFF"/>
            <w:vAlign w:val="center"/>
          </w:tcPr>
          <w:p w14:paraId="1EF04550">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组织实施</w:t>
            </w:r>
          </w:p>
          <w:p w14:paraId="029FCAAF">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873" w:type="dxa"/>
            <w:shd w:val="clear" w:color="auto" w:fill="FFFFFF"/>
            <w:vAlign w:val="center"/>
          </w:tcPr>
          <w:p w14:paraId="472F4D07">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管理制度</w:t>
            </w:r>
          </w:p>
          <w:p w14:paraId="7CAADAE3">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健全性</w:t>
            </w:r>
          </w:p>
        </w:tc>
        <w:tc>
          <w:tcPr>
            <w:tcW w:w="2353" w:type="dxa"/>
            <w:shd w:val="clear" w:color="000000" w:fill="FFFFFF"/>
            <w:vAlign w:val="center"/>
          </w:tcPr>
          <w:p w14:paraId="419C2309">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项目实施单位的财务和业务管理制度是否健全，用以反映和考核财务和业务管理制度对项目顺利实施的保障情况。</w:t>
            </w:r>
          </w:p>
        </w:tc>
        <w:tc>
          <w:tcPr>
            <w:tcW w:w="5198" w:type="dxa"/>
            <w:shd w:val="clear" w:color="000000" w:fill="FFFFFF"/>
            <w:vAlign w:val="center"/>
          </w:tcPr>
          <w:p w14:paraId="1DF8F1C1">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①是否已制定或具有相应的财务和业务管理制度；</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②财务和业务管理制度是否合法、合规、完整。</w:t>
            </w:r>
          </w:p>
        </w:tc>
        <w:tc>
          <w:tcPr>
            <w:tcW w:w="1300" w:type="dxa"/>
            <w:shd w:val="clear" w:color="000000" w:fill="FFFFFF"/>
            <w:vAlign w:val="center"/>
          </w:tcPr>
          <w:p w14:paraId="725F38A6">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000000" w:fill="FFFFFF"/>
            <w:vAlign w:val="center"/>
          </w:tcPr>
          <w:p w14:paraId="4A0D39B5">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r>
      <w:tr w14:paraId="0878BA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54556311">
            <w:pPr>
              <w:widowControl/>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14:paraId="6AC6536C">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14:paraId="557B44AD">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制度执行</w:t>
            </w:r>
          </w:p>
          <w:p w14:paraId="75069728">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有效性</w:t>
            </w:r>
          </w:p>
        </w:tc>
        <w:tc>
          <w:tcPr>
            <w:tcW w:w="2353" w:type="dxa"/>
            <w:shd w:val="clear" w:color="000000" w:fill="FFFFFF"/>
            <w:vAlign w:val="center"/>
          </w:tcPr>
          <w:p w14:paraId="18E1D278">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项目实施是否符合相关管理规定，用以反映和考核相关管理制度的有效执行情况。</w:t>
            </w:r>
          </w:p>
        </w:tc>
        <w:tc>
          <w:tcPr>
            <w:tcW w:w="5198" w:type="dxa"/>
            <w:shd w:val="clear" w:color="000000" w:fill="FFFFFF"/>
            <w:vAlign w:val="center"/>
          </w:tcPr>
          <w:p w14:paraId="2A53FFAA">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①是否遵守相关法律法规和相关管理规定；</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②项目调整及支出调整手续是否完备；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③项目合同书、验收报告、技术鉴定等资料是否齐全并及时归档；</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④项目实施的人员条件、场地设备、信息支撑等是否落实到位。</w:t>
            </w:r>
          </w:p>
        </w:tc>
        <w:tc>
          <w:tcPr>
            <w:tcW w:w="1300" w:type="dxa"/>
            <w:shd w:val="clear" w:color="000000" w:fill="FFFFFF"/>
            <w:vAlign w:val="center"/>
          </w:tcPr>
          <w:p w14:paraId="7383EDD4">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3" w:type="dxa"/>
            <w:shd w:val="clear" w:color="000000" w:fill="FFFFFF"/>
            <w:vAlign w:val="center"/>
          </w:tcPr>
          <w:p w14:paraId="2747CC63">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r>
      <w:tr w14:paraId="7893E2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1AA5CCBD">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w:t>
            </w:r>
          </w:p>
        </w:tc>
        <w:tc>
          <w:tcPr>
            <w:tcW w:w="764" w:type="dxa"/>
            <w:shd w:val="clear" w:color="auto" w:fill="FFFFFF"/>
            <w:vAlign w:val="center"/>
          </w:tcPr>
          <w:p w14:paraId="65AC2C53">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产出数量</w:t>
            </w:r>
          </w:p>
        </w:tc>
        <w:tc>
          <w:tcPr>
            <w:tcW w:w="873" w:type="dxa"/>
            <w:shd w:val="clear" w:color="auto" w:fill="FFFFFF"/>
            <w:vAlign w:val="center"/>
          </w:tcPr>
          <w:p w14:paraId="192D58CD">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实际完成率</w:t>
            </w:r>
          </w:p>
        </w:tc>
        <w:tc>
          <w:tcPr>
            <w:tcW w:w="2353" w:type="dxa"/>
            <w:shd w:val="clear" w:color="000000" w:fill="FFFFFF"/>
            <w:vAlign w:val="center"/>
          </w:tcPr>
          <w:p w14:paraId="7BB4727B">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项目实施的实际产出数与计划产出数的比率，用以反映和考核项目产出数量目标的实现程度。</w:t>
            </w:r>
          </w:p>
        </w:tc>
        <w:tc>
          <w:tcPr>
            <w:tcW w:w="5198" w:type="dxa"/>
            <w:shd w:val="clear" w:color="000000" w:fill="FFFFFF"/>
            <w:vAlign w:val="center"/>
          </w:tcPr>
          <w:p w14:paraId="5498D9DC">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实际完成率=（实际产出数/计划产出数）×100%。</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实际产出数：一定时期（本年度或项目期）内项目实际产出的产品或提供的服务数量。</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计划产出数：项目绩效目标确定的在一定时期（本年度或项目期）内计划产出的产品或提供的服务数量。</w:t>
            </w:r>
          </w:p>
        </w:tc>
        <w:tc>
          <w:tcPr>
            <w:tcW w:w="1300" w:type="dxa"/>
            <w:shd w:val="clear" w:color="000000" w:fill="FFFFFF"/>
            <w:vAlign w:val="center"/>
          </w:tcPr>
          <w:p w14:paraId="06EAAC76">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14:paraId="73E6CEAE">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r>
      <w:tr w14:paraId="1893E9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5C6BA4E4">
            <w:pPr>
              <w:widowControl/>
              <w:spacing w:line="0" w:lineRule="atLeast"/>
              <w:jc w:val="center"/>
              <w:rPr>
                <w:color w:val="000000" w:themeColor="text1"/>
                <w:kern w:val="0"/>
                <w:sz w:val="22"/>
                <w:szCs w:val="22"/>
                <w14:textFill>
                  <w14:solidFill>
                    <w14:schemeClr w14:val="tx1"/>
                  </w14:solidFill>
                </w14:textFill>
              </w:rPr>
            </w:pPr>
          </w:p>
        </w:tc>
        <w:tc>
          <w:tcPr>
            <w:tcW w:w="764" w:type="dxa"/>
            <w:shd w:val="clear" w:color="auto" w:fill="FFFFFF"/>
            <w:vAlign w:val="center"/>
          </w:tcPr>
          <w:p w14:paraId="28A1B8E3">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产出质量</w:t>
            </w:r>
          </w:p>
        </w:tc>
        <w:tc>
          <w:tcPr>
            <w:tcW w:w="873" w:type="dxa"/>
            <w:shd w:val="clear" w:color="auto" w:fill="FFFFFF"/>
            <w:vAlign w:val="center"/>
          </w:tcPr>
          <w:p w14:paraId="5F3EB22E">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质量达标率</w:t>
            </w:r>
          </w:p>
        </w:tc>
        <w:tc>
          <w:tcPr>
            <w:tcW w:w="2353" w:type="dxa"/>
            <w:shd w:val="clear" w:color="000000" w:fill="FFFFFF"/>
            <w:vAlign w:val="center"/>
          </w:tcPr>
          <w:p w14:paraId="03468720">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项目完成的质量达标产出数与实际产出数的比率，用以反映和考核项目产出质量目标的实现程度。</w:t>
            </w:r>
          </w:p>
        </w:tc>
        <w:tc>
          <w:tcPr>
            <w:tcW w:w="5198" w:type="dxa"/>
            <w:shd w:val="clear" w:color="000000" w:fill="FFFFFF"/>
            <w:vAlign w:val="center"/>
          </w:tcPr>
          <w:p w14:paraId="43BA8621">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质量达标率=（质量达标产出数/实际产出数）×100%。</w:t>
            </w:r>
          </w:p>
          <w:p w14:paraId="65B87FF9">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72125815">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14:paraId="44CA1BA9">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r>
      <w:tr w14:paraId="44A642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7D82FB05">
            <w:pPr>
              <w:spacing w:line="0" w:lineRule="atLeast"/>
              <w:jc w:val="center"/>
              <w:rPr>
                <w:color w:val="000000" w:themeColor="text1"/>
                <w:kern w:val="0"/>
                <w:sz w:val="22"/>
                <w:szCs w:val="22"/>
                <w14:textFill>
                  <w14:solidFill>
                    <w14:schemeClr w14:val="tx1"/>
                  </w14:solidFill>
                </w14:textFill>
              </w:rPr>
            </w:pPr>
          </w:p>
        </w:tc>
        <w:tc>
          <w:tcPr>
            <w:tcW w:w="764" w:type="dxa"/>
            <w:shd w:val="clear" w:color="auto" w:fill="FFFFFF"/>
            <w:vAlign w:val="center"/>
          </w:tcPr>
          <w:p w14:paraId="24E4F6AA">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产出时效</w:t>
            </w:r>
          </w:p>
        </w:tc>
        <w:tc>
          <w:tcPr>
            <w:tcW w:w="873" w:type="dxa"/>
            <w:shd w:val="clear" w:color="auto" w:fill="FFFFFF"/>
            <w:vAlign w:val="center"/>
          </w:tcPr>
          <w:p w14:paraId="7ED7975E">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完成及时性</w:t>
            </w:r>
          </w:p>
        </w:tc>
        <w:tc>
          <w:tcPr>
            <w:tcW w:w="2353" w:type="dxa"/>
            <w:shd w:val="clear" w:color="000000" w:fill="FFFFFF"/>
            <w:vAlign w:val="center"/>
          </w:tcPr>
          <w:p w14:paraId="2FD6F985">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项目实际完成时间与计划完成时间的比较，用以反映和考核项目产出时效目标的实现程度。</w:t>
            </w:r>
          </w:p>
        </w:tc>
        <w:tc>
          <w:tcPr>
            <w:tcW w:w="5198" w:type="dxa"/>
            <w:shd w:val="clear" w:color="000000" w:fill="FFFFFF"/>
            <w:vAlign w:val="center"/>
          </w:tcPr>
          <w:p w14:paraId="652F2D45">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实际完成时间：项目实施单位完成该项目实际所耗用的时间。</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计划完成时间：按照项目实施计划或相关规定完成该项目所需的时间。</w:t>
            </w:r>
          </w:p>
        </w:tc>
        <w:tc>
          <w:tcPr>
            <w:tcW w:w="1300" w:type="dxa"/>
            <w:shd w:val="clear" w:color="000000" w:fill="FFFFFF"/>
            <w:vAlign w:val="center"/>
          </w:tcPr>
          <w:p w14:paraId="5DE8949E">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14:paraId="3E9A6876">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r>
      <w:tr w14:paraId="41FAA2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394DFA21">
            <w:pPr>
              <w:widowControl/>
              <w:spacing w:line="0" w:lineRule="atLeast"/>
              <w:jc w:val="center"/>
              <w:rPr>
                <w:color w:val="000000" w:themeColor="text1"/>
                <w:kern w:val="0"/>
                <w:sz w:val="22"/>
                <w:szCs w:val="22"/>
                <w14:textFill>
                  <w14:solidFill>
                    <w14:schemeClr w14:val="tx1"/>
                  </w14:solidFill>
                </w14:textFill>
              </w:rPr>
            </w:pPr>
          </w:p>
        </w:tc>
        <w:tc>
          <w:tcPr>
            <w:tcW w:w="764" w:type="dxa"/>
            <w:shd w:val="clear" w:color="auto" w:fill="FFFFFF"/>
            <w:vAlign w:val="center"/>
          </w:tcPr>
          <w:p w14:paraId="7F818ADE">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产出成本</w:t>
            </w:r>
          </w:p>
        </w:tc>
        <w:tc>
          <w:tcPr>
            <w:tcW w:w="873" w:type="dxa"/>
            <w:shd w:val="clear" w:color="auto" w:fill="FFFFFF"/>
            <w:vAlign w:val="center"/>
          </w:tcPr>
          <w:p w14:paraId="27B96069">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成本节约率</w:t>
            </w:r>
          </w:p>
        </w:tc>
        <w:tc>
          <w:tcPr>
            <w:tcW w:w="2353" w:type="dxa"/>
            <w:shd w:val="clear" w:color="000000" w:fill="FFFFFF"/>
            <w:vAlign w:val="center"/>
          </w:tcPr>
          <w:p w14:paraId="0DB45611">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完成项目计划工作目标的实际节约成本与计划成本的比率，用以反映和考核项目的成本节约程度。</w:t>
            </w:r>
          </w:p>
        </w:tc>
        <w:tc>
          <w:tcPr>
            <w:tcW w:w="5198" w:type="dxa"/>
            <w:shd w:val="clear" w:color="000000" w:fill="FFFFFF"/>
            <w:vAlign w:val="center"/>
          </w:tcPr>
          <w:p w14:paraId="5A568D4F">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成本节约率=[（计划成本-实际成本）/计划成本]×100%。</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实际成本：项目实施单位如期、保质、保量完成既定工作目标实际所耗费的支出。</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计划成本：项目实施单位为完成工作目标计划安排的支出，一般以项目预算为参考。</w:t>
            </w:r>
          </w:p>
        </w:tc>
        <w:tc>
          <w:tcPr>
            <w:tcW w:w="1300" w:type="dxa"/>
            <w:shd w:val="clear" w:color="000000" w:fill="FFFFFF"/>
            <w:vAlign w:val="center"/>
          </w:tcPr>
          <w:p w14:paraId="45780650">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14:paraId="2896F325">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r>
      <w:tr w14:paraId="57B743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472EE928">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效益　</w:t>
            </w:r>
          </w:p>
        </w:tc>
        <w:tc>
          <w:tcPr>
            <w:tcW w:w="764" w:type="dxa"/>
            <w:vMerge w:val="restart"/>
            <w:shd w:val="clear" w:color="auto" w:fill="FFFFFF"/>
            <w:vAlign w:val="center"/>
          </w:tcPr>
          <w:p w14:paraId="6DB38C0E">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项目效益　</w:t>
            </w:r>
          </w:p>
        </w:tc>
        <w:tc>
          <w:tcPr>
            <w:tcW w:w="873" w:type="dxa"/>
            <w:shd w:val="clear" w:color="auto" w:fill="FFFFFF"/>
            <w:vAlign w:val="center"/>
          </w:tcPr>
          <w:p w14:paraId="1C10DDD7">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实施效益</w:t>
            </w:r>
          </w:p>
        </w:tc>
        <w:tc>
          <w:tcPr>
            <w:tcW w:w="2353" w:type="dxa"/>
            <w:shd w:val="clear" w:color="auto" w:fill="FFFFFF"/>
            <w:vAlign w:val="center"/>
          </w:tcPr>
          <w:p w14:paraId="4E1B322F">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项目实施所产生的效益。</w:t>
            </w:r>
          </w:p>
        </w:tc>
        <w:tc>
          <w:tcPr>
            <w:tcW w:w="5198" w:type="dxa"/>
            <w:shd w:val="clear" w:color="auto" w:fill="FFFFFF"/>
            <w:vAlign w:val="center"/>
          </w:tcPr>
          <w:p w14:paraId="04610DF1">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项目实施所产生的社会效益、经济效益、生态效益、可持续影响等。可根据项目实际情况有选择地设置和细化。</w:t>
            </w:r>
          </w:p>
        </w:tc>
        <w:tc>
          <w:tcPr>
            <w:tcW w:w="1300" w:type="dxa"/>
            <w:shd w:val="clear" w:color="auto" w:fill="FFFFFF"/>
            <w:vAlign w:val="center"/>
          </w:tcPr>
          <w:p w14:paraId="1A609A5D">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auto" w:fill="FFFFFF"/>
            <w:vAlign w:val="center"/>
          </w:tcPr>
          <w:p w14:paraId="070EA407">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r>
      <w:tr w14:paraId="2B6EA8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14:paraId="2CA6B1F1">
            <w:pPr>
              <w:widowControl/>
              <w:spacing w:line="0" w:lineRule="atLeast"/>
              <w:jc w:val="center"/>
              <w:rPr>
                <w:color w:val="000000" w:themeColor="text1"/>
                <w:kern w:val="0"/>
                <w:sz w:val="22"/>
                <w:szCs w:val="22"/>
                <w14:textFill>
                  <w14:solidFill>
                    <w14:schemeClr w14:val="tx1"/>
                  </w14:solidFill>
                </w14:textFill>
              </w:rPr>
            </w:pPr>
          </w:p>
        </w:tc>
        <w:tc>
          <w:tcPr>
            <w:tcW w:w="764" w:type="dxa"/>
            <w:vMerge w:val="continue"/>
            <w:shd w:val="clear" w:color="auto" w:fill="FFFFFF"/>
            <w:vAlign w:val="center"/>
          </w:tcPr>
          <w:p w14:paraId="120535DB">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14:paraId="6CEFDB16">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满意度</w:t>
            </w:r>
          </w:p>
        </w:tc>
        <w:tc>
          <w:tcPr>
            <w:tcW w:w="2353" w:type="dxa"/>
            <w:shd w:val="clear" w:color="000000" w:fill="FFFFFF"/>
            <w:vAlign w:val="center"/>
          </w:tcPr>
          <w:p w14:paraId="48B4D49A">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社会公众或服务对象对项目实施效果的满意程度。</w:t>
            </w:r>
          </w:p>
        </w:tc>
        <w:tc>
          <w:tcPr>
            <w:tcW w:w="5198" w:type="dxa"/>
            <w:shd w:val="clear" w:color="000000" w:fill="FFFFFF"/>
            <w:vAlign w:val="center"/>
          </w:tcPr>
          <w:p w14:paraId="5C4CEA4A">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社会公众或服务对象是指因该项目实施而受到影响的部门（单位）、群体或个人。一般采取社会调查的方式。</w:t>
            </w:r>
          </w:p>
        </w:tc>
        <w:tc>
          <w:tcPr>
            <w:tcW w:w="1300" w:type="dxa"/>
            <w:shd w:val="clear" w:color="000000" w:fill="FFFFFF"/>
            <w:vAlign w:val="center"/>
          </w:tcPr>
          <w:p w14:paraId="0DC50AA1">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3" w:type="dxa"/>
            <w:shd w:val="clear" w:color="000000" w:fill="FFFFFF"/>
            <w:vAlign w:val="center"/>
          </w:tcPr>
          <w:p w14:paraId="5B356B9F">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r>
    </w:tbl>
    <w:p w14:paraId="4F3971E5">
      <w:pPr>
        <w:rPr>
          <w:color w:val="000000" w:themeColor="text1"/>
          <w14:textFill>
            <w14:solidFill>
              <w14:schemeClr w14:val="tx1"/>
            </w14:solidFill>
          </w14:textFill>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4F3AC97">
        <w:pPr>
          <w:pStyle w:val="9"/>
          <w:jc w:val="center"/>
        </w:pPr>
        <w:r>
          <w:fldChar w:fldCharType="begin"/>
        </w:r>
        <w:r>
          <w:instrText xml:space="preserve">PAGE   \* MERGEFORMAT</w:instrText>
        </w:r>
        <w:r>
          <w:fldChar w:fldCharType="separate"/>
        </w:r>
        <w:r>
          <w:rPr>
            <w:lang w:val="zh-CN"/>
          </w:rPr>
          <w:t>13</w:t>
        </w:r>
        <w:r>
          <w:fldChar w:fldCharType="end"/>
        </w:r>
      </w:p>
    </w:sdtContent>
  </w:sdt>
  <w:p w14:paraId="2330F160">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ZjE3NmFjMDI4MGYzZjRhODNkNjIwOGRjYzVhMWMifQ=="/>
  </w:docVars>
  <w:rsids>
    <w:rsidRoot w:val="FF6C4049"/>
    <w:rsid w:val="005A6956"/>
    <w:rsid w:val="00676221"/>
    <w:rsid w:val="006F7242"/>
    <w:rsid w:val="007323E5"/>
    <w:rsid w:val="007B168A"/>
    <w:rsid w:val="008B2CFE"/>
    <w:rsid w:val="00962F1A"/>
    <w:rsid w:val="00F26FF6"/>
    <w:rsid w:val="07082F04"/>
    <w:rsid w:val="07397B77"/>
    <w:rsid w:val="13471461"/>
    <w:rsid w:val="13B90F01"/>
    <w:rsid w:val="181066D2"/>
    <w:rsid w:val="1C671E73"/>
    <w:rsid w:val="26196A28"/>
    <w:rsid w:val="2A06253E"/>
    <w:rsid w:val="2EC22988"/>
    <w:rsid w:val="2FB56378"/>
    <w:rsid w:val="309A5829"/>
    <w:rsid w:val="38CA40DD"/>
    <w:rsid w:val="395F2B56"/>
    <w:rsid w:val="3A375A6F"/>
    <w:rsid w:val="3BECE841"/>
    <w:rsid w:val="3FF7797D"/>
    <w:rsid w:val="43CF5EF4"/>
    <w:rsid w:val="441B2960"/>
    <w:rsid w:val="5BFF6039"/>
    <w:rsid w:val="5D76A616"/>
    <w:rsid w:val="5D7F20B9"/>
    <w:rsid w:val="5DAC7D0E"/>
    <w:rsid w:val="5E5F1000"/>
    <w:rsid w:val="5F98B5AF"/>
    <w:rsid w:val="5FFE8511"/>
    <w:rsid w:val="5FFEACE2"/>
    <w:rsid w:val="636E6B67"/>
    <w:rsid w:val="63D0156C"/>
    <w:rsid w:val="643EE26D"/>
    <w:rsid w:val="6D572E2F"/>
    <w:rsid w:val="6F5C41AC"/>
    <w:rsid w:val="6FAF6C78"/>
    <w:rsid w:val="70816A11"/>
    <w:rsid w:val="7317C656"/>
    <w:rsid w:val="734ED73F"/>
    <w:rsid w:val="736969A5"/>
    <w:rsid w:val="7435314D"/>
    <w:rsid w:val="77FD8BE9"/>
    <w:rsid w:val="793C0810"/>
    <w:rsid w:val="79A9BD3F"/>
    <w:rsid w:val="7BFFFDD0"/>
    <w:rsid w:val="7C336E5F"/>
    <w:rsid w:val="7D7A5F86"/>
    <w:rsid w:val="7F37BB4E"/>
    <w:rsid w:val="7FCA09A7"/>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4">
    <w:name w:val="heading 4"/>
    <w:basedOn w:val="1"/>
    <w:next w:val="1"/>
    <w:autoRedefine/>
    <w:semiHidden/>
    <w:unhideWhenUsed/>
    <w:qFormat/>
    <w:uiPriority w:val="0"/>
    <w:pPr>
      <w:spacing w:beforeAutospacing="1" w:afterAutospacing="1"/>
      <w:jc w:val="left"/>
      <w:outlineLvl w:val="3"/>
    </w:pPr>
    <w:rPr>
      <w:rFonts w:hint="eastAsia" w:ascii="宋体" w:hAnsi="宋体"/>
      <w:b/>
      <w:kern w:val="0"/>
      <w:sz w:val="24"/>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link w:val="22"/>
    <w:autoRedefine/>
    <w:qFormat/>
    <w:uiPriority w:val="0"/>
    <w:pPr>
      <w:jc w:val="left"/>
    </w:pPr>
  </w:style>
  <w:style w:type="paragraph" w:styleId="6">
    <w:name w:val="Body Text"/>
    <w:basedOn w:val="1"/>
    <w:autoRedefine/>
    <w:qFormat/>
    <w:uiPriority w:val="0"/>
    <w:pPr>
      <w:spacing w:after="120"/>
    </w:pPr>
  </w:style>
  <w:style w:type="paragraph" w:styleId="7">
    <w:name w:val="Body Text Indent"/>
    <w:basedOn w:val="1"/>
    <w:autoRedefine/>
    <w:qFormat/>
    <w:uiPriority w:val="0"/>
    <w:pPr>
      <w:spacing w:after="120"/>
      <w:ind w:left="420" w:leftChars="200"/>
    </w:pPr>
    <w:rPr>
      <w:rFonts w:ascii="Calibri" w:hAnsi="Calibri"/>
    </w:rPr>
  </w:style>
  <w:style w:type="paragraph" w:styleId="8">
    <w:name w:val="Balloon Text"/>
    <w:basedOn w:val="1"/>
    <w:link w:val="20"/>
    <w:autoRedefine/>
    <w:qFormat/>
    <w:uiPriority w:val="0"/>
    <w:rPr>
      <w:sz w:val="18"/>
      <w:szCs w:val="18"/>
    </w:rPr>
  </w:style>
  <w:style w:type="paragraph" w:styleId="9">
    <w:name w:val="footer"/>
    <w:basedOn w:val="1"/>
    <w:autoRedefine/>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1"/>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3"/>
    <w:autoRedefine/>
    <w:qFormat/>
    <w:uiPriority w:val="0"/>
    <w:rPr>
      <w:b/>
      <w:bCs/>
    </w:rPr>
  </w:style>
  <w:style w:type="paragraph" w:styleId="12">
    <w:name w:val="Body Text First Indent"/>
    <w:basedOn w:val="6"/>
    <w:autoRedefine/>
    <w:qFormat/>
    <w:uiPriority w:val="0"/>
    <w:pPr>
      <w:spacing w:after="0"/>
      <w:ind w:firstLine="200" w:firstLineChars="200"/>
    </w:pPr>
  </w:style>
  <w:style w:type="paragraph" w:styleId="13">
    <w:name w:val="Body Text First Indent 2"/>
    <w:basedOn w:val="7"/>
    <w:autoRedefine/>
    <w:qFormat/>
    <w:uiPriority w:val="0"/>
    <w:pPr>
      <w:ind w:firstLine="420" w:firstLineChars="200"/>
    </w:pPr>
  </w:style>
  <w:style w:type="character" w:styleId="16">
    <w:name w:val="Strong"/>
    <w:basedOn w:val="15"/>
    <w:autoRedefine/>
    <w:qFormat/>
    <w:uiPriority w:val="0"/>
    <w:rPr>
      <w:b/>
      <w:bCs/>
    </w:rPr>
  </w:style>
  <w:style w:type="character" w:styleId="17">
    <w:name w:val="annotation reference"/>
    <w:basedOn w:val="15"/>
    <w:autoRedefine/>
    <w:qFormat/>
    <w:uiPriority w:val="0"/>
    <w:rPr>
      <w:sz w:val="21"/>
      <w:szCs w:val="21"/>
    </w:rPr>
  </w:style>
  <w:style w:type="character" w:customStyle="1" w:styleId="18">
    <w:name w:val="fontstyle01"/>
    <w:autoRedefine/>
    <w:qFormat/>
    <w:uiPriority w:val="0"/>
    <w:rPr>
      <w:rFonts w:ascii="仿宋_GB2312" w:hAnsi="仿宋_GB2312" w:eastAsia="仿宋_GB2312" w:cs="仿宋_GB2312"/>
      <w:color w:val="000000"/>
      <w:sz w:val="32"/>
      <w:szCs w:val="32"/>
    </w:rPr>
  </w:style>
  <w:style w:type="paragraph" w:customStyle="1" w:styleId="19">
    <w:name w:val="闻政-正文段落文字"/>
    <w:basedOn w:val="1"/>
    <w:autoRedefine/>
    <w:qFormat/>
    <w:uiPriority w:val="3"/>
    <w:pPr>
      <w:spacing w:line="500" w:lineRule="exact"/>
      <w:ind w:firstLine="200"/>
    </w:pPr>
    <w:rPr>
      <w:kern w:val="0"/>
      <w:szCs w:val="28"/>
    </w:rPr>
  </w:style>
  <w:style w:type="character" w:customStyle="1" w:styleId="20">
    <w:name w:val="批注框文本 字符"/>
    <w:basedOn w:val="15"/>
    <w:link w:val="8"/>
    <w:autoRedefine/>
    <w:qFormat/>
    <w:uiPriority w:val="0"/>
    <w:rPr>
      <w:rFonts w:ascii="Times New Roman" w:hAnsi="Times New Roman" w:eastAsia="宋体" w:cs="Times New Roman"/>
      <w:kern w:val="2"/>
      <w:sz w:val="18"/>
      <w:szCs w:val="18"/>
    </w:rPr>
  </w:style>
  <w:style w:type="character" w:customStyle="1" w:styleId="21">
    <w:name w:val="页眉 字符"/>
    <w:basedOn w:val="15"/>
    <w:link w:val="10"/>
    <w:autoRedefine/>
    <w:qFormat/>
    <w:uiPriority w:val="0"/>
    <w:rPr>
      <w:rFonts w:ascii="Times New Roman" w:hAnsi="Times New Roman" w:eastAsia="宋体" w:cs="Times New Roman"/>
      <w:kern w:val="2"/>
      <w:sz w:val="18"/>
      <w:szCs w:val="18"/>
    </w:rPr>
  </w:style>
  <w:style w:type="character" w:customStyle="1" w:styleId="22">
    <w:name w:val="批注文字 字符"/>
    <w:basedOn w:val="15"/>
    <w:link w:val="5"/>
    <w:autoRedefine/>
    <w:qFormat/>
    <w:uiPriority w:val="0"/>
    <w:rPr>
      <w:rFonts w:ascii="Times New Roman" w:hAnsi="Times New Roman" w:eastAsia="宋体" w:cs="Times New Roman"/>
      <w:kern w:val="2"/>
      <w:sz w:val="21"/>
      <w:szCs w:val="24"/>
    </w:rPr>
  </w:style>
  <w:style w:type="character" w:customStyle="1" w:styleId="23">
    <w:name w:val="批注主题 字符"/>
    <w:basedOn w:val="22"/>
    <w:link w:val="11"/>
    <w:autoRedefine/>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6616</Words>
  <Characters>6908</Characters>
  <Lines>75</Lines>
  <Paragraphs>21</Paragraphs>
  <TotalTime>0</TotalTime>
  <ScaleCrop>false</ScaleCrop>
  <LinksUpToDate>false</LinksUpToDate>
  <CharactersWithSpaces>6923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摘星</cp:lastModifiedBy>
  <dcterms:modified xsi:type="dcterms:W3CDTF">2025-07-02T02:55:29Z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F80DCB2C7A804084B6840A7D893DF2FB_13</vt:lpwstr>
  </property>
  <property fmtid="{D5CDD505-2E9C-101B-9397-08002B2CF9AE}" pid="4" name="KSOTemplateDocerSaveRecord">
    <vt:lpwstr>eyJoZGlkIjoiMTgyY2Y5Y2UxZjkwY2NiYzg1MTM4ZmQzOTFhYWJhY2IiLCJ1c2VySWQiOiIzMDg3MDI3MzAifQ==</vt:lpwstr>
  </property>
</Properties>
</file>