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 w:val="32"/>
          <w:szCs w:val="32"/>
        </w:rPr>
      </w:pPr>
      <w:bookmarkStart w:id="50" w:name="_GoBack"/>
      <w:bookmarkEnd w:id="50"/>
    </w:p>
    <w:p>
      <w:pPr>
        <w:jc w:val="center"/>
        <w:rPr>
          <w:rFonts w:hint="eastAsia" w:ascii="方正小标宋_GBK" w:hAnsi="宋体" w:eastAsia="方正小标宋_GBK"/>
          <w:sz w:val="44"/>
          <w:szCs w:val="44"/>
        </w:rPr>
      </w:pP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奇台县老奇台镇中心卫生院（奇台县老奇台镇人口和计划生育生殖健康服务站）</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rPr>
          <w:rFonts w:ascii="仿宋_GB2312" w:eastAsia="仿宋_GB2312"/>
          <w:sz w:val="32"/>
          <w:szCs w:val="32"/>
        </w:rPr>
      </w:pPr>
      <w:r>
        <w:rPr>
          <w:rFonts w:hint="eastAsia" w:ascii="仿宋_GB2312" w:eastAsia="仿宋_GB2312"/>
          <w:sz w:val="32"/>
          <w:szCs w:val="32"/>
        </w:rPr>
        <w:br w:type="page"/>
      </w:r>
    </w:p>
    <w:p>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ind w:firstLine="640" w:firstLineChars="200"/>
        <w:jc w:val="left"/>
        <w:rPr>
          <w:rFonts w:ascii="仿宋_GB2312" w:eastAsia="仿宋_GB2312"/>
          <w:sz w:val="32"/>
          <w:szCs w:val="32"/>
        </w:rPr>
      </w:pPr>
      <w:r>
        <w:rPr>
          <w:rFonts w:hint="eastAsia" w:ascii="仿宋_GB2312" w:eastAsia="仿宋_GB2312"/>
          <w:sz w:val="32"/>
          <w:szCs w:val="32"/>
        </w:rPr>
        <w:t>奇台县老奇台镇中心卫生院是经奇台县人民政府批准设立的股级单位。</w:t>
      </w:r>
    </w:p>
    <w:p>
      <w:pPr>
        <w:ind w:firstLine="640" w:firstLineChars="200"/>
        <w:jc w:val="left"/>
        <w:rPr>
          <w:rFonts w:ascii="仿宋_GB2312" w:eastAsia="仿宋_GB2312"/>
          <w:sz w:val="32"/>
          <w:szCs w:val="32"/>
        </w:rPr>
      </w:pPr>
      <w:r>
        <w:rPr>
          <w:rFonts w:hint="eastAsia" w:ascii="仿宋_GB2312" w:eastAsia="仿宋_GB2312"/>
          <w:sz w:val="32"/>
          <w:szCs w:val="32"/>
        </w:rPr>
        <w:t>以公共卫生服务为主，综合提供预防、保健和基本医疗等服务。加强农村疾病预防控制，做好传染病、地方病防治和疫情等农村</w:t>
      </w:r>
      <w:r>
        <w:rPr>
          <w:rFonts w:hint="eastAsia" w:ascii="仿宋_GB2312" w:eastAsia="仿宋_GB2312"/>
          <w:sz w:val="32"/>
          <w:szCs w:val="32"/>
          <w:lang w:eastAsia="zh-CN"/>
        </w:rPr>
        <w:t>突发公共卫生事件</w:t>
      </w:r>
      <w:r>
        <w:rPr>
          <w:rFonts w:hint="eastAsia" w:ascii="仿宋_GB2312" w:eastAsia="仿宋_GB2312"/>
          <w:sz w:val="32"/>
          <w:szCs w:val="32"/>
        </w:rPr>
        <w:t>报告工作。认真执行儿童计划免疫。积极开展慢性非传染性疾病的防治工作。做好农村孕产妇和儿童保健工作，提高住院分娩率，改善儿童营养状况。积极做好新型农村合作医疗的服务、计划生育技术指导、康复等工作。开展爱国卫生运动，普及疾病预防和卫生保健知识，指导群众改善居住、饮食、饮水和环境卫生条件，引导和帮助农民建立良好的卫生习惯。</w:t>
      </w:r>
    </w:p>
    <w:p>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奇台县老奇台镇中心卫生院（奇台县老奇台镇人口和计划生育生殖健康服务站）2023年度，实有人数</w:t>
      </w:r>
      <w:r>
        <w:rPr>
          <w:rFonts w:hint="eastAsia" w:ascii="仿宋_GB2312" w:eastAsia="仿宋_GB2312"/>
          <w:sz w:val="32"/>
          <w:szCs w:val="32"/>
          <w:lang w:val="zh-CN"/>
        </w:rPr>
        <w:t>44</w:t>
      </w:r>
      <w:r>
        <w:rPr>
          <w:rFonts w:hint="eastAsia" w:ascii="仿宋_GB2312" w:eastAsia="仿宋_GB2312"/>
          <w:sz w:val="32"/>
          <w:szCs w:val="32"/>
        </w:rPr>
        <w:t>人，其中：在职人员</w:t>
      </w:r>
      <w:r>
        <w:rPr>
          <w:rFonts w:hint="eastAsia" w:ascii="仿宋_GB2312" w:eastAsia="仿宋_GB2312"/>
          <w:sz w:val="32"/>
          <w:szCs w:val="32"/>
          <w:lang w:val="zh-CN"/>
        </w:rPr>
        <w:t>29</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15</w:t>
      </w:r>
      <w:r>
        <w:rPr>
          <w:rFonts w:hint="eastAsia" w:ascii="仿宋_GB2312" w:eastAsia="仿宋_GB2312"/>
          <w:sz w:val="32"/>
          <w:szCs w:val="32"/>
        </w:rPr>
        <w:t>人。</w:t>
      </w:r>
    </w:p>
    <w:p>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内科门诊、外科门诊、妇科门诊、儿科门诊、药房、化验室、B超室、放射科、防疫科、妇幼科、公卫科、办公室、财务科。</w:t>
      </w:r>
    </w:p>
    <w:p>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jc w:val="left"/>
        <w:rPr>
          <w:rFonts w:ascii="仿宋_GB2312" w:eastAsia="仿宋_GB2312"/>
          <w:sz w:val="32"/>
          <w:szCs w:val="32"/>
        </w:rPr>
      </w:pPr>
      <w:r>
        <w:rPr>
          <w:rFonts w:hint="eastAsia" w:ascii="仿宋_GB2312" w:eastAsia="仿宋_GB2312"/>
          <w:sz w:val="32"/>
          <w:szCs w:val="32"/>
        </w:rPr>
        <w:t>2023年度收入总计879.71万元，其中：本年收入合计879.71万元，使用非财政拨款结余0.00万元，年初结转和结余0.00万元。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2023年度支出总计879.71万元，其中：本年支出合计879.71万元，结余分配0.00万元，年末结转和结余0.00万元。</w:t>
      </w:r>
    </w:p>
    <w:p>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增加9.84万元</w:t>
      </w:r>
      <w:r>
        <w:rPr>
          <w:rFonts w:hint="eastAsia" w:ascii="仿宋_GB2312" w:eastAsia="仿宋_GB2312"/>
          <w:sz w:val="32"/>
          <w:szCs w:val="32"/>
        </w:rPr>
        <w:t>，增长1.13%，主要原因是：</w:t>
      </w:r>
      <w:bookmarkStart w:id="10" w:name="_Hlk179305654"/>
      <w:r>
        <w:rPr>
          <w:rFonts w:hint="eastAsia" w:ascii="仿宋_GB2312" w:eastAsia="仿宋_GB2312"/>
          <w:sz w:val="32"/>
          <w:szCs w:val="32"/>
        </w:rPr>
        <w:t>2023年中央财政第二批重大传染病防控经费和2023年自治区财政基本医疗卫生补助资金增加</w:t>
      </w:r>
      <w:bookmarkEnd w:id="10"/>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1" w:name="_Toc1979"/>
      <w:bookmarkStart w:id="12" w:name="_Toc12142"/>
      <w:r>
        <w:rPr>
          <w:rFonts w:hint="eastAsia" w:ascii="黑体" w:hAnsi="黑体" w:eastAsia="黑体" w:cs="宋体"/>
          <w:bCs/>
          <w:kern w:val="0"/>
          <w:sz w:val="32"/>
          <w:szCs w:val="32"/>
        </w:rPr>
        <w:t>二、收入决算情况说明</w:t>
      </w:r>
      <w:bookmarkEnd w:id="11"/>
      <w:bookmarkEnd w:id="12"/>
    </w:p>
    <w:p>
      <w:pPr>
        <w:ind w:firstLine="640" w:firstLineChars="200"/>
        <w:jc w:val="left"/>
        <w:rPr>
          <w:rFonts w:ascii="仿宋_GB2312" w:eastAsia="仿宋_GB2312"/>
          <w:sz w:val="32"/>
          <w:szCs w:val="32"/>
        </w:rPr>
      </w:pPr>
      <w:r>
        <w:rPr>
          <w:rFonts w:hint="eastAsia" w:ascii="仿宋_GB2312" w:eastAsia="仿宋_GB2312"/>
          <w:sz w:val="32"/>
          <w:szCs w:val="32"/>
        </w:rPr>
        <w:t>本年收入879.71万元，其中：财政拨款收入</w:t>
      </w:r>
      <w:r>
        <w:rPr>
          <w:rFonts w:hint="eastAsia" w:ascii="仿宋_GB2312" w:eastAsia="仿宋_GB2312"/>
          <w:sz w:val="32"/>
          <w:szCs w:val="32"/>
          <w:lang w:val="zh-CN"/>
        </w:rPr>
        <w:t>805.22</w:t>
      </w:r>
      <w:r>
        <w:rPr>
          <w:rFonts w:hint="eastAsia" w:ascii="仿宋_GB2312" w:eastAsia="仿宋_GB2312"/>
          <w:sz w:val="32"/>
          <w:szCs w:val="32"/>
        </w:rPr>
        <w:t>万元，占</w:t>
      </w:r>
      <w:r>
        <w:rPr>
          <w:rFonts w:hint="eastAsia" w:ascii="仿宋_GB2312" w:eastAsia="仿宋_GB2312"/>
          <w:sz w:val="32"/>
          <w:szCs w:val="32"/>
          <w:lang w:val="zh-CN"/>
        </w:rPr>
        <w:t>91.53%</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65.66</w:t>
      </w:r>
      <w:r>
        <w:rPr>
          <w:rFonts w:hint="eastAsia" w:ascii="仿宋_GB2312" w:eastAsia="仿宋_GB2312"/>
          <w:sz w:val="32"/>
          <w:szCs w:val="32"/>
        </w:rPr>
        <w:t>万元，占</w:t>
      </w:r>
      <w:r>
        <w:rPr>
          <w:rFonts w:hint="eastAsia" w:ascii="仿宋_GB2312" w:eastAsia="仿宋_GB2312"/>
          <w:sz w:val="32"/>
          <w:szCs w:val="32"/>
          <w:lang w:val="zh-CN"/>
        </w:rPr>
        <w:t>7.46%</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8.84</w:t>
      </w:r>
      <w:r>
        <w:rPr>
          <w:rFonts w:hint="eastAsia" w:ascii="仿宋_GB2312" w:eastAsia="仿宋_GB2312"/>
          <w:sz w:val="32"/>
          <w:szCs w:val="32"/>
        </w:rPr>
        <w:t>万元，占</w:t>
      </w:r>
      <w:r>
        <w:rPr>
          <w:rFonts w:hint="eastAsia" w:ascii="仿宋_GB2312" w:eastAsia="仿宋_GB2312"/>
          <w:sz w:val="32"/>
          <w:szCs w:val="32"/>
          <w:lang w:val="zh-CN"/>
        </w:rPr>
        <w:t>1.00%</w:t>
      </w:r>
      <w:r>
        <w:rPr>
          <w:rFonts w:hint="eastAsia" w:ascii="仿宋_GB2312" w:eastAsia="仿宋_GB2312"/>
          <w:sz w:val="32"/>
          <w:szCs w:val="32"/>
        </w:rPr>
        <w:t>。</w:t>
      </w:r>
    </w:p>
    <w:p>
      <w:pPr>
        <w:ind w:firstLine="640" w:firstLineChars="200"/>
        <w:jc w:val="left"/>
        <w:outlineLvl w:val="1"/>
        <w:rPr>
          <w:rFonts w:hint="eastAsia" w:ascii="黑体" w:hAnsi="黑体" w:eastAsia="黑体" w:cs="宋体"/>
          <w:bCs/>
          <w:kern w:val="0"/>
          <w:sz w:val="32"/>
          <w:szCs w:val="32"/>
        </w:rPr>
      </w:pPr>
      <w:bookmarkStart w:id="13" w:name="_Toc27961"/>
      <w:bookmarkStart w:id="14" w:name="_Toc13201"/>
      <w:r>
        <w:rPr>
          <w:rFonts w:hint="eastAsia" w:ascii="黑体" w:hAnsi="黑体" w:eastAsia="黑体" w:cs="宋体"/>
          <w:bCs/>
          <w:kern w:val="0"/>
          <w:sz w:val="32"/>
          <w:szCs w:val="32"/>
        </w:rPr>
        <w:t>三、支出决算情况说明</w:t>
      </w:r>
      <w:bookmarkEnd w:id="13"/>
      <w:bookmarkEnd w:id="14"/>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本年支出879.71万元，其中：基本支出622.19万元，占70.73%；项目支出257.53万元，占29.27%；上缴上级支出0.00万元，占0.00%；经营支出0.00万元，占0.00%；对附属单位补助支出0.00万元，占0.00%。</w:t>
      </w:r>
    </w:p>
    <w:p>
      <w:pPr>
        <w:ind w:firstLine="640" w:firstLineChars="200"/>
        <w:jc w:val="left"/>
        <w:outlineLvl w:val="1"/>
        <w:rPr>
          <w:rFonts w:hint="eastAsia" w:ascii="黑体" w:hAnsi="黑体" w:eastAsia="黑体" w:cs="宋体"/>
          <w:bCs/>
          <w:kern w:val="0"/>
          <w:sz w:val="32"/>
          <w:szCs w:val="32"/>
        </w:rPr>
      </w:pPr>
      <w:bookmarkStart w:id="15" w:name="_Toc4393"/>
      <w:bookmarkStart w:id="16" w:name="_Toc26564"/>
      <w:r>
        <w:rPr>
          <w:rFonts w:hint="eastAsia" w:ascii="黑体" w:hAnsi="黑体" w:eastAsia="黑体" w:cs="宋体"/>
          <w:bCs/>
          <w:kern w:val="0"/>
          <w:sz w:val="32"/>
          <w:szCs w:val="32"/>
        </w:rPr>
        <w:t>四、财政拨款收入支出决算总体情况说明</w:t>
      </w:r>
      <w:bookmarkEnd w:id="15"/>
      <w:bookmarkEnd w:id="16"/>
    </w:p>
    <w:p>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805.22</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805.22</w:t>
      </w:r>
      <w:r>
        <w:rPr>
          <w:rFonts w:hint="eastAsia" w:ascii="仿宋_GB2312" w:eastAsia="仿宋_GB2312"/>
          <w:sz w:val="32"/>
          <w:szCs w:val="32"/>
        </w:rPr>
        <w:t>万元。财政拨款支出总计</w:t>
      </w:r>
      <w:r>
        <w:rPr>
          <w:rFonts w:hint="eastAsia" w:ascii="仿宋_GB2312" w:eastAsia="仿宋_GB2312"/>
          <w:sz w:val="32"/>
          <w:szCs w:val="32"/>
          <w:lang w:val="zh-CN"/>
        </w:rPr>
        <w:t>805.22</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805.22</w:t>
      </w:r>
      <w:r>
        <w:rPr>
          <w:rFonts w:hint="eastAsia" w:ascii="仿宋_GB2312" w:eastAsia="仿宋_GB2312"/>
          <w:sz w:val="32"/>
          <w:szCs w:val="32"/>
        </w:rPr>
        <w:t>万元。</w:t>
      </w:r>
    </w:p>
    <w:p>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减少28.97万元</w:t>
      </w:r>
      <w:r>
        <w:rPr>
          <w:rFonts w:hint="eastAsia" w:ascii="仿宋_GB2312" w:eastAsia="仿宋_GB2312"/>
          <w:sz w:val="32"/>
          <w:szCs w:val="32"/>
        </w:rPr>
        <w:t>，下降3.47%,主要原因是：本年人员减少，人员工资，津补贴等相应经费减少。与年初预算相比，年初预算数</w:t>
      </w:r>
      <w:r>
        <w:rPr>
          <w:rFonts w:hint="eastAsia" w:ascii="仿宋_GB2312" w:eastAsia="仿宋_GB2312"/>
          <w:sz w:val="32"/>
          <w:szCs w:val="32"/>
          <w:lang w:val="zh-CN"/>
        </w:rPr>
        <w:t>545.67</w:t>
      </w:r>
      <w:r>
        <w:rPr>
          <w:rFonts w:hint="eastAsia" w:ascii="仿宋_GB2312" w:eastAsia="仿宋_GB2312"/>
          <w:sz w:val="32"/>
          <w:szCs w:val="32"/>
        </w:rPr>
        <w:t>万元，决算数</w:t>
      </w:r>
      <w:r>
        <w:rPr>
          <w:rFonts w:hint="eastAsia" w:ascii="仿宋_GB2312" w:eastAsia="仿宋_GB2312"/>
          <w:sz w:val="32"/>
          <w:szCs w:val="32"/>
          <w:lang w:val="zh-CN"/>
        </w:rPr>
        <w:t>805.22</w:t>
      </w:r>
      <w:r>
        <w:rPr>
          <w:rFonts w:hint="eastAsia" w:ascii="仿宋_GB2312" w:eastAsia="仿宋_GB2312"/>
          <w:sz w:val="32"/>
          <w:szCs w:val="32"/>
        </w:rPr>
        <w:t>万元，预决算差异率47.57%，主要原因是：年中追加2023年中央财政第二批重大传染病防控经费和2023年自治区财政基本医疗卫生补助资金。</w:t>
      </w:r>
    </w:p>
    <w:p>
      <w:pPr>
        <w:ind w:firstLine="640" w:firstLineChars="200"/>
        <w:jc w:val="left"/>
        <w:outlineLvl w:val="1"/>
        <w:rPr>
          <w:rFonts w:hint="eastAsia" w:ascii="黑体" w:hAnsi="黑体" w:eastAsia="黑体" w:cs="宋体"/>
          <w:bCs/>
          <w:kern w:val="0"/>
          <w:sz w:val="32"/>
          <w:szCs w:val="32"/>
        </w:rPr>
      </w:pPr>
      <w:bookmarkStart w:id="17" w:name="_Toc20360"/>
      <w:bookmarkStart w:id="18" w:name="_Toc13833"/>
      <w:r>
        <w:rPr>
          <w:rFonts w:hint="eastAsia" w:ascii="黑体" w:hAnsi="黑体" w:eastAsia="黑体" w:cs="宋体"/>
          <w:bCs/>
          <w:kern w:val="0"/>
          <w:sz w:val="32"/>
          <w:szCs w:val="32"/>
        </w:rPr>
        <w:t>五、一般公共预算财政拨款支出决算情况说明</w:t>
      </w:r>
      <w:bookmarkEnd w:id="17"/>
      <w:bookmarkEnd w:id="18"/>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2023年度一般公共预算财政拨款支出771.18万元，占本年支出合计的</w:t>
      </w:r>
      <w:r>
        <w:rPr>
          <w:rFonts w:hint="eastAsia" w:ascii="仿宋_GB2312" w:eastAsia="仿宋_GB2312"/>
          <w:sz w:val="32"/>
          <w:szCs w:val="32"/>
          <w:lang w:val="zh-CN"/>
        </w:rPr>
        <w:t>87.66%</w:t>
      </w:r>
      <w:r>
        <w:rPr>
          <w:rFonts w:hint="eastAsia" w:ascii="仿宋_GB2312" w:eastAsia="仿宋_GB2312"/>
          <w:sz w:val="32"/>
          <w:szCs w:val="32"/>
        </w:rPr>
        <w:t>。与上年相比，</w:t>
      </w:r>
      <w:r>
        <w:rPr>
          <w:rFonts w:hint="eastAsia" w:ascii="仿宋_GB2312" w:eastAsia="仿宋_GB2312"/>
          <w:sz w:val="32"/>
          <w:szCs w:val="32"/>
          <w:lang w:val="zh-CN"/>
        </w:rPr>
        <w:t>减少63.01万元</w:t>
      </w:r>
      <w:r>
        <w:rPr>
          <w:rFonts w:hint="eastAsia" w:ascii="仿宋_GB2312" w:eastAsia="仿宋_GB2312"/>
          <w:sz w:val="32"/>
          <w:szCs w:val="32"/>
        </w:rPr>
        <w:t>，下降7.55%,主要原因是：本年人员减少，人员工资，津补贴等相应经费减少。与年初预算相比，年初预算数</w:t>
      </w:r>
      <w:r>
        <w:rPr>
          <w:rFonts w:hint="eastAsia" w:ascii="仿宋_GB2312" w:eastAsia="仿宋_GB2312"/>
          <w:sz w:val="32"/>
          <w:szCs w:val="32"/>
          <w:lang w:val="zh-CN"/>
        </w:rPr>
        <w:t>545.67</w:t>
      </w:r>
      <w:r>
        <w:rPr>
          <w:rFonts w:hint="eastAsia" w:ascii="仿宋_GB2312" w:eastAsia="仿宋_GB2312"/>
          <w:sz w:val="32"/>
          <w:szCs w:val="32"/>
        </w:rPr>
        <w:t>万元，决算数</w:t>
      </w:r>
      <w:r>
        <w:rPr>
          <w:rFonts w:hint="eastAsia" w:ascii="仿宋_GB2312" w:eastAsia="仿宋_GB2312"/>
          <w:sz w:val="32"/>
          <w:szCs w:val="32"/>
          <w:lang w:val="zh-CN"/>
        </w:rPr>
        <w:t>771.18</w:t>
      </w:r>
      <w:r>
        <w:rPr>
          <w:rFonts w:hint="eastAsia" w:ascii="仿宋_GB2312" w:eastAsia="仿宋_GB2312"/>
          <w:sz w:val="32"/>
          <w:szCs w:val="32"/>
        </w:rPr>
        <w:t>万元，预决算差异率</w:t>
      </w:r>
      <w:r>
        <w:rPr>
          <w:rFonts w:hint="eastAsia" w:ascii="仿宋_GB2312" w:eastAsia="仿宋_GB2312"/>
          <w:sz w:val="32"/>
          <w:szCs w:val="32"/>
          <w:lang w:val="zh-CN"/>
        </w:rPr>
        <w:t>41.33%</w:t>
      </w:r>
      <w:r>
        <w:rPr>
          <w:rFonts w:hint="eastAsia" w:ascii="仿宋_GB2312" w:eastAsia="仿宋_GB2312"/>
          <w:sz w:val="32"/>
          <w:szCs w:val="32"/>
        </w:rPr>
        <w:t>，主要原因是：年中追加2023年中央财政第二批重大传染病防控经费和2023年自治区财政基本医疗卫生补助资金。</w:t>
      </w:r>
    </w:p>
    <w:p>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88.43</w:t>
      </w:r>
      <w:r>
        <w:rPr>
          <w:rFonts w:ascii="仿宋_GB2312" w:eastAsia="仿宋_GB2312"/>
          <w:kern w:val="2"/>
          <w:sz w:val="32"/>
          <w:szCs w:val="32"/>
          <w:lang w:val="zh-CN"/>
        </w:rPr>
        <w:t>万元，占</w:t>
      </w:r>
      <w:r>
        <w:rPr>
          <w:rFonts w:hint="eastAsia" w:ascii="仿宋_GB2312" w:eastAsia="仿宋_GB2312"/>
          <w:kern w:val="2"/>
          <w:sz w:val="32"/>
          <w:szCs w:val="32"/>
          <w:lang w:val="zh-CN"/>
        </w:rPr>
        <w:t>11.47%</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643.83</w:t>
      </w:r>
      <w:r>
        <w:rPr>
          <w:rFonts w:ascii="仿宋_GB2312" w:eastAsia="仿宋_GB2312"/>
          <w:kern w:val="2"/>
          <w:sz w:val="32"/>
          <w:szCs w:val="32"/>
          <w:lang w:val="zh-CN"/>
        </w:rPr>
        <w:t>万元，占</w:t>
      </w:r>
      <w:r>
        <w:rPr>
          <w:rFonts w:hint="eastAsia" w:ascii="仿宋_GB2312" w:eastAsia="仿宋_GB2312"/>
          <w:kern w:val="2"/>
          <w:sz w:val="32"/>
          <w:szCs w:val="32"/>
          <w:lang w:val="zh-CN"/>
        </w:rPr>
        <w:t>83.49%</w:t>
      </w:r>
      <w:r>
        <w:rPr>
          <w:rFonts w:ascii="仿宋_GB2312" w:eastAsia="仿宋_GB2312"/>
          <w:kern w:val="2"/>
          <w:sz w:val="32"/>
          <w:szCs w:val="32"/>
          <w:lang w:val="zh-CN"/>
        </w:rPr>
        <w:t>；</w:t>
      </w:r>
    </w:p>
    <w:p>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3</w:t>
      </w:r>
      <w:r>
        <w:rPr>
          <w:rFonts w:ascii="仿宋_GB2312" w:eastAsia="仿宋_GB2312"/>
          <w:kern w:val="2"/>
          <w:sz w:val="32"/>
          <w:szCs w:val="32"/>
          <w:lang w:val="zh-CN"/>
        </w:rPr>
        <w:t>.住房保障支出（类）</w:t>
      </w:r>
      <w:r>
        <w:rPr>
          <w:rFonts w:hint="eastAsia" w:ascii="仿宋_GB2312" w:eastAsia="仿宋_GB2312"/>
          <w:kern w:val="2"/>
          <w:sz w:val="32"/>
          <w:szCs w:val="32"/>
          <w:lang w:val="zh-CN"/>
        </w:rPr>
        <w:t>38.92</w:t>
      </w:r>
      <w:r>
        <w:rPr>
          <w:rFonts w:ascii="仿宋_GB2312" w:eastAsia="仿宋_GB2312"/>
          <w:kern w:val="2"/>
          <w:sz w:val="32"/>
          <w:szCs w:val="32"/>
          <w:lang w:val="zh-CN"/>
        </w:rPr>
        <w:t>万元，占</w:t>
      </w:r>
      <w:r>
        <w:rPr>
          <w:rFonts w:hint="eastAsia" w:ascii="仿宋_GB2312" w:eastAsia="仿宋_GB2312"/>
          <w:kern w:val="2"/>
          <w:sz w:val="32"/>
          <w:szCs w:val="32"/>
          <w:lang w:val="zh-CN"/>
        </w:rPr>
        <w:t>5.05%。</w:t>
      </w:r>
    </w:p>
    <w:p>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1.卫生健康支出（类）行政事业单位医疗（款）其他行政事业单位医疗支出（项）:支出决算数为0.27万元，比上年决算减少0.03万元，下降10.00%，主要原因是：</w:t>
      </w:r>
      <w:r>
        <w:rPr>
          <w:rFonts w:hint="eastAsia" w:ascii="仿宋_GB2312" w:hAnsi="仿宋_GB2312" w:eastAsia="仿宋_GB2312" w:cs="仿宋_GB2312"/>
          <w:sz w:val="32"/>
          <w:szCs w:val="32"/>
          <w:lang w:val="zh-CN"/>
        </w:rPr>
        <w:t>本年人员减少，大病医疗经费减少。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2.卫生健康支出（类）行政事业单位医疗（款）事业单位医疗（项）:支出决算数为30.82万元，比上年决算减少1.55万元，下降4.79%，主要原因是：</w:t>
      </w:r>
      <w:r>
        <w:rPr>
          <w:rFonts w:hint="eastAsia" w:ascii="仿宋_GB2312" w:hAnsi="仿宋_GB2312" w:eastAsia="仿宋_GB2312" w:cs="仿宋_GB2312"/>
          <w:sz w:val="32"/>
          <w:szCs w:val="32"/>
          <w:lang w:val="zh-CN"/>
        </w:rPr>
        <w:t>本年人员减少，</w:t>
      </w:r>
      <w:r>
        <w:rPr>
          <w:rFonts w:hint="eastAsia" w:ascii="仿宋_GB2312" w:hAnsi="仿宋_GB2312" w:eastAsia="仿宋_GB2312" w:cs="仿宋_GB2312"/>
          <w:sz w:val="32"/>
          <w:szCs w:val="32"/>
        </w:rPr>
        <w:t>事业单位医疗减少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3.卫生健康支出（类）基层医疗卫生机构（款）其他基层医疗卫生机构支出（项）:支出决算数为85.66万元，比上年决算增加28.10万元，增长48.82%，主要原因是：</w:t>
      </w:r>
      <w:r>
        <w:rPr>
          <w:rFonts w:hint="eastAsia" w:ascii="仿宋_GB2312" w:hAnsi="仿宋_GB2312" w:eastAsia="仿宋_GB2312" w:cs="仿宋_GB2312"/>
          <w:sz w:val="32"/>
          <w:szCs w:val="32"/>
          <w:lang w:val="zh-CN"/>
        </w:rPr>
        <w:t>2023年中央财政基本药物补助资金增加。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4.卫生健康支出（类）公共卫生（款）其他公共卫生支出（项）:支出决算数为26.84万元，比上年决算减少1.02万元，下降3.66%，主要原因是：</w:t>
      </w:r>
      <w:r>
        <w:rPr>
          <w:rFonts w:hint="eastAsia" w:ascii="仿宋_GB2312" w:hAnsi="仿宋_GB2312" w:eastAsia="仿宋_GB2312" w:cs="仿宋_GB2312"/>
          <w:sz w:val="32"/>
          <w:szCs w:val="32"/>
          <w:lang w:val="zh-CN"/>
        </w:rPr>
        <w:t>本年医疗卫生防控资金减少。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5.卫生健康支出（类）基层医疗卫生机构（款）乡镇卫生院（项）:支出决算数为389.26万元，比上年决算减少83.09万元，下降17.59%，主要原因是：</w:t>
      </w:r>
      <w:r>
        <w:rPr>
          <w:rFonts w:hint="eastAsia" w:ascii="仿宋_GB2312" w:hAnsi="仿宋_GB2312" w:eastAsia="仿宋_GB2312" w:cs="仿宋_GB2312"/>
          <w:sz w:val="32"/>
          <w:szCs w:val="32"/>
          <w:lang w:val="zh-CN"/>
        </w:rPr>
        <w:t>本年人员减少，人员工资，津补贴，奖金等相应经费减少。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6.住房保障支出（类）住房改革支出（款）住房公积金（项）:支出决算数为38.92万元，比上年决算减少5.91万元，下降13.18%，主要原因是：</w:t>
      </w:r>
      <w:r>
        <w:rPr>
          <w:rFonts w:hint="eastAsia" w:ascii="仿宋_GB2312" w:hAnsi="仿宋_GB2312" w:eastAsia="仿宋_GB2312" w:cs="仿宋_GB2312"/>
          <w:sz w:val="32"/>
          <w:szCs w:val="32"/>
          <w:lang w:val="zh-CN"/>
        </w:rPr>
        <w:t>本年人员减少，单位</w:t>
      </w:r>
      <w:r>
        <w:rPr>
          <w:rFonts w:hint="eastAsia" w:ascii="仿宋_GB2312" w:hAnsi="仿宋_GB2312" w:eastAsia="仿宋_GB2312" w:cs="仿宋_GB2312"/>
          <w:sz w:val="32"/>
          <w:szCs w:val="32"/>
        </w:rPr>
        <w:t>住房公积金缴费减少</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7.社会保障和就业支出（类）抚恤（款）死亡抚恤（项）:支出决算数为15.03万元，比上年决算增加15.03万元，增长100%，主要原因是：</w:t>
      </w:r>
      <w:r>
        <w:rPr>
          <w:rFonts w:hint="eastAsia" w:ascii="仿宋_GB2312" w:hAnsi="仿宋_GB2312" w:eastAsia="仿宋_GB2312" w:cs="仿宋_GB2312"/>
          <w:sz w:val="32"/>
          <w:szCs w:val="32"/>
          <w:lang w:val="zh-CN"/>
        </w:rPr>
        <w:t>2023年度单位有职工去世，增加人员死亡抚恤金。</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8.卫生健康支出（类）中医药（款）中医（民族医）药专项（项）:支出决算数为10.00万元，比上年决算增加10.00万元，增长100%，主要原因是：本年</w:t>
      </w:r>
      <w:r>
        <w:rPr>
          <w:rFonts w:hint="eastAsia" w:ascii="仿宋_GB2312" w:hAnsi="仿宋_GB2312" w:eastAsia="仿宋_GB2312" w:cs="仿宋_GB2312"/>
          <w:sz w:val="32"/>
          <w:szCs w:val="32"/>
          <w:lang w:val="zh-CN"/>
        </w:rPr>
        <w:t>加大了对中医药事业的支持力度，中医药特色服务项目经费增加。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9.社会保障和就业支出（类）行政事业单位养老支出（款）事业单位离退休（项）:支出决算数为5.80万元，比上年决算增加5.80万元，增长100%，主要原因是：</w:t>
      </w:r>
      <w:r>
        <w:rPr>
          <w:rFonts w:hint="eastAsia" w:ascii="仿宋_GB2312" w:hAnsi="仿宋_GB2312" w:eastAsia="仿宋_GB2312" w:cs="仿宋_GB2312"/>
          <w:sz w:val="32"/>
          <w:szCs w:val="32"/>
          <w:lang w:val="zh-CN"/>
        </w:rPr>
        <w:t>本年退休人员增加，取暖费和交通费等增加。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10.卫生健康支出（类）公共卫生（款）基本公共卫生服务（项）:支出决算数为99.73万元，比上年决算增加7.36万元，增长7.97%，主要原因是：</w:t>
      </w:r>
      <w:r>
        <w:rPr>
          <w:rFonts w:hint="eastAsia" w:ascii="仿宋_GB2312" w:hAnsi="仿宋_GB2312" w:eastAsia="仿宋_GB2312" w:cs="仿宋_GB2312"/>
          <w:sz w:val="32"/>
          <w:szCs w:val="32"/>
          <w:lang w:val="zh-CN"/>
        </w:rPr>
        <w:t>2023年基本医疗卫生中央财政补助资金增加。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11.社会保障和就业支出（类）行政事业单位养老支出（款）机关事业单位职业年金缴费支出（项）:支出决算数为18.93万元，比上年决算增加18.93万元，增长100%，主要原因是：</w:t>
      </w:r>
      <w:r>
        <w:rPr>
          <w:rFonts w:hint="eastAsia" w:ascii="仿宋_GB2312" w:hAnsi="仿宋_GB2312" w:eastAsia="仿宋_GB2312" w:cs="仿宋_GB2312"/>
          <w:sz w:val="32"/>
          <w:szCs w:val="32"/>
          <w:lang w:val="zh-CN"/>
        </w:rPr>
        <w:t>本年退休人员增加，</w:t>
      </w:r>
      <w:r>
        <w:rPr>
          <w:rFonts w:hint="eastAsia" w:ascii="仿宋_GB2312" w:hAnsi="仿宋_GB2312" w:eastAsia="仿宋_GB2312" w:cs="仿宋_GB2312"/>
          <w:sz w:val="32"/>
          <w:szCs w:val="32"/>
        </w:rPr>
        <w:t>单位职业年金缴费增加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12.卫生健康支出（类）公共卫生（款）重大公共卫生服务（项）:支出决算数为1.25万元，比上年决算增加1.21万元，增长3,025.00%，主要原因是：</w:t>
      </w:r>
      <w:r>
        <w:rPr>
          <w:rFonts w:hint="eastAsia" w:ascii="仿宋_GB2312" w:hAnsi="仿宋_GB2312" w:eastAsia="仿宋_GB2312" w:cs="仿宋_GB2312"/>
          <w:sz w:val="32"/>
          <w:szCs w:val="32"/>
          <w:lang w:val="zh-CN"/>
        </w:rPr>
        <w:t>2023年中央财政第二批重大传染病防控经费增加。</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13.社会保障和就业支出（类）行政事业单位养老支出（款）机关事业单位基本养老保险缴费支出（项）:支出决算数为48.66万元，比上年决算增加0.16万元，增长0.33%，主要原因是：</w:t>
      </w:r>
      <w:r>
        <w:rPr>
          <w:rFonts w:hint="eastAsia" w:ascii="仿宋_GB2312" w:hAnsi="仿宋_GB2312" w:eastAsia="仿宋_GB2312" w:cs="仿宋_GB2312"/>
          <w:sz w:val="32"/>
          <w:szCs w:val="32"/>
          <w:lang w:val="zh-CN"/>
        </w:rPr>
        <w:t>本年社保基数调增，</w:t>
      </w:r>
      <w:r>
        <w:rPr>
          <w:rFonts w:hint="eastAsia" w:ascii="仿宋_GB2312" w:hAnsi="仿宋_GB2312" w:eastAsia="仿宋_GB2312" w:cs="仿宋_GB2312"/>
          <w:sz w:val="32"/>
          <w:szCs w:val="32"/>
        </w:rPr>
        <w:t>单位基本养老保险缴费增加</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14.社会保障和就业支出（类）其他社会保障和就业支出（款）其他社会保障和就业支出（项）:支出决算数为0.00万元，比上年决算减少0.87万元，下降100%，主要原因是：本年此科目减少其他社会保障缴费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15.卫生健康支出（类）公共卫生（款）突发公共卫生事件应急处理（项）:支出决算数为0.00万元，比上年决算减少57.00万元，下降100%，主要原因是：本年减少医疗物资购买经费</w:t>
      </w:r>
      <w:r>
        <w:rPr>
          <w:rFonts w:hint="eastAsia" w:ascii="仿宋_GB2312" w:hAnsi="仿宋_GB2312" w:eastAsia="仿宋_GB2312" w:cs="仿宋_GB2312"/>
          <w:sz w:val="32"/>
          <w:szCs w:val="32"/>
          <w:lang w:val="zh-CN"/>
        </w:rPr>
        <w:t>。</w:t>
      </w:r>
    </w:p>
    <w:p>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16.卫生健康支出（类）计划生育事务（款）计划生育服务（项）:支出决算数为0.00万元，比上年决算减少0.13万元，下降100%，主要原因是：本年单位减少卫生计生设备购置项目</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547.69万元，其中：人员经费547.69万元，包括：基本工资、津贴补贴、奖金、绩效工资、机关事业单位基本养老保险缴费、职业年金缴费、职工基本医疗保险缴费、其他社会保障缴费、住房公积金、退休费、抚恤金、生活补助、奖励金。</w:t>
      </w:r>
    </w:p>
    <w:p>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公用经费0.00万元，单位无公用经费。</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3辆，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原因是：差异车辆为一般业务用车3辆，预算未安排公务用车运行维护费。</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总计34.04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本年收入34.04</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总计34.04</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本年支出34.04</w:t>
      </w:r>
      <w:r>
        <w:rPr>
          <w:rFonts w:hint="eastAsia" w:ascii="仿宋_GB2312" w:hAnsi="仿宋_GB2312" w:eastAsia="仿宋_GB2312" w:cs="仿宋_GB2312"/>
          <w:sz w:val="32"/>
          <w:szCs w:val="32"/>
          <w:lang w:val="zh-CN"/>
        </w:rPr>
        <w:t>万元。</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与上年相比，增加34.04万元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主要原因是：本年新增基本药物制度补助资金，</w:t>
      </w:r>
      <w:r>
        <w:rPr>
          <w:rFonts w:hint="eastAsia" w:ascii="仿宋_GB2312" w:hAnsi="仿宋_GB2312" w:eastAsia="仿宋_GB2312" w:cs="仿宋_GB2312"/>
          <w:sz w:val="32"/>
          <w:szCs w:val="32"/>
        </w:rPr>
        <w:t>用于改善医疗卫生设施和条件</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34.04</w:t>
      </w:r>
      <w:r>
        <w:rPr>
          <w:rFonts w:hint="eastAsia" w:ascii="仿宋_GB2312" w:hAnsi="仿宋_GB2312" w:eastAsia="仿宋_GB2312" w:cs="仿宋_GB2312"/>
          <w:sz w:val="32"/>
          <w:szCs w:val="32"/>
          <w:lang w:val="zh-CN"/>
        </w:rPr>
        <w:t>万元，预决算差异率100.00%，主要原因是：年中追加基本药物制度补助资金。</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政府性基金预算财政拨款支出34.04万元。</w:t>
      </w:r>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1.其他支出（类）彩票公益金安排的支出（款）用于其他社会公益事业的彩票公益金支出（项）:支出决算数为34.04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34.04</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100%，主要原因是：本年新增基本药物制度补助资金，</w:t>
      </w:r>
      <w:r>
        <w:rPr>
          <w:rFonts w:hint="eastAsia" w:ascii="仿宋_GB2312" w:hAnsi="仿宋_GB2312" w:eastAsia="仿宋_GB2312" w:cs="仿宋_GB2312"/>
          <w:sz w:val="32"/>
          <w:szCs w:val="32"/>
        </w:rPr>
        <w:t>用于改善医疗卫生设施和条件</w:t>
      </w:r>
      <w:r>
        <w:rPr>
          <w:rFonts w:hint="eastAsia" w:ascii="仿宋_GB2312" w:hAnsi="仿宋_GB2312" w:eastAsia="仿宋_GB2312" w:cs="仿宋_GB2312"/>
          <w:sz w:val="32"/>
          <w:szCs w:val="32"/>
          <w:lang w:val="zh-CN"/>
        </w:rPr>
        <w:t>。</w:t>
      </w:r>
    </w:p>
    <w:p>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奇台县老奇台镇中心卫生院（奇台县老奇台镇人口和计划生育生殖健康服务站）（事业单位）公用经费支出0.00万元，</w:t>
      </w:r>
      <w:r>
        <w:rPr>
          <w:rFonts w:hint="eastAsia" w:ascii="仿宋_GB2312" w:hAnsi="仿宋_GB2312" w:eastAsia="仿宋_GB2312" w:cs="仿宋_GB2312"/>
          <w:sz w:val="32"/>
          <w:szCs w:val="32"/>
          <w:lang w:val="zh-CN"/>
        </w:rPr>
        <w:t>比上年减少28.87万元，下降100.00%，主要原因是：单位本年财政未安排公用经费支出，单位用医疗收入安排公用经费。</w:t>
      </w:r>
    </w:p>
    <w:p>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2023年度政府采购支出总额20.62万元，其中：政府采购货物支出8.45万元、政府采购工程支出7.60万元、政府采购服务支出4.57万元。</w:t>
      </w:r>
    </w:p>
    <w:p>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授予中小企业合同金额20.14万元，占政府采购支出总额的97.67%，其中：授予小微企业合同金额19.34万元，占政府采购支出总额的93.79%</w:t>
      </w:r>
      <w:r>
        <w:rPr>
          <w:rFonts w:hint="eastAsia" w:ascii="仿宋_GB2312" w:hAnsi="仿宋_GB2312" w:eastAsia="仿宋_GB2312" w:cs="仿宋_GB2312"/>
          <w:sz w:val="32"/>
          <w:szCs w:val="32"/>
        </w:rPr>
        <w:t>。</w:t>
      </w:r>
    </w:p>
    <w:p>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469.17</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屋4,095.68平方米，价值159.61万元。车辆3辆，价值51.17万元，其中：副部（省）级及以上领导用车0辆、主要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用车0辆、机要通信用车0辆、应急保障用车0辆、执法执勤用车0辆、特种专业技术用车2辆、离退休干部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pPr>
        <w:ind w:firstLine="640" w:firstLineChars="200"/>
        <w:jc w:val="left"/>
        <w:outlineLvl w:val="1"/>
        <w:rPr>
          <w:rFonts w:hint="eastAsia" w:ascii="黑体" w:hAnsi="黑体" w:eastAsia="黑体" w:cs="宋体"/>
          <w:bCs/>
          <w:kern w:val="0"/>
          <w:sz w:val="32"/>
          <w:szCs w:val="32"/>
        </w:rPr>
      </w:pPr>
      <w:bookmarkStart w:id="29" w:name="_Toc11283"/>
      <w:bookmarkStart w:id="30" w:name="_Toc435"/>
      <w:r>
        <w:rPr>
          <w:rFonts w:hint="eastAsia" w:ascii="黑体" w:hAnsi="黑体" w:eastAsia="黑体" w:cs="宋体"/>
          <w:bCs/>
          <w:kern w:val="0"/>
          <w:sz w:val="32"/>
          <w:szCs w:val="32"/>
        </w:rPr>
        <w:t>十一、预算绩效的情况说明</w:t>
      </w:r>
      <w:bookmarkEnd w:id="29"/>
      <w:bookmarkEnd w:id="30"/>
    </w:p>
    <w:p>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879.71</w:t>
      </w:r>
      <w:r>
        <w:rPr>
          <w:rFonts w:hint="eastAsia" w:ascii="仿宋_GB2312" w:eastAsia="仿宋_GB2312"/>
          <w:sz w:val="32"/>
          <w:szCs w:val="32"/>
        </w:rPr>
        <w:t>万元，实际执行总额</w:t>
      </w:r>
      <w:r>
        <w:rPr>
          <w:rFonts w:ascii="仿宋_GB2312" w:eastAsia="仿宋_GB2312"/>
          <w:sz w:val="32"/>
          <w:szCs w:val="32"/>
        </w:rPr>
        <w:t>879.71</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提高了资金使用的合理性和效率，确保了资金能够更好地支持卫生院的各项工作，为居民提供更优质的医疗服务；二是增强了员工的绩效意识，促使各部门更加注重工作质量和效果，推动了卫生院整体服务水平的提升。发现的问题及原因：一是部分绩效指标设置不够科学，难以准确衡量工作成效，原因在于对工作目标和重点的把握不够精准；二是绩效评价结果的应用不够充分，未能充分发挥其对工作改进的指导作用，主要是因为缺乏有效的反馈和沟通机制。下一步改进措施：一是进一步优化绩效指标体系，使其更具针对性和可操作性，能够准确反映工作实际情况；二是加强绩效评价结果的应用，建立健全反馈和沟通机制，及时将评价结果反馈给相关部门和人员，推动工作改进和提升。具体项目自评情况附绩效自评表及自评报告。</w:t>
      </w:r>
    </w:p>
    <w:p>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jc w:val="center"/>
        <w:tblInd w:w="0" w:type="dxa"/>
        <w:tblLayout w:type="fixed"/>
        <w:tblCellMar>
          <w:top w:w="0" w:type="dxa"/>
          <w:left w:w="108" w:type="dxa"/>
          <w:bottom w:w="0" w:type="dxa"/>
          <w:right w:w="108" w:type="dxa"/>
        </w:tblCellMar>
      </w:tblPr>
      <w:tblGrid>
        <w:gridCol w:w="993"/>
        <w:gridCol w:w="1417"/>
        <w:gridCol w:w="1418"/>
        <w:gridCol w:w="1276"/>
        <w:gridCol w:w="1842"/>
        <w:gridCol w:w="993"/>
        <w:gridCol w:w="992"/>
        <w:gridCol w:w="720"/>
      </w:tblGrid>
      <w:tr>
        <w:tblPrEx>
          <w:tblLayout w:type="fixed"/>
          <w:tblCellMar>
            <w:top w:w="0" w:type="dxa"/>
            <w:left w:w="108" w:type="dxa"/>
            <w:bottom w:w="0" w:type="dxa"/>
            <w:right w:w="108" w:type="dxa"/>
          </w:tblCellMar>
        </w:tblPrEx>
        <w:trPr>
          <w:trHeight w:val="660" w:hRule="atLeast"/>
          <w:jc w:val="center"/>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pPr>
              <w:jc w:val="center"/>
            </w:pPr>
            <w:r>
              <w:rPr>
                <w:rFonts w:ascii="宋体" w:hAnsi="宋体"/>
                <w:sz w:val="18"/>
              </w:rPr>
              <w:t>奇台县老奇台镇中心卫生院</w:t>
            </w:r>
          </w:p>
        </w:tc>
      </w:tr>
      <w:tr>
        <w:tblPrEx>
          <w:tblLayout w:type="fixed"/>
          <w:tblCellMar>
            <w:top w:w="0" w:type="dxa"/>
            <w:left w:w="108" w:type="dxa"/>
            <w:bottom w:w="0" w:type="dxa"/>
            <w:right w:w="108" w:type="dxa"/>
          </w:tblCellMar>
        </w:tblPrEx>
        <w:trPr>
          <w:trHeight w:val="570"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48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中央安排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c>
          <w:tcPr>
            <w:tcW w:w="99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10</w:t>
            </w:r>
          </w:p>
        </w:tc>
      </w:tr>
      <w:tr>
        <w:tblPrEx>
          <w:tblLayout w:type="fixed"/>
          <w:tblCellMar>
            <w:top w:w="0" w:type="dxa"/>
            <w:left w:w="108" w:type="dxa"/>
            <w:bottom w:w="0" w:type="dxa"/>
            <w:right w:w="108" w:type="dxa"/>
          </w:tblCellMar>
        </w:tblPrEx>
        <w:trPr>
          <w:trHeight w:val="42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281"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0.00</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sz w:val="18"/>
                <w:szCs w:val="18"/>
              </w:rPr>
              <w:t>-</w:t>
            </w:r>
          </w:p>
        </w:tc>
      </w:tr>
      <w:tr>
        <w:tblPrEx>
          <w:tblLayout w:type="fixed"/>
          <w:tblCellMar>
            <w:top w:w="0" w:type="dxa"/>
            <w:left w:w="108" w:type="dxa"/>
            <w:bottom w:w="0" w:type="dxa"/>
            <w:right w:w="108" w:type="dxa"/>
          </w:tblCellMar>
        </w:tblPrEx>
        <w:trPr>
          <w:trHeight w:val="373"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545.67</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805.22</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805.22</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59"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86.00</w:t>
            </w:r>
          </w:p>
        </w:tc>
        <w:tc>
          <w:tcPr>
            <w:tcW w:w="1276"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74.49</w:t>
            </w:r>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74.49</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41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合计</w:t>
            </w:r>
          </w:p>
        </w:tc>
        <w:tc>
          <w:tcPr>
            <w:tcW w:w="1418"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631.67</w:t>
            </w:r>
          </w:p>
        </w:tc>
        <w:tc>
          <w:tcPr>
            <w:tcW w:w="1276" w:type="dxa"/>
            <w:tcBorders>
              <w:top w:val="nil"/>
              <w:left w:val="nil"/>
              <w:bottom w:val="single" w:color="auto" w:sz="4" w:space="0"/>
              <w:right w:val="single" w:color="auto" w:sz="4" w:space="0"/>
            </w:tcBorders>
            <w:shd w:val="clear" w:color="auto" w:fill="auto"/>
            <w:vAlign w:val="center"/>
          </w:tcPr>
          <w:p>
            <w:pPr>
              <w:jc w:val="center"/>
            </w:pPr>
            <w:bookmarkStart w:id="31" w:name="_Hlk179297584"/>
            <w:r>
              <w:rPr>
                <w:rFonts w:ascii="宋体" w:hAnsi="宋体"/>
                <w:sz w:val="18"/>
              </w:rPr>
              <w:t>879.71</w:t>
            </w:r>
            <w:bookmarkEnd w:id="31"/>
          </w:p>
        </w:tc>
        <w:tc>
          <w:tcPr>
            <w:tcW w:w="1842" w:type="dxa"/>
            <w:tcBorders>
              <w:top w:val="nil"/>
              <w:left w:val="nil"/>
              <w:bottom w:val="single" w:color="auto" w:sz="4" w:space="0"/>
              <w:right w:val="single" w:color="auto" w:sz="4" w:space="0"/>
            </w:tcBorders>
            <w:shd w:val="clear" w:color="auto" w:fill="auto"/>
            <w:vAlign w:val="center"/>
          </w:tcPr>
          <w:p>
            <w:pPr>
              <w:jc w:val="center"/>
            </w:pPr>
            <w:r>
              <w:rPr>
                <w:rFonts w:ascii="宋体" w:hAnsi="宋体"/>
                <w:sz w:val="18"/>
              </w:rPr>
              <w:t>879.71</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kern w:val="0"/>
                <w:sz w:val="18"/>
                <w:szCs w:val="18"/>
              </w:rPr>
            </w:pPr>
            <w:r>
              <w:rPr>
                <w:rFonts w:hint="eastAsia" w:ascii="宋体" w:hAnsi="宋体" w:cs="宋体"/>
                <w:kern w:val="0"/>
                <w:sz w:val="18"/>
                <w:szCs w:val="18"/>
              </w:rPr>
              <w:t>-</w:t>
            </w:r>
          </w:p>
        </w:tc>
      </w:tr>
      <w:tr>
        <w:tblPrEx>
          <w:tblLayout w:type="fixed"/>
          <w:tblCellMar>
            <w:top w:w="0" w:type="dxa"/>
            <w:left w:w="108" w:type="dxa"/>
            <w:bottom w:w="0" w:type="dxa"/>
            <w:right w:w="108" w:type="dxa"/>
          </w:tblCellMar>
        </w:tblPrEx>
        <w:trPr>
          <w:trHeight w:val="341"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4111" w:type="dxa"/>
            <w:gridSpan w:val="3"/>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547" w:type="dxa"/>
            <w:gridSpan w:val="4"/>
            <w:tcBorders>
              <w:top w:val="single" w:color="auto" w:sz="4" w:space="0"/>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tblPrEx>
          <w:tblLayout w:type="fixed"/>
          <w:tblCellMar>
            <w:top w:w="0" w:type="dxa"/>
            <w:left w:w="108" w:type="dxa"/>
            <w:bottom w:w="0" w:type="dxa"/>
            <w:right w:w="108" w:type="dxa"/>
          </w:tblCellMar>
        </w:tblPrEx>
        <w:trPr>
          <w:trHeight w:val="705" w:hRule="atLeast"/>
          <w:jc w:val="center"/>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宋体" w:hAnsi="宋体" w:cs="宋体"/>
                <w:b/>
                <w:bCs/>
                <w:kern w:val="0"/>
                <w:sz w:val="18"/>
                <w:szCs w:val="18"/>
              </w:rPr>
            </w:pPr>
          </w:p>
        </w:tc>
        <w:tc>
          <w:tcPr>
            <w:tcW w:w="4111" w:type="dxa"/>
            <w:gridSpan w:val="3"/>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1.基本公共卫生工作：居民健康档案：2023年规范化电子建档率达到90%以上，抽查电子健康档案合格率达到90%以上；老年人健康管理：做好辖区内65岁及以上老年人人口数统计，制定本年度体检计划，老年人健康管理率达到67%以上，体检表完整率85%以上（包括老年人生活自理能力评估表，老年人中医体质辨识表）；慢性病患者健康管理：每年4次随访，提高高血压患者健康管理率达到65%以上，2型糖尿病患者健康管理率达到65%以上；0-36个月儿童和65岁及以上老年人中医药健康管理：结合儿童健康体检和预防接种做好辖区内0-36个月儿童的中医饮食调养和起居调摄指导，传授穴位推拿等，老年人中医药健康管理率和0-36个儿童中医药健康管理率要达到90%以上；高血压达标相关工作：积极配合上级机构，及时完成奇台县人民医院安排的工作，做好高血压患者健康管理服务，在各村村医的协助下完成定期监测血压以及药物指导，及时发现问题，及时转院等；2.全民体检工作：2023年应检人数为目标，加强村卫生室以及村委会的协助，在规定时间内及时完成目标人数，同时做好群众工作，及时发现问题，及时追踪，做到让居民满意，放心；签订《乡镇卫生院与村卫生室承担基本公共卫生服务协议》，每村卫生室承担的基本公共卫生项目确保50%以上；严重精神障碍患者报告患病率达4‰，在册患者管理率100%，规范管理率达80%，规范服药率达60%，面访率达≥80%，体检率≥90%。4.村卫生室管理：2023年初与村卫生室村医签订目标管理责任书。制定考核目标，督促指导各村卫生室认真做好公共卫生、计划免疫、妇幼及卫生院各项工作，执行统一管理。</w:t>
            </w:r>
          </w:p>
        </w:tc>
        <w:tc>
          <w:tcPr>
            <w:tcW w:w="4547" w:type="dxa"/>
            <w:gridSpan w:val="4"/>
            <w:tcBorders>
              <w:top w:val="single" w:color="auto" w:sz="4" w:space="0"/>
              <w:left w:val="nil"/>
              <w:bottom w:val="single" w:color="auto" w:sz="4" w:space="0"/>
              <w:right w:val="single" w:color="auto" w:sz="4" w:space="0"/>
            </w:tcBorders>
            <w:shd w:val="clear" w:color="auto" w:fill="auto"/>
          </w:tcPr>
          <w:p>
            <w:pPr>
              <w:jc w:val="left"/>
            </w:pPr>
            <w:r>
              <w:rPr>
                <w:rFonts w:ascii="宋体" w:hAnsi="宋体"/>
                <w:sz w:val="18"/>
              </w:rPr>
              <w:t>截止2023年12月底，本单位完成保障基本公共卫生服务人口数全年7323人，完成全年全民体健人数3773人，基本公共卫生服务项目数量全年14项，乡村医生培训次数全年4次，</w:t>
            </w:r>
          </w:p>
        </w:tc>
      </w:tr>
      <w:tr>
        <w:tblPrEx>
          <w:tblLayout w:type="fixed"/>
          <w:tblCellMar>
            <w:top w:w="0" w:type="dxa"/>
            <w:left w:w="108" w:type="dxa"/>
            <w:bottom w:w="0" w:type="dxa"/>
            <w:right w:w="108" w:type="dxa"/>
          </w:tblCellMar>
        </w:tblPrEx>
        <w:trPr>
          <w:trHeight w:val="716" w:hRule="atLeast"/>
          <w:jc w:val="center"/>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276"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184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993"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992"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720"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tblPrEx>
          <w:tblLayout w:type="fixed"/>
          <w:tblCellMar>
            <w:top w:w="0" w:type="dxa"/>
            <w:left w:w="108" w:type="dxa"/>
            <w:bottom w:w="0" w:type="dxa"/>
            <w:right w:w="108" w:type="dxa"/>
          </w:tblCellMar>
        </w:tblPrEx>
        <w:trPr>
          <w:trHeight w:val="740" w:hRule="atLeast"/>
          <w:jc w:val="center"/>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基本公共卫生服务人口数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&gt;=8363人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新疆维吾尔自治区卫生健康委员会基层医疗卫生医疗机构管理信息系统</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22</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7323人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19.26</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全民体检人数</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&gt;=4021人</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奇台县2023年全民健康目标人数统计表</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23</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3773人</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21.58</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乡村医生培训课时</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&gt;=60课时</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乡村医生培训计划</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60课时</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21</w:t>
            </w:r>
          </w:p>
        </w:tc>
      </w:tr>
      <w:tr>
        <w:tblPrEx>
          <w:tblLayout w:type="fixed"/>
          <w:tblCellMar>
            <w:top w:w="0" w:type="dxa"/>
            <w:left w:w="108" w:type="dxa"/>
            <w:bottom w:w="0" w:type="dxa"/>
            <w:right w:w="108" w:type="dxa"/>
          </w:tblCellMar>
        </w:tblPrEx>
        <w:trPr>
          <w:trHeight w:val="740" w:hRule="atLeast"/>
          <w:jc w:val="center"/>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基本公共卫生服务项目数量</w:t>
            </w:r>
          </w:p>
        </w:tc>
        <w:tc>
          <w:tcPr>
            <w:tcW w:w="1276"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&gt;=14项</w:t>
            </w:r>
          </w:p>
        </w:tc>
        <w:tc>
          <w:tcPr>
            <w:tcW w:w="184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奇台县基本公共卫生服务项目经费测算标准</w:t>
            </w:r>
          </w:p>
        </w:tc>
        <w:tc>
          <w:tcPr>
            <w:tcW w:w="993"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c>
          <w:tcPr>
            <w:tcW w:w="992"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14项</w:t>
            </w:r>
          </w:p>
        </w:tc>
        <w:tc>
          <w:tcPr>
            <w:tcW w:w="720" w:type="dxa"/>
            <w:tcBorders>
              <w:top w:val="nil"/>
              <w:left w:val="nil"/>
              <w:bottom w:val="single" w:color="auto" w:sz="4" w:space="0"/>
              <w:right w:val="single" w:color="auto" w:sz="4" w:space="0"/>
            </w:tcBorders>
            <w:shd w:val="clear" w:color="auto" w:fill="auto"/>
            <w:noWrap/>
            <w:vAlign w:val="center"/>
          </w:tcPr>
          <w:p>
            <w:pPr>
              <w:jc w:val="center"/>
            </w:pPr>
            <w:r>
              <w:rPr>
                <w:rFonts w:ascii="宋体" w:hAnsi="宋体"/>
                <w:sz w:val="18"/>
              </w:rPr>
              <w:t>24</w:t>
            </w:r>
          </w:p>
        </w:tc>
      </w:tr>
    </w:tbl>
    <w:p>
      <w:pPr>
        <w:ind w:firstLine="640" w:firstLineChars="200"/>
        <w:jc w:val="left"/>
        <w:rPr>
          <w:rFonts w:hint="eastAsia" w:ascii="仿宋_GB2312" w:hAnsi="仿宋_GB2312" w:eastAsia="仿宋_GB2312" w:cs="仿宋_GB2312"/>
          <w:kern w:val="0"/>
          <w:sz w:val="32"/>
          <w:szCs w:val="32"/>
          <w:lang w:eastAsia="zh-Hans"/>
        </w:rPr>
      </w:pPr>
    </w:p>
    <w:p>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pPr>
        <w:jc w:val="center"/>
        <w:outlineLvl w:val="0"/>
        <w:rPr>
          <w:rFonts w:hint="eastAsia" w:ascii="黑体" w:hAnsi="黑体" w:eastAsia="黑体"/>
          <w:sz w:val="32"/>
          <w:szCs w:val="32"/>
        </w:rPr>
      </w:pPr>
      <w:bookmarkStart w:id="32" w:name="_Toc3250"/>
      <w:bookmarkStart w:id="33"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2"/>
      <w:bookmarkEnd w:id="33"/>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pPr>
        <w:ind w:firstLine="640" w:firstLineChars="200"/>
        <w:outlineLvl w:val="1"/>
        <w:rPr>
          <w:rFonts w:hint="eastAsia" w:ascii="黑体" w:hAnsi="黑体" w:eastAsia="仿宋_GB2312" w:cs="宋体"/>
          <w:bCs/>
          <w:kern w:val="0"/>
          <w:sz w:val="32"/>
          <w:szCs w:val="32"/>
        </w:rPr>
      </w:pPr>
      <w:bookmarkStart w:id="34" w:name="_Toc6062"/>
      <w:bookmarkStart w:id="35" w:name="_Toc2183"/>
      <w:r>
        <w:rPr>
          <w:rFonts w:hint="eastAsia" w:ascii="黑体" w:hAnsi="黑体" w:eastAsia="仿宋_GB2312" w:cs="宋体"/>
          <w:bCs/>
          <w:kern w:val="0"/>
          <w:sz w:val="32"/>
          <w:szCs w:val="32"/>
        </w:rPr>
        <w:t>一、《收入支出决算总表》</w:t>
      </w:r>
      <w:bookmarkEnd w:id="34"/>
      <w:bookmarkEnd w:id="35"/>
    </w:p>
    <w:p>
      <w:pPr>
        <w:ind w:firstLine="640" w:firstLineChars="200"/>
        <w:outlineLvl w:val="1"/>
        <w:rPr>
          <w:rFonts w:hint="eastAsia" w:ascii="黑体" w:hAnsi="黑体" w:eastAsia="仿宋_GB2312" w:cs="宋体"/>
          <w:bCs/>
          <w:kern w:val="0"/>
          <w:sz w:val="32"/>
          <w:szCs w:val="32"/>
        </w:rPr>
      </w:pPr>
      <w:bookmarkStart w:id="36" w:name="_Toc30364"/>
      <w:bookmarkStart w:id="37" w:name="_Toc24532"/>
      <w:r>
        <w:rPr>
          <w:rFonts w:hint="eastAsia" w:ascii="黑体" w:hAnsi="黑体" w:eastAsia="仿宋_GB2312" w:cs="宋体"/>
          <w:bCs/>
          <w:kern w:val="0"/>
          <w:sz w:val="32"/>
          <w:szCs w:val="32"/>
        </w:rPr>
        <w:t>二、《收入决算表》</w:t>
      </w:r>
      <w:bookmarkEnd w:id="36"/>
      <w:bookmarkEnd w:id="37"/>
    </w:p>
    <w:p>
      <w:pPr>
        <w:ind w:firstLine="640" w:firstLineChars="200"/>
        <w:outlineLvl w:val="1"/>
        <w:rPr>
          <w:rFonts w:hint="eastAsia" w:ascii="黑体" w:hAnsi="黑体" w:eastAsia="仿宋_GB2312" w:cs="宋体"/>
          <w:bCs/>
          <w:kern w:val="0"/>
          <w:sz w:val="32"/>
          <w:szCs w:val="32"/>
        </w:rPr>
      </w:pPr>
      <w:bookmarkStart w:id="38" w:name="_Toc32434"/>
      <w:bookmarkStart w:id="39" w:name="_Toc21304"/>
      <w:r>
        <w:rPr>
          <w:rFonts w:hint="eastAsia" w:ascii="黑体" w:hAnsi="黑体" w:eastAsia="仿宋_GB2312" w:cs="宋体"/>
          <w:bCs/>
          <w:kern w:val="0"/>
          <w:sz w:val="32"/>
          <w:szCs w:val="32"/>
        </w:rPr>
        <w:t>三、《支出决算表》</w:t>
      </w:r>
      <w:bookmarkEnd w:id="38"/>
      <w:bookmarkEnd w:id="39"/>
    </w:p>
    <w:p>
      <w:pPr>
        <w:ind w:firstLine="640" w:firstLineChars="200"/>
        <w:outlineLvl w:val="1"/>
        <w:rPr>
          <w:rFonts w:hint="eastAsia" w:ascii="黑体" w:hAnsi="黑体" w:eastAsia="仿宋_GB2312" w:cs="宋体"/>
          <w:bCs/>
          <w:kern w:val="0"/>
          <w:sz w:val="32"/>
          <w:szCs w:val="32"/>
        </w:rPr>
      </w:pPr>
      <w:bookmarkStart w:id="40" w:name="_Toc14238"/>
      <w:bookmarkStart w:id="41" w:name="_Toc28786"/>
      <w:r>
        <w:rPr>
          <w:rFonts w:hint="eastAsia" w:ascii="黑体" w:hAnsi="黑体" w:eastAsia="仿宋_GB2312" w:cs="宋体"/>
          <w:bCs/>
          <w:kern w:val="0"/>
          <w:sz w:val="32"/>
          <w:szCs w:val="32"/>
        </w:rPr>
        <w:t>四、《财政拨款收入支出决算总表》</w:t>
      </w:r>
      <w:bookmarkEnd w:id="40"/>
      <w:bookmarkEnd w:id="41"/>
    </w:p>
    <w:p>
      <w:pPr>
        <w:ind w:firstLine="640" w:firstLineChars="200"/>
        <w:outlineLvl w:val="1"/>
        <w:rPr>
          <w:rFonts w:hint="eastAsia" w:ascii="黑体" w:hAnsi="黑体" w:eastAsia="仿宋_GB2312" w:cs="宋体"/>
          <w:bCs/>
          <w:kern w:val="0"/>
          <w:sz w:val="32"/>
          <w:szCs w:val="32"/>
        </w:rPr>
      </w:pPr>
      <w:bookmarkStart w:id="42" w:name="_Toc14869"/>
      <w:bookmarkStart w:id="43" w:name="_Toc10347"/>
      <w:r>
        <w:rPr>
          <w:rFonts w:hint="eastAsia" w:ascii="黑体" w:hAnsi="黑体" w:eastAsia="仿宋_GB2312" w:cs="宋体"/>
          <w:bCs/>
          <w:kern w:val="0"/>
          <w:sz w:val="32"/>
          <w:szCs w:val="32"/>
        </w:rPr>
        <w:t>五、《一般公共预算财政拨款支出决算表》</w:t>
      </w:r>
      <w:bookmarkEnd w:id="42"/>
      <w:bookmarkEnd w:id="43"/>
    </w:p>
    <w:p>
      <w:pPr>
        <w:ind w:firstLine="640" w:firstLineChars="200"/>
        <w:outlineLvl w:val="1"/>
        <w:rPr>
          <w:rFonts w:hint="eastAsia" w:ascii="黑体" w:hAnsi="黑体" w:eastAsia="仿宋_GB2312" w:cs="宋体"/>
          <w:bCs/>
          <w:kern w:val="0"/>
          <w:sz w:val="32"/>
          <w:szCs w:val="32"/>
        </w:rPr>
      </w:pPr>
      <w:bookmarkStart w:id="44" w:name="_Toc8884"/>
      <w:bookmarkStart w:id="45" w:name="_Toc5626"/>
      <w:r>
        <w:rPr>
          <w:rFonts w:hint="eastAsia" w:ascii="黑体" w:hAnsi="黑体" w:eastAsia="仿宋_GB2312" w:cs="宋体"/>
          <w:bCs/>
          <w:kern w:val="0"/>
          <w:sz w:val="32"/>
          <w:szCs w:val="32"/>
        </w:rPr>
        <w:t>六、《一般公共预算财政拨款基本支出决算表》</w:t>
      </w:r>
      <w:bookmarkEnd w:id="44"/>
      <w:bookmarkEnd w:id="45"/>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32663"/>
      <w:bookmarkStart w:id="47" w:name="_Toc29106"/>
      <w:r>
        <w:rPr>
          <w:rFonts w:hint="eastAsia" w:ascii="黑体" w:hAnsi="黑体" w:eastAsia="仿宋_GB2312" w:cs="宋体"/>
          <w:bCs/>
          <w:kern w:val="0"/>
          <w:sz w:val="32"/>
          <w:szCs w:val="32"/>
        </w:rPr>
        <w:t>《财政拨款“三公”经费支出决算表》</w:t>
      </w:r>
      <w:bookmarkEnd w:id="46"/>
      <w:bookmarkEnd w:id="47"/>
    </w:p>
    <w:p>
      <w:pPr>
        <w:ind w:firstLine="640" w:firstLineChars="200"/>
        <w:outlineLvl w:val="1"/>
        <w:rPr>
          <w:rFonts w:hint="eastAsia"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pPr>
        <w:ind w:firstLine="640" w:firstLineChars="200"/>
        <w:rPr>
          <w:rFonts w:ascii="仿宋_GB2312" w:eastAsia="仿宋_GB2312"/>
          <w:sz w:val="32"/>
          <w:szCs w:val="32"/>
        </w:rPr>
      </w:pPr>
    </w:p>
    <w:p>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4D603D"/>
    <w:rsid w:val="00095E48"/>
    <w:rsid w:val="00115E29"/>
    <w:rsid w:val="00176008"/>
    <w:rsid w:val="00213C59"/>
    <w:rsid w:val="00240882"/>
    <w:rsid w:val="00262399"/>
    <w:rsid w:val="002941C2"/>
    <w:rsid w:val="00304781"/>
    <w:rsid w:val="003210CE"/>
    <w:rsid w:val="00337308"/>
    <w:rsid w:val="003930DA"/>
    <w:rsid w:val="003B051C"/>
    <w:rsid w:val="004D603D"/>
    <w:rsid w:val="0057002E"/>
    <w:rsid w:val="00614DEA"/>
    <w:rsid w:val="00686B93"/>
    <w:rsid w:val="006F0DAE"/>
    <w:rsid w:val="00781792"/>
    <w:rsid w:val="007E1F8B"/>
    <w:rsid w:val="0083368D"/>
    <w:rsid w:val="008E7374"/>
    <w:rsid w:val="00A01AF3"/>
    <w:rsid w:val="00A56DE2"/>
    <w:rsid w:val="00B70D59"/>
    <w:rsid w:val="00C84301"/>
    <w:rsid w:val="00CE5081"/>
    <w:rsid w:val="00E04DB7"/>
    <w:rsid w:val="00E213E4"/>
    <w:rsid w:val="00E721A1"/>
    <w:rsid w:val="00F52A8D"/>
    <w:rsid w:val="019404F8"/>
    <w:rsid w:val="01C30B6B"/>
    <w:rsid w:val="01ED22F2"/>
    <w:rsid w:val="02055A34"/>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7849A5"/>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80E52"/>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54133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19</Pages>
  <Words>1410</Words>
  <Characters>8037</Characters>
  <Lines>66</Lines>
  <Paragraphs>18</Paragraphs>
  <TotalTime>55</TotalTime>
  <ScaleCrop>false</ScaleCrop>
  <LinksUpToDate>false</LinksUpToDate>
  <CharactersWithSpaces>9429</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2025-02-06T05:04:06Z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