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A5A1D4">
      <w:pPr>
        <w:spacing w:line="540" w:lineRule="exact"/>
        <w:jc w:val="center"/>
        <w:rPr>
          <w:rFonts w:eastAsia="华文中宋"/>
          <w:b/>
          <w:color w:val="auto"/>
          <w:kern w:val="0"/>
          <w:sz w:val="52"/>
          <w:szCs w:val="52"/>
          <w:highlight w:val="none"/>
        </w:rPr>
      </w:pPr>
    </w:p>
    <w:p w14:paraId="537D35D8">
      <w:pPr>
        <w:spacing w:line="540" w:lineRule="exact"/>
        <w:rPr>
          <w:rFonts w:eastAsia="华文中宋"/>
          <w:b/>
          <w:color w:val="auto"/>
          <w:kern w:val="0"/>
          <w:sz w:val="52"/>
          <w:szCs w:val="52"/>
          <w:highlight w:val="none"/>
        </w:rPr>
      </w:pPr>
    </w:p>
    <w:p w14:paraId="6E384D0E">
      <w:pPr>
        <w:spacing w:line="540" w:lineRule="exact"/>
        <w:jc w:val="center"/>
        <w:rPr>
          <w:rFonts w:eastAsia="华文中宋"/>
          <w:b/>
          <w:color w:val="auto"/>
          <w:kern w:val="0"/>
          <w:sz w:val="52"/>
          <w:szCs w:val="52"/>
          <w:highlight w:val="none"/>
        </w:rPr>
      </w:pPr>
    </w:p>
    <w:p w14:paraId="1E25A334">
      <w:pPr>
        <w:spacing w:line="540" w:lineRule="exact"/>
        <w:jc w:val="center"/>
        <w:rPr>
          <w:rFonts w:eastAsia="华文中宋"/>
          <w:b/>
          <w:color w:val="auto"/>
          <w:kern w:val="0"/>
          <w:sz w:val="52"/>
          <w:szCs w:val="52"/>
          <w:highlight w:val="none"/>
        </w:rPr>
      </w:pPr>
    </w:p>
    <w:p w14:paraId="1C0A2C4E">
      <w:pPr>
        <w:spacing w:line="540" w:lineRule="exact"/>
        <w:jc w:val="center"/>
        <w:rPr>
          <w:rFonts w:eastAsia="方正小标宋_GBK"/>
          <w:color w:val="auto"/>
          <w:kern w:val="0"/>
          <w:sz w:val="48"/>
          <w:szCs w:val="48"/>
          <w:highlight w:val="none"/>
        </w:rPr>
      </w:pPr>
      <w:r>
        <w:rPr>
          <w:rFonts w:hint="eastAsia" w:eastAsia="方正小标宋_GBK"/>
          <w:color w:val="auto"/>
          <w:kern w:val="0"/>
          <w:sz w:val="48"/>
          <w:szCs w:val="48"/>
          <w:highlight w:val="none"/>
        </w:rPr>
        <w:t>昌吉州65蒸吨以下燃煤锅炉淘汰整治补贴项目</w:t>
      </w:r>
      <w:r>
        <w:rPr>
          <w:rFonts w:eastAsia="方正小标宋_GBK"/>
          <w:color w:val="auto"/>
          <w:kern w:val="0"/>
          <w:sz w:val="48"/>
          <w:szCs w:val="48"/>
          <w:highlight w:val="none"/>
        </w:rPr>
        <w:t>资金项目支出绩效评价</w:t>
      </w:r>
    </w:p>
    <w:p w14:paraId="382BEBD3">
      <w:pPr>
        <w:spacing w:line="540" w:lineRule="exact"/>
        <w:jc w:val="center"/>
        <w:rPr>
          <w:rFonts w:eastAsia="方正小标宋_GBK"/>
          <w:color w:val="auto"/>
          <w:kern w:val="0"/>
          <w:sz w:val="48"/>
          <w:szCs w:val="48"/>
          <w:highlight w:val="none"/>
        </w:rPr>
      </w:pPr>
      <w:r>
        <w:rPr>
          <w:rFonts w:eastAsia="方正小标宋_GBK"/>
          <w:color w:val="auto"/>
          <w:kern w:val="0"/>
          <w:sz w:val="48"/>
          <w:szCs w:val="48"/>
          <w:highlight w:val="none"/>
        </w:rPr>
        <w:t>报告</w:t>
      </w:r>
    </w:p>
    <w:p w14:paraId="20A40231">
      <w:pPr>
        <w:spacing w:line="540" w:lineRule="exact"/>
        <w:jc w:val="center"/>
        <w:rPr>
          <w:rFonts w:eastAsia="华文中宋"/>
          <w:b/>
          <w:color w:val="auto"/>
          <w:kern w:val="0"/>
          <w:sz w:val="52"/>
          <w:szCs w:val="52"/>
          <w:highlight w:val="none"/>
        </w:rPr>
      </w:pPr>
    </w:p>
    <w:p w14:paraId="3CF2C723">
      <w:pPr>
        <w:spacing w:line="540" w:lineRule="exact"/>
        <w:jc w:val="center"/>
        <w:rPr>
          <w:rFonts w:eastAsia="仿宋_GB2312"/>
          <w:color w:val="auto"/>
          <w:kern w:val="0"/>
          <w:sz w:val="36"/>
          <w:szCs w:val="36"/>
          <w:highlight w:val="none"/>
        </w:rPr>
      </w:pPr>
      <w:r>
        <w:rPr>
          <w:rFonts w:eastAsia="仿宋_GB2312"/>
          <w:color w:val="auto"/>
          <w:kern w:val="0"/>
          <w:sz w:val="36"/>
          <w:szCs w:val="36"/>
          <w:highlight w:val="none"/>
        </w:rPr>
        <w:t>（ 202</w:t>
      </w:r>
      <w:r>
        <w:rPr>
          <w:rFonts w:hint="eastAsia" w:eastAsia="仿宋_GB2312"/>
          <w:color w:val="auto"/>
          <w:kern w:val="0"/>
          <w:sz w:val="36"/>
          <w:szCs w:val="36"/>
          <w:highlight w:val="none"/>
          <w:lang w:val="en-US" w:eastAsia="zh-CN"/>
        </w:rPr>
        <w:t>3</w:t>
      </w:r>
      <w:r>
        <w:rPr>
          <w:rFonts w:eastAsia="仿宋_GB2312"/>
          <w:color w:val="auto"/>
          <w:kern w:val="0"/>
          <w:sz w:val="36"/>
          <w:szCs w:val="36"/>
          <w:highlight w:val="none"/>
        </w:rPr>
        <w:t>年度）</w:t>
      </w:r>
    </w:p>
    <w:p w14:paraId="714D1481">
      <w:pPr>
        <w:spacing w:line="540" w:lineRule="exact"/>
        <w:jc w:val="center"/>
        <w:rPr>
          <w:rFonts w:eastAsia="仿宋_GB2312"/>
          <w:color w:val="auto"/>
          <w:kern w:val="0"/>
          <w:sz w:val="30"/>
          <w:szCs w:val="30"/>
          <w:highlight w:val="none"/>
        </w:rPr>
      </w:pPr>
    </w:p>
    <w:p w14:paraId="578AEAEF">
      <w:pPr>
        <w:spacing w:line="540" w:lineRule="exact"/>
        <w:jc w:val="center"/>
        <w:rPr>
          <w:rFonts w:eastAsia="仿宋_GB2312"/>
          <w:color w:val="auto"/>
          <w:kern w:val="0"/>
          <w:sz w:val="30"/>
          <w:szCs w:val="30"/>
          <w:highlight w:val="none"/>
        </w:rPr>
      </w:pPr>
    </w:p>
    <w:p w14:paraId="1AF79046">
      <w:pPr>
        <w:spacing w:line="540" w:lineRule="exact"/>
        <w:jc w:val="center"/>
        <w:rPr>
          <w:rFonts w:eastAsia="仿宋_GB2312"/>
          <w:color w:val="auto"/>
          <w:kern w:val="0"/>
          <w:sz w:val="30"/>
          <w:szCs w:val="30"/>
          <w:highlight w:val="none"/>
        </w:rPr>
      </w:pPr>
    </w:p>
    <w:p w14:paraId="5B06AD3F">
      <w:pPr>
        <w:pStyle w:val="2"/>
        <w:rPr>
          <w:color w:val="auto"/>
          <w:highlight w:val="none"/>
        </w:rPr>
      </w:pPr>
    </w:p>
    <w:p w14:paraId="0D92D023">
      <w:pPr>
        <w:spacing w:line="540" w:lineRule="exact"/>
        <w:jc w:val="center"/>
        <w:rPr>
          <w:rFonts w:eastAsia="仿宋_GB2312"/>
          <w:color w:val="auto"/>
          <w:kern w:val="0"/>
          <w:sz w:val="30"/>
          <w:szCs w:val="30"/>
          <w:highlight w:val="none"/>
        </w:rPr>
      </w:pPr>
    </w:p>
    <w:p w14:paraId="60A8BAEB">
      <w:pPr>
        <w:spacing w:line="700" w:lineRule="exact"/>
        <w:jc w:val="left"/>
        <w:rPr>
          <w:rFonts w:eastAsia="仿宋_GB2312"/>
          <w:color w:val="auto"/>
          <w:kern w:val="0"/>
          <w:sz w:val="36"/>
          <w:szCs w:val="36"/>
          <w:highlight w:val="none"/>
        </w:rPr>
      </w:pPr>
    </w:p>
    <w:p w14:paraId="43D17547">
      <w:pPr>
        <w:spacing w:line="700" w:lineRule="exact"/>
        <w:ind w:left="1800" w:hanging="1800" w:hangingChars="500"/>
        <w:jc w:val="left"/>
        <w:rPr>
          <w:rFonts w:eastAsia="仿宋_GB2312"/>
          <w:color w:val="auto"/>
          <w:kern w:val="0"/>
          <w:sz w:val="36"/>
          <w:szCs w:val="36"/>
          <w:highlight w:val="none"/>
        </w:rPr>
      </w:pPr>
      <w:r>
        <w:rPr>
          <w:rFonts w:eastAsia="仿宋_GB2312"/>
          <w:color w:val="auto"/>
          <w:kern w:val="0"/>
          <w:sz w:val="36"/>
          <w:szCs w:val="36"/>
          <w:highlight w:val="none"/>
        </w:rPr>
        <w:t>项目名称：</w:t>
      </w:r>
      <w:r>
        <w:rPr>
          <w:rFonts w:hint="eastAsia" w:eastAsia="仿宋_GB2312"/>
          <w:color w:val="auto"/>
          <w:kern w:val="0"/>
          <w:sz w:val="36"/>
          <w:szCs w:val="36"/>
          <w:highlight w:val="none"/>
        </w:rPr>
        <w:t>昌吉州65蒸吨以下燃煤锅炉淘汰整治补贴项目</w:t>
      </w:r>
    </w:p>
    <w:p w14:paraId="3036729F">
      <w:pPr>
        <w:spacing w:line="700" w:lineRule="exact"/>
        <w:jc w:val="left"/>
        <w:rPr>
          <w:rFonts w:hint="default" w:eastAsia="仿宋_GB2312"/>
          <w:color w:val="auto"/>
          <w:kern w:val="0"/>
          <w:sz w:val="36"/>
          <w:szCs w:val="36"/>
          <w:highlight w:val="none"/>
          <w:lang w:val="en-US" w:eastAsia="zh-CN"/>
        </w:rPr>
      </w:pPr>
      <w:r>
        <w:rPr>
          <w:rFonts w:eastAsia="仿宋_GB2312"/>
          <w:color w:val="auto"/>
          <w:kern w:val="0"/>
          <w:sz w:val="36"/>
          <w:szCs w:val="36"/>
          <w:highlight w:val="none"/>
        </w:rPr>
        <w:t>实施单位（公章）：</w:t>
      </w:r>
      <w:r>
        <w:rPr>
          <w:rFonts w:hint="eastAsia" w:eastAsia="仿宋_GB2312"/>
          <w:color w:val="auto"/>
          <w:kern w:val="0"/>
          <w:sz w:val="36"/>
          <w:szCs w:val="36"/>
          <w:highlight w:val="none"/>
          <w:lang w:val="en-US" w:eastAsia="zh-CN"/>
        </w:rPr>
        <w:t>昌吉州生态环境局奇台县分局</w:t>
      </w:r>
    </w:p>
    <w:p w14:paraId="2F7971DC">
      <w:pPr>
        <w:spacing w:line="700" w:lineRule="exact"/>
        <w:jc w:val="left"/>
        <w:rPr>
          <w:rFonts w:hint="default" w:eastAsia="仿宋_GB2312"/>
          <w:color w:val="auto"/>
          <w:kern w:val="0"/>
          <w:sz w:val="36"/>
          <w:szCs w:val="36"/>
          <w:highlight w:val="none"/>
          <w:lang w:val="en-US" w:eastAsia="zh-CN"/>
        </w:rPr>
      </w:pPr>
      <w:r>
        <w:rPr>
          <w:rFonts w:eastAsia="仿宋_GB2312"/>
          <w:color w:val="auto"/>
          <w:kern w:val="0"/>
          <w:sz w:val="36"/>
          <w:szCs w:val="36"/>
          <w:highlight w:val="none"/>
        </w:rPr>
        <w:t>主管部门（公章）：</w:t>
      </w:r>
      <w:r>
        <w:rPr>
          <w:rFonts w:hint="eastAsia" w:eastAsia="仿宋_GB2312"/>
          <w:color w:val="auto"/>
          <w:kern w:val="0"/>
          <w:sz w:val="36"/>
          <w:szCs w:val="36"/>
          <w:highlight w:val="none"/>
          <w:lang w:val="en-US" w:eastAsia="zh-CN"/>
        </w:rPr>
        <w:t>昌吉州生态环境局奇台县分局</w:t>
      </w:r>
    </w:p>
    <w:p w14:paraId="577B562F">
      <w:pPr>
        <w:spacing w:line="700" w:lineRule="exact"/>
        <w:jc w:val="left"/>
        <w:rPr>
          <w:rFonts w:hint="eastAsia" w:eastAsia="仿宋_GB2312"/>
          <w:color w:val="auto"/>
          <w:kern w:val="0"/>
          <w:sz w:val="36"/>
          <w:szCs w:val="36"/>
          <w:highlight w:val="none"/>
          <w:lang w:eastAsia="zh-CN"/>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lang w:val="en-US" w:eastAsia="zh-CN"/>
        </w:rPr>
        <w:t>柴勃成</w:t>
      </w:r>
    </w:p>
    <w:p w14:paraId="0416EB8C">
      <w:pPr>
        <w:spacing w:line="700" w:lineRule="exact"/>
        <w:jc w:val="left"/>
        <w:rPr>
          <w:rFonts w:eastAsia="仿宋_GB2312"/>
          <w:color w:val="auto"/>
          <w:kern w:val="0"/>
          <w:sz w:val="36"/>
          <w:szCs w:val="36"/>
          <w:highlight w:val="none"/>
        </w:rPr>
      </w:pPr>
      <w:r>
        <w:rPr>
          <w:rFonts w:eastAsia="仿宋_GB2312"/>
          <w:color w:val="auto"/>
          <w:kern w:val="0"/>
          <w:sz w:val="36"/>
          <w:szCs w:val="36"/>
          <w:highlight w:val="none"/>
        </w:rPr>
        <w:t>填报时间：</w:t>
      </w:r>
      <w:r>
        <w:rPr>
          <w:rFonts w:hint="eastAsia" w:eastAsia="仿宋_GB2312"/>
          <w:color w:val="auto"/>
          <w:kern w:val="0"/>
          <w:sz w:val="36"/>
          <w:szCs w:val="36"/>
          <w:highlight w:val="none"/>
          <w:lang w:val="en-US" w:eastAsia="zh-CN"/>
        </w:rPr>
        <w:t>2024</w:t>
      </w:r>
      <w:r>
        <w:rPr>
          <w:rFonts w:eastAsia="仿宋_GB2312"/>
          <w:color w:val="auto"/>
          <w:kern w:val="0"/>
          <w:sz w:val="36"/>
          <w:szCs w:val="36"/>
          <w:highlight w:val="none"/>
        </w:rPr>
        <w:t>年</w:t>
      </w:r>
      <w:r>
        <w:rPr>
          <w:rFonts w:hint="eastAsia" w:eastAsia="仿宋_GB2312"/>
          <w:color w:val="auto"/>
          <w:kern w:val="0"/>
          <w:sz w:val="36"/>
          <w:szCs w:val="36"/>
          <w:highlight w:val="none"/>
          <w:lang w:val="en-US" w:eastAsia="zh-CN"/>
        </w:rPr>
        <w:t>4</w:t>
      </w:r>
      <w:r>
        <w:rPr>
          <w:rFonts w:eastAsia="仿宋_GB2312"/>
          <w:color w:val="auto"/>
          <w:kern w:val="0"/>
          <w:sz w:val="36"/>
          <w:szCs w:val="36"/>
          <w:highlight w:val="none"/>
        </w:rPr>
        <w:t>月</w:t>
      </w:r>
      <w:r>
        <w:rPr>
          <w:rFonts w:hint="eastAsia" w:eastAsia="仿宋_GB2312"/>
          <w:color w:val="auto"/>
          <w:kern w:val="0"/>
          <w:sz w:val="36"/>
          <w:szCs w:val="36"/>
          <w:highlight w:val="none"/>
          <w:lang w:val="en-US" w:eastAsia="zh-CN"/>
        </w:rPr>
        <w:t>16</w:t>
      </w:r>
      <w:r>
        <w:rPr>
          <w:rFonts w:eastAsia="仿宋_GB2312"/>
          <w:color w:val="auto"/>
          <w:kern w:val="0"/>
          <w:sz w:val="36"/>
          <w:szCs w:val="36"/>
          <w:highlight w:val="none"/>
        </w:rPr>
        <w:t>日</w:t>
      </w:r>
    </w:p>
    <w:p w14:paraId="49F4BE1A">
      <w:pPr>
        <w:spacing w:line="540" w:lineRule="exact"/>
        <w:jc w:val="center"/>
        <w:rPr>
          <w:rFonts w:eastAsia="仿宋_GB2312"/>
          <w:color w:val="auto"/>
          <w:kern w:val="0"/>
          <w:sz w:val="30"/>
          <w:szCs w:val="30"/>
          <w:highlight w:val="none"/>
        </w:rPr>
      </w:pPr>
    </w:p>
    <w:p w14:paraId="4AE10FFB">
      <w:pPr>
        <w:spacing w:line="540" w:lineRule="exact"/>
        <w:rPr>
          <w:rStyle w:val="16"/>
          <w:rFonts w:eastAsia="黑体"/>
          <w:b w:val="0"/>
          <w:color w:val="auto"/>
          <w:spacing w:val="-4"/>
          <w:sz w:val="32"/>
          <w:szCs w:val="32"/>
          <w:highlight w:val="none"/>
        </w:rPr>
      </w:pPr>
    </w:p>
    <w:p w14:paraId="3BD4F727">
      <w:pPr>
        <w:spacing w:line="560" w:lineRule="exact"/>
        <w:rPr>
          <w:rFonts w:eastAsia="黑体"/>
          <w:bCs/>
          <w:color w:val="auto"/>
          <w:sz w:val="32"/>
          <w:szCs w:val="32"/>
          <w:highlight w:val="none"/>
        </w:rPr>
        <w:sectPr>
          <w:footerReference r:id="rId3" w:type="default"/>
          <w:pgSz w:w="11906" w:h="16838"/>
          <w:pgMar w:top="1440" w:right="1558" w:bottom="1440" w:left="1800" w:header="851" w:footer="992" w:gutter="0"/>
          <w:cols w:space="425" w:num="1"/>
          <w:docGrid w:type="lines" w:linePitch="312" w:charSpace="0"/>
        </w:sectPr>
      </w:pPr>
    </w:p>
    <w:p w14:paraId="26DAB29C">
      <w:pPr>
        <w:spacing w:line="560" w:lineRule="exact"/>
        <w:ind w:firstLine="640" w:firstLineChars="200"/>
        <w:rPr>
          <w:rFonts w:eastAsia="黑体"/>
          <w:bCs/>
          <w:color w:val="auto"/>
          <w:sz w:val="32"/>
          <w:szCs w:val="32"/>
          <w:highlight w:val="none"/>
        </w:rPr>
      </w:pPr>
      <w:r>
        <w:rPr>
          <w:rFonts w:eastAsia="黑体"/>
          <w:bCs/>
          <w:color w:val="auto"/>
          <w:sz w:val="32"/>
          <w:szCs w:val="32"/>
          <w:highlight w:val="none"/>
        </w:rPr>
        <w:t>一、基本情况</w:t>
      </w:r>
    </w:p>
    <w:p w14:paraId="578BBE92">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（一）项目概况</w:t>
      </w:r>
    </w:p>
    <w:p w14:paraId="0956CA65">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1、项目背景</w:t>
      </w:r>
    </w:p>
    <w:p w14:paraId="042223D8">
      <w:pPr>
        <w:spacing w:line="560" w:lineRule="exact"/>
        <w:ind w:firstLine="640" w:firstLineChars="200"/>
        <w:rPr>
          <w:rStyle w:val="16"/>
          <w:rFonts w:hint="eastAsia" w:eastAsia="黑体"/>
          <w:b w:val="0"/>
          <w:bCs/>
          <w:color w:val="auto"/>
          <w:spacing w:val="-4"/>
          <w:sz w:val="32"/>
          <w:szCs w:val="32"/>
          <w:highlight w:val="none"/>
          <w:lang w:eastAsia="zh-CN"/>
        </w:rPr>
      </w:pPr>
      <w:r>
        <w:rPr>
          <w:rFonts w:hint="eastAsia" w:ascii="Times New Roman" w:hAnsi="Times New Roman" w:eastAsia="仿宋_GB2312" w:cs="Times New Roman"/>
          <w:color w:val="auto"/>
          <w:sz w:val="32"/>
          <w:szCs w:val="32"/>
          <w:highlight w:val="none"/>
        </w:rPr>
        <w:t>根据《关于下达2021年第二批中央大气污染防治资金预算的通知》昌州财建【2021】97号文件、《关于下达2023年中央大气污染防治资金（第二批）的通知》昌州财建【2023】84号文件要求，支持开展</w:t>
      </w:r>
      <w:r>
        <w:rPr>
          <w:rFonts w:hint="eastAsia" w:ascii="Times New Roman" w:hAnsi="Times New Roman" w:eastAsia="仿宋_GB2312" w:cs="Times New Roman"/>
          <w:color w:val="auto"/>
          <w:sz w:val="32"/>
          <w:szCs w:val="32"/>
          <w:highlight w:val="none"/>
          <w:lang w:val="en-US" w:eastAsia="zh-CN"/>
        </w:rPr>
        <w:t>41台</w:t>
      </w:r>
      <w:r>
        <w:rPr>
          <w:rFonts w:hint="eastAsia" w:ascii="Times New Roman" w:hAnsi="Times New Roman" w:eastAsia="仿宋_GB2312" w:cs="Times New Roman"/>
          <w:color w:val="auto"/>
          <w:sz w:val="32"/>
          <w:szCs w:val="32"/>
          <w:highlight w:val="none"/>
        </w:rPr>
        <w:t>燃煤锅炉淘汰或清洁能源替代</w:t>
      </w:r>
      <w:r>
        <w:rPr>
          <w:rFonts w:hint="eastAsia" w:ascii="Times New Roman" w:hAnsi="Times New Roman" w:eastAsia="仿宋_GB2312" w:cs="Times New Roman"/>
          <w:color w:val="auto"/>
          <w:sz w:val="32"/>
          <w:szCs w:val="32"/>
          <w:highlight w:val="none"/>
          <w:lang w:val="en-US" w:eastAsia="zh-CN"/>
        </w:rPr>
        <w:t>工作，通过项目的实施，</w:t>
      </w:r>
      <w:r>
        <w:rPr>
          <w:rFonts w:hint="eastAsia" w:ascii="Times New Roman" w:hAnsi="Times New Roman" w:eastAsia="仿宋_GB2312" w:cs="Times New Roman"/>
          <w:color w:val="auto"/>
          <w:sz w:val="32"/>
          <w:szCs w:val="32"/>
          <w:highlight w:val="none"/>
          <w:lang w:eastAsia="zh-CN"/>
        </w:rPr>
        <w:t>有效保障清洁能源供暖，有效提升环境空气质量</w:t>
      </w:r>
      <w:r>
        <w:rPr>
          <w:rFonts w:hint="eastAsia" w:ascii="Times New Roman" w:hAnsi="Times New Roman" w:eastAsia="仿宋_GB2312" w:cs="Times New Roman"/>
          <w:color w:val="auto"/>
          <w:sz w:val="32"/>
          <w:szCs w:val="32"/>
          <w:highlight w:val="none"/>
        </w:rPr>
        <w:t>。</w:t>
      </w:r>
    </w:p>
    <w:p w14:paraId="00F68B2B">
      <w:pPr>
        <w:pStyle w:val="2"/>
        <w:numPr>
          <w:ilvl w:val="0"/>
          <w:numId w:val="1"/>
        </w:numPr>
        <w:spacing w:before="0" w:after="0" w:line="56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14:paraId="46A66131">
      <w:pPr>
        <w:spacing w:line="560" w:lineRule="exact"/>
        <w:ind w:firstLine="600" w:firstLineChars="200"/>
        <w:rPr>
          <w:rFonts w:hint="eastAsia" w:eastAsia="黑体"/>
          <w:color w:val="auto"/>
          <w:highlight w:val="none"/>
          <w:lang w:eastAsia="zh-CN"/>
        </w:rPr>
      </w:pPr>
      <w:r>
        <w:rPr>
          <w:rFonts w:hint="eastAsia" w:ascii="仿宋_GB2312" w:hAnsi="仿宋_GB2312" w:eastAsia="仿宋_GB2312" w:cs="仿宋_GB2312"/>
          <w:color w:val="auto"/>
          <w:sz w:val="30"/>
          <w:szCs w:val="30"/>
          <w:highlight w:val="none"/>
          <w:lang w:val="en-US" w:eastAsia="zh-CN"/>
        </w:rPr>
        <w:t>项目主要内容：支持开展燃煤锅炉淘汰或清洁能源替代工作。</w:t>
      </w:r>
    </w:p>
    <w:p w14:paraId="37F53EDF">
      <w:pPr>
        <w:spacing w:line="560" w:lineRule="exact"/>
        <w:ind w:firstLine="640" w:firstLineChars="200"/>
        <w:rPr>
          <w:color w:val="auto"/>
          <w:highlight w:val="none"/>
        </w:rPr>
      </w:pPr>
      <w:r>
        <w:rPr>
          <w:rFonts w:eastAsia="仿宋_GB2312"/>
          <w:color w:val="auto"/>
          <w:sz w:val="32"/>
          <w:szCs w:val="32"/>
          <w:highlight w:val="none"/>
        </w:rPr>
        <w:t>项目实施情况：项目目前已经完成</w:t>
      </w:r>
      <w:r>
        <w:rPr>
          <w:rFonts w:hint="eastAsia" w:eastAsia="仿宋_GB2312"/>
          <w:color w:val="auto"/>
          <w:sz w:val="32"/>
          <w:szCs w:val="32"/>
          <w:highlight w:val="none"/>
          <w:lang w:val="en-US" w:eastAsia="zh-CN"/>
        </w:rPr>
        <w:t>33台燃煤锅炉淘汰整治</w:t>
      </w:r>
      <w:r>
        <w:rPr>
          <w:rFonts w:eastAsia="仿宋_GB2312"/>
          <w:color w:val="auto"/>
          <w:sz w:val="32"/>
          <w:szCs w:val="32"/>
          <w:highlight w:val="none"/>
        </w:rPr>
        <w:t>的目标，项目在实施过程中严格按照目标设立的各阶段任务进行开展工作，在前期立项过程中严格把质量关，建立安全防护机制，保证项目</w:t>
      </w:r>
      <w:bookmarkStart w:id="9" w:name="_GoBack"/>
      <w:bookmarkEnd w:id="9"/>
      <w:r>
        <w:rPr>
          <w:rFonts w:eastAsia="仿宋_GB2312"/>
          <w:color w:val="auto"/>
          <w:sz w:val="32"/>
          <w:szCs w:val="32"/>
          <w:highlight w:val="none"/>
        </w:rPr>
        <w:t>实施各阶段安全顺利进行。</w:t>
      </w:r>
    </w:p>
    <w:p w14:paraId="72E72556">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14:paraId="54FA0FA4">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（1）资金投入情况</w:t>
      </w:r>
    </w:p>
    <w:p w14:paraId="2EE90E7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该项目年初预算数564万元，全年预算数597.6万元，实际总投入597.6万元，该项目资金落实到位597.6万元，资金来源为中央资金。</w:t>
      </w:r>
    </w:p>
    <w:p w14:paraId="38578D5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（2）资金使用情况</w:t>
      </w:r>
    </w:p>
    <w:p w14:paraId="1A0D267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该项目年初预算数564万元，全年预算数597.6万元，全年执行数511.2万元，预算执行率为84.54%，主要用于：支持开展33台燃煤锅炉淘汰或清洁能源替代工作。</w:t>
      </w:r>
    </w:p>
    <w:p w14:paraId="6AFEDD2C">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14:paraId="14227111">
      <w:pPr>
        <w:ind w:firstLine="640" w:firstLineChars="200"/>
        <w:rPr>
          <w:rFonts w:hint="eastAsia" w:eastAsia="仿宋_GB2312"/>
          <w:color w:val="auto"/>
          <w:sz w:val="32"/>
          <w:szCs w:val="32"/>
          <w:highlight w:val="none"/>
          <w:lang w:val="en-US" w:eastAsia="zh-CN"/>
        </w:rPr>
      </w:pPr>
      <w:r>
        <w:rPr>
          <w:rFonts w:eastAsia="仿宋_GB2312"/>
          <w:color w:val="auto"/>
          <w:sz w:val="32"/>
          <w:szCs w:val="32"/>
          <w:highlight w:val="none"/>
        </w:rPr>
        <w:t>1、</w:t>
      </w:r>
      <w:r>
        <w:rPr>
          <w:rFonts w:hint="eastAsia" w:eastAsia="仿宋_GB2312"/>
          <w:color w:val="auto"/>
          <w:sz w:val="32"/>
          <w:szCs w:val="32"/>
          <w:highlight w:val="none"/>
          <w:lang w:val="en-US" w:eastAsia="zh-CN"/>
        </w:rPr>
        <w:t>总体目标。</w:t>
      </w:r>
    </w:p>
    <w:p w14:paraId="573443E0">
      <w:pPr>
        <w:ind w:firstLine="640" w:firstLineChars="200"/>
        <w:rPr>
          <w:rFonts w:hint="eastAsia" w:ascii="宋体" w:hAnsi="宋体" w:eastAsia="宋体" w:cs="宋体"/>
          <w:i w:val="0"/>
          <w:caps w:val="0"/>
          <w:color w:val="auto"/>
          <w:spacing w:val="0"/>
          <w:sz w:val="21"/>
          <w:szCs w:val="21"/>
          <w:highlight w:val="none"/>
          <w:shd w:val="clear" w:fill="FFFFFF"/>
          <w:lang w:eastAsia="zh-CN"/>
        </w:rPr>
      </w:pPr>
      <w:r>
        <w:rPr>
          <w:rFonts w:hint="eastAsia" w:ascii="Times New Roman" w:hAnsi="Times New Roman" w:eastAsia="仿宋_GB2312" w:cs="Times New Roman"/>
          <w:color w:val="auto"/>
          <w:sz w:val="32"/>
          <w:szCs w:val="32"/>
          <w:highlight w:val="none"/>
          <w:lang w:val="en-US" w:eastAsia="zh-CN"/>
        </w:rPr>
        <w:t>该项目计划完成</w:t>
      </w:r>
      <w:r>
        <w:rPr>
          <w:rFonts w:hint="eastAsia" w:ascii="Times New Roman" w:hAnsi="Times New Roman" w:eastAsia="仿宋_GB2312" w:cs="Times New Roman"/>
          <w:color w:val="auto"/>
          <w:sz w:val="32"/>
          <w:szCs w:val="32"/>
          <w:highlight w:val="none"/>
          <w:lang w:eastAsia="zh-CN"/>
        </w:rPr>
        <w:t>燃煤锅炉淘汰整治数量</w:t>
      </w:r>
      <w:r>
        <w:rPr>
          <w:rFonts w:hint="eastAsia" w:eastAsia="仿宋_GB2312" w:cs="Times New Roman"/>
          <w:color w:val="auto"/>
          <w:sz w:val="32"/>
          <w:szCs w:val="32"/>
          <w:highlight w:val="none"/>
          <w:lang w:val="en-US" w:eastAsia="zh-CN"/>
        </w:rPr>
        <w:t>41</w:t>
      </w:r>
      <w:r>
        <w:rPr>
          <w:rFonts w:hint="eastAsia" w:ascii="Times New Roman" w:hAnsi="Times New Roman" w:eastAsia="仿宋_GB2312" w:cs="Times New Roman"/>
          <w:color w:val="auto"/>
          <w:sz w:val="32"/>
          <w:szCs w:val="32"/>
          <w:highlight w:val="none"/>
          <w:lang w:eastAsia="zh-CN"/>
        </w:rPr>
        <w:t>台，燃煤锅炉改造72.2蒸吨，项目验收合格率&gt;=90%，资金发放及时率达100%，项目预算支出控制率达100%，有效保障清洁能源供暖，有效提升环境空气质量，公众满意度&gt;=90%。</w:t>
      </w:r>
    </w:p>
    <w:p w14:paraId="6C156F3D">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2、阶段性目标</w:t>
      </w:r>
    </w:p>
    <w:p w14:paraId="01BFCD71">
      <w:pPr>
        <w:spacing w:line="600" w:lineRule="exact"/>
        <w:ind w:firstLine="640" w:firstLineChars="200"/>
        <w:rPr>
          <w:rFonts w:hint="eastAsia" w:ascii="仿宋_GB2312" w:hAnsi="Arial" w:eastAsia="仿宋_GB2312" w:cs="宋体"/>
          <w:bCs/>
          <w:color w:val="auto"/>
          <w:sz w:val="32"/>
          <w:szCs w:val="32"/>
          <w:highlight w:val="none"/>
        </w:rPr>
      </w:pPr>
      <w:r>
        <w:rPr>
          <w:rFonts w:hint="eastAsia" w:ascii="Times New Roman" w:hAnsi="Times New Roman" w:eastAsia="仿宋_GB2312" w:cs="Times New Roman"/>
          <w:color w:val="auto"/>
          <w:sz w:val="32"/>
          <w:szCs w:val="32"/>
          <w:highlight w:val="none"/>
          <w:lang w:val="en-US" w:eastAsia="zh-CN"/>
        </w:rPr>
        <w:t>该项目计划完成</w:t>
      </w:r>
      <w:r>
        <w:rPr>
          <w:rFonts w:hint="eastAsia" w:ascii="Times New Roman" w:hAnsi="Times New Roman" w:eastAsia="仿宋_GB2312" w:cs="Times New Roman"/>
          <w:color w:val="auto"/>
          <w:sz w:val="32"/>
          <w:szCs w:val="32"/>
          <w:highlight w:val="none"/>
          <w:lang w:eastAsia="zh-CN"/>
        </w:rPr>
        <w:t>燃煤锅炉淘汰整治数量</w:t>
      </w:r>
      <w:r>
        <w:rPr>
          <w:rFonts w:hint="eastAsia" w:eastAsia="仿宋_GB2312" w:cs="Times New Roman"/>
          <w:color w:val="auto"/>
          <w:sz w:val="32"/>
          <w:szCs w:val="32"/>
          <w:highlight w:val="none"/>
          <w:lang w:val="en-US" w:eastAsia="zh-CN"/>
        </w:rPr>
        <w:t>36</w:t>
      </w:r>
      <w:r>
        <w:rPr>
          <w:rFonts w:hint="eastAsia" w:ascii="Times New Roman" w:hAnsi="Times New Roman" w:eastAsia="仿宋_GB2312" w:cs="Times New Roman"/>
          <w:color w:val="auto"/>
          <w:sz w:val="32"/>
          <w:szCs w:val="32"/>
          <w:highlight w:val="none"/>
          <w:lang w:eastAsia="zh-CN"/>
        </w:rPr>
        <w:t>台，燃煤锅炉改造72.2蒸吨，项目验收合格率90%，资金发放及时率达100%，项目预算支出控制率达100%，有效保障清洁能源供暖</w:t>
      </w:r>
      <w:r>
        <w:rPr>
          <w:rFonts w:hint="eastAsia" w:eastAsia="仿宋_GB2312" w:cs="Times New Roman"/>
          <w:color w:val="auto"/>
          <w:sz w:val="32"/>
          <w:szCs w:val="32"/>
          <w:highlight w:val="none"/>
          <w:lang w:eastAsia="zh-CN"/>
        </w:rPr>
        <w:t>。</w:t>
      </w:r>
    </w:p>
    <w:p w14:paraId="7369A699">
      <w:pPr>
        <w:spacing w:line="560" w:lineRule="exact"/>
        <w:ind w:firstLine="640" w:firstLineChars="200"/>
        <w:rPr>
          <w:rFonts w:eastAsia="黑体"/>
          <w:color w:val="auto"/>
          <w:sz w:val="32"/>
          <w:szCs w:val="32"/>
          <w:highlight w:val="none"/>
        </w:rPr>
      </w:pPr>
      <w:r>
        <w:rPr>
          <w:rFonts w:eastAsia="黑体"/>
          <w:color w:val="auto"/>
          <w:sz w:val="32"/>
          <w:szCs w:val="32"/>
          <w:highlight w:val="none"/>
        </w:rPr>
        <w:t>二、绩效评价工作开展情况</w:t>
      </w:r>
    </w:p>
    <w:p w14:paraId="6951D9D2">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14:paraId="5C0469DD">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1、绩效评价的目的</w:t>
      </w:r>
    </w:p>
    <w:p w14:paraId="7FD4F537">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71BA6BB">
      <w:pPr>
        <w:numPr>
          <w:ilvl w:val="0"/>
          <w:numId w:val="2"/>
        </w:num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项目在实施前向项目负责人提供财政支出绩效方面的资金管理信息，促进项目支出严格按照资金管理规定进行。</w:t>
      </w:r>
    </w:p>
    <w:p w14:paraId="406930C2">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（2）项目绩效管理财政支出运行提供及时、有效的信息。</w:t>
      </w:r>
    </w:p>
    <w:p w14:paraId="624CAF89">
      <w:pPr>
        <w:pStyle w:val="19"/>
        <w:spacing w:line="560" w:lineRule="exact"/>
        <w:ind w:firstLine="640" w:firstLineChars="200"/>
        <w:rPr>
          <w:rFonts w:eastAsia="方正仿宋_GBK" w:cs="方正仿宋_GBK"/>
          <w:color w:val="auto"/>
          <w:sz w:val="32"/>
          <w:szCs w:val="32"/>
          <w:highlight w:val="none"/>
        </w:rPr>
      </w:pPr>
      <w:r>
        <w:rPr>
          <w:rFonts w:eastAsia="仿宋_GB2312"/>
          <w:color w:val="auto"/>
          <w:sz w:val="32"/>
          <w:szCs w:val="32"/>
          <w:highlight w:val="none"/>
        </w:rPr>
        <w:t>综合来看，通过开展有效的财政支出绩效评价管理，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DC6314A">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2、绩效评价的对象</w:t>
      </w:r>
    </w:p>
    <w:p w14:paraId="0625A016">
      <w:pPr>
        <w:pStyle w:val="4"/>
        <w:keepNext w:val="0"/>
        <w:keepLines w:val="0"/>
        <w:widowControl/>
        <w:suppressLineNumbers w:val="0"/>
        <w:shd w:val="clear" w:fill="FFFFFF"/>
        <w:spacing w:before="0" w:beforeAutospacing="0" w:after="0" w:afterAutospacing="0" w:line="21" w:lineRule="atLeast"/>
        <w:ind w:left="0" w:right="0" w:firstLine="640" w:firstLineChars="200"/>
        <w:rPr>
          <w:color w:val="auto"/>
          <w:highlight w:val="none"/>
        </w:rPr>
      </w:pPr>
      <w:r>
        <w:rPr>
          <w:rFonts w:hint="eastAsia" w:ascii="Times New Roman" w:hAnsi="Times New Roman" w:eastAsia="仿宋_GB2312" w:cs="Times New Roman"/>
          <w:b w:val="0"/>
          <w:color w:val="auto"/>
          <w:kern w:val="0"/>
          <w:sz w:val="32"/>
          <w:szCs w:val="32"/>
          <w:highlight w:val="none"/>
          <w:lang w:val="en-US" w:eastAsia="zh-CN" w:bidi="ar-SA"/>
        </w:rPr>
        <w:t>本次绩效评价遵循财政部《关于印发&lt;项目支出绩效评价管理办法&gt;的通知》（财预〔2020〕10号）</w:t>
      </w:r>
      <w:r>
        <w:rPr>
          <w:rFonts w:hint="eastAsia" w:ascii="Times New Roman" w:hAnsi="Times New Roman" w:eastAsia="仿宋_GB2312" w:cs="Times New Roman"/>
          <w:b w:val="0"/>
          <w:color w:val="auto"/>
          <w:kern w:val="0"/>
          <w:sz w:val="32"/>
          <w:szCs w:val="32"/>
          <w:highlight w:val="none"/>
          <w:lang w:val="en-US" w:eastAsia="zh-Hans" w:bidi="ar-SA"/>
        </w:rPr>
        <w:t>以及</w:t>
      </w:r>
      <w:r>
        <w:rPr>
          <w:rFonts w:hint="eastAsia" w:ascii="Times New Roman" w:hAnsi="Times New Roman" w:eastAsia="仿宋_GB2312" w:cs="Times New Roman"/>
          <w:b w:val="0"/>
          <w:color w:val="auto"/>
          <w:kern w:val="0"/>
          <w:sz w:val="32"/>
          <w:szCs w:val="32"/>
          <w:highlight w:val="none"/>
          <w:lang w:val="en-US" w:eastAsia="zh-CN" w:bidi="ar-SA"/>
        </w:rPr>
        <w:t>自治区财政厅《自治区财政支出绩效评价管理暂行办法》（新财预〔2018〕189号）等文件规定，对2023年度我单位实施的</w:t>
      </w:r>
      <w:r>
        <w:rPr>
          <w:rFonts w:hint="default" w:ascii="Times New Roman" w:hAnsi="Times New Roman" w:eastAsia="仿宋_GB2312" w:cs="Times New Roman"/>
          <w:b w:val="0"/>
          <w:color w:val="auto"/>
          <w:kern w:val="0"/>
          <w:sz w:val="32"/>
          <w:szCs w:val="32"/>
          <w:highlight w:val="none"/>
          <w:lang w:val="en-US" w:eastAsia="zh-CN" w:bidi="ar-SA"/>
        </w:rPr>
        <w:t>昌吉州65蒸吨以下燃煤锅炉淘汰整治补贴项目</w:t>
      </w:r>
      <w:r>
        <w:rPr>
          <w:rFonts w:hint="eastAsia" w:ascii="Times New Roman" w:hAnsi="Times New Roman" w:eastAsia="仿宋_GB2312" w:cs="Times New Roman"/>
          <w:b w:val="0"/>
          <w:color w:val="auto"/>
          <w:kern w:val="0"/>
          <w:sz w:val="32"/>
          <w:szCs w:val="32"/>
          <w:highlight w:val="none"/>
          <w:lang w:val="en-US" w:eastAsia="zh-CN" w:bidi="ar-SA"/>
        </w:rPr>
        <w:t>开展部门绩效评价。</w:t>
      </w:r>
    </w:p>
    <w:p w14:paraId="53D23808">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14:paraId="7B3273CE">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本次评价从项目专项资金的支出完成情况和效果。</w:t>
      </w:r>
      <w:r>
        <w:rPr>
          <w:rFonts w:hint="eastAsia" w:ascii="Times New Roman" w:hAnsi="Times New Roman" w:eastAsia="仿宋_GB2312" w:cs="Times New Roman"/>
          <w:b w:val="0"/>
          <w:color w:val="auto"/>
          <w:kern w:val="0"/>
          <w:sz w:val="32"/>
          <w:szCs w:val="32"/>
          <w:highlight w:val="none"/>
          <w:lang w:val="en-US" w:eastAsia="zh-CN" w:bidi="ar-SA"/>
        </w:rPr>
        <w:t>，主要围绕项目资金使用情况、财务管理状况；项目管理相关制度及措施是否被认真执行；绩效目标的实现程度，包括是否达到预定产出和效果等方面开展综合评价。</w:t>
      </w:r>
    </w:p>
    <w:p w14:paraId="46A70BA8">
      <w:pPr>
        <w:spacing w:line="56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14:paraId="4AD6F5F2">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14:paraId="482F6ED3">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14:paraId="6F43D0EC">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（1）科学公正。绩效评价应当运用科学合理的方法，按照规范的程序，对项目绩效进行客观、公正的反映。</w:t>
      </w:r>
    </w:p>
    <w:p w14:paraId="18EAF13C">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400B5777">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14:paraId="6F3B1458">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14:paraId="454EFC1E">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14:paraId="1AFC35C3">
      <w:pPr>
        <w:spacing w:line="56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7C158608">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14:paraId="40901BC4">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2989882B">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14:paraId="18FC5A3D">
      <w:pPr>
        <w:spacing w:line="560" w:lineRule="exact"/>
        <w:ind w:firstLine="708" w:firstLineChars="200"/>
        <w:rPr>
          <w:rFonts w:ascii="Times New Roman" w:hAnsi="Times New Roman" w:eastAsia="仿宋_GB2312" w:cs="Times New Roman"/>
          <w:color w:val="auto"/>
          <w:spacing w:val="17"/>
          <w:sz w:val="32"/>
          <w:szCs w:val="32"/>
          <w:highlight w:val="none"/>
        </w:rPr>
      </w:pPr>
      <w:r>
        <w:rPr>
          <w:rFonts w:ascii="Times New Roman" w:hAnsi="Times New Roman" w:eastAsia="仿宋_GB2312" w:cs="Times New Roman"/>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051E1C83">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14:paraId="47FF7474">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515F23D0">
      <w:pPr>
        <w:pStyle w:val="2"/>
        <w:spacing w:before="0" w:after="0" w:line="560" w:lineRule="exact"/>
        <w:ind w:firstLine="708" w:firstLineChars="200"/>
        <w:jc w:val="both"/>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1A9FD5A2">
      <w:pPr>
        <w:pStyle w:val="2"/>
        <w:widowControl w:val="0"/>
        <w:spacing w:before="0" w:after="0" w:line="56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14:paraId="7301F75A">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14:paraId="1F5A9423">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6E6DFEA2">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122ECB57">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14:paraId="767698AE">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14:paraId="0DE8D262">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14:paraId="068E515C">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14:paraId="779CE125">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14:paraId="7BD37E11">
      <w:pPr>
        <w:spacing w:line="560" w:lineRule="exact"/>
        <w:ind w:firstLine="708" w:firstLineChars="200"/>
        <w:rPr>
          <w:rFonts w:hint="eastAsia" w:ascii="Times New Roman" w:hAnsi="Times New Roman" w:eastAsia="仿宋_GB2312" w:cs="Times New Roman"/>
          <w:color w:val="auto"/>
          <w:spacing w:val="17"/>
          <w:sz w:val="32"/>
          <w:szCs w:val="32"/>
          <w:highlight w:val="none"/>
        </w:rPr>
      </w:pPr>
      <w:r>
        <w:rPr>
          <w:rFonts w:hint="eastAsia" w:eastAsia="仿宋_GB2312"/>
          <w:color w:val="auto"/>
          <w:spacing w:val="17"/>
          <w:sz w:val="32"/>
          <w:szCs w:val="32"/>
          <w:highlight w:val="none"/>
        </w:rPr>
        <w:t>绩效评价标准通常包括计划标准、行业标准、历史标准等，用于对绩效指标完成情况进行比较、分析、评价。本次评价主要采用了计划</w:t>
      </w:r>
      <w:r>
        <w:rPr>
          <w:rFonts w:hint="eastAsia" w:eastAsia="仿宋_GB2312"/>
          <w:color w:val="auto"/>
          <w:spacing w:val="17"/>
          <w:sz w:val="32"/>
          <w:szCs w:val="32"/>
          <w:highlight w:val="none"/>
          <w:lang w:val="en-US" w:eastAsia="zh-CN"/>
        </w:rPr>
        <w:t>标准和预算支出标准</w:t>
      </w:r>
      <w:bookmarkStart w:id="0" w:name="_Toc31464"/>
      <w:bookmarkStart w:id="1" w:name="_Toc17882"/>
      <w:r>
        <w:rPr>
          <w:rFonts w:hint="eastAsia" w:eastAsia="仿宋_GB2312"/>
          <w:color w:val="auto"/>
          <w:spacing w:val="17"/>
          <w:sz w:val="32"/>
          <w:szCs w:val="32"/>
          <w:highlight w:val="none"/>
          <w:lang w:val="en-US" w:eastAsia="zh-CN"/>
        </w:rPr>
        <w:t>。</w:t>
      </w:r>
    </w:p>
    <w:p w14:paraId="61BD7D69">
      <w:pPr>
        <w:spacing w:line="560" w:lineRule="exact"/>
        <w:ind w:firstLine="708" w:firstLineChars="200"/>
        <w:rPr>
          <w:rFonts w:eastAsia="仿宋_GB2312"/>
          <w:color w:val="auto"/>
          <w:spacing w:val="17"/>
          <w:sz w:val="32"/>
          <w:szCs w:val="32"/>
          <w:highlight w:val="none"/>
        </w:rPr>
      </w:pPr>
      <w:r>
        <w:rPr>
          <w:rFonts w:hint="eastAsia" w:eastAsia="仿宋_GB2312"/>
          <w:color w:val="auto"/>
          <w:spacing w:val="17"/>
          <w:sz w:val="32"/>
          <w:szCs w:val="32"/>
          <w:highlight w:val="none"/>
        </w:rPr>
        <w:t>计划标准：指以预先制定的目标、计划、预算、定额等作为评价标准。</w:t>
      </w:r>
      <w:bookmarkEnd w:id="0"/>
      <w:bookmarkEnd w:id="1"/>
    </w:p>
    <w:p w14:paraId="1B90840C">
      <w:pPr>
        <w:spacing w:line="560" w:lineRule="exact"/>
        <w:ind w:firstLine="708" w:firstLineChars="200"/>
        <w:rPr>
          <w:rFonts w:eastAsia="仿宋_GB2312"/>
          <w:color w:val="auto"/>
          <w:spacing w:val="17"/>
          <w:sz w:val="32"/>
          <w:szCs w:val="32"/>
          <w:highlight w:val="none"/>
        </w:rPr>
      </w:pPr>
      <w:bookmarkStart w:id="2" w:name="_Toc5633"/>
      <w:bookmarkStart w:id="3" w:name="_Toc2318"/>
      <w:r>
        <w:rPr>
          <w:rFonts w:hint="eastAsia" w:eastAsia="仿宋_GB2312"/>
          <w:color w:val="auto"/>
          <w:spacing w:val="17"/>
          <w:sz w:val="32"/>
          <w:szCs w:val="32"/>
          <w:highlight w:val="none"/>
        </w:rPr>
        <w:t>行业标准：指参照国家公布的行业指标数据制定的评价标准。</w:t>
      </w:r>
      <w:bookmarkEnd w:id="2"/>
      <w:bookmarkEnd w:id="3"/>
    </w:p>
    <w:p w14:paraId="481FBFF7">
      <w:pPr>
        <w:spacing w:line="560" w:lineRule="exact"/>
        <w:ind w:firstLine="708" w:firstLineChars="200"/>
        <w:rPr>
          <w:rFonts w:eastAsia="方正仿宋_GBK" w:cs="方正仿宋_GBK"/>
          <w:color w:val="auto"/>
          <w:sz w:val="32"/>
          <w:szCs w:val="32"/>
          <w:highlight w:val="none"/>
        </w:rPr>
      </w:pPr>
      <w:bookmarkStart w:id="4" w:name="_Toc430"/>
      <w:bookmarkStart w:id="5" w:name="_Toc16028"/>
      <w:r>
        <w:rPr>
          <w:rFonts w:hint="eastAsia" w:eastAsia="仿宋_GB2312"/>
          <w:color w:val="auto"/>
          <w:spacing w:val="17"/>
          <w:sz w:val="32"/>
          <w:szCs w:val="32"/>
          <w:highlight w:val="none"/>
        </w:rPr>
        <w:t>历史标准：指参照历史数据制定的评价标准，为体现绩效改进的原则，在可实现的条件下应当确定相对较高的评价标准。</w:t>
      </w:r>
      <w:bookmarkEnd w:id="4"/>
      <w:bookmarkEnd w:id="5"/>
    </w:p>
    <w:p w14:paraId="0FC40EE5">
      <w:pPr>
        <w:pStyle w:val="2"/>
        <w:numPr>
          <w:ilvl w:val="0"/>
          <w:numId w:val="3"/>
        </w:numPr>
        <w:spacing w:before="0" w:after="0" w:line="56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14:paraId="3FD3127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1.</w:t>
      </w:r>
      <w:r>
        <w:rPr>
          <w:rFonts w:hint="eastAsia"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5C35114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2.</w:t>
      </w:r>
      <w:r>
        <w:rPr>
          <w:rFonts w:hint="eastAsia"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5E29EA5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highlight w:val="none"/>
        </w:rPr>
      </w:pPr>
      <w:r>
        <w:rPr>
          <w:rFonts w:hint="eastAsia" w:eastAsia="仿宋_GB2312"/>
          <w:bCs/>
          <w:color w:val="auto"/>
          <w:sz w:val="32"/>
          <w:szCs w:val="32"/>
          <w:highlight w:val="none"/>
          <w:lang w:val="en-US" w:eastAsia="zh-CN"/>
        </w:rPr>
        <w:t>3.</w:t>
      </w:r>
      <w:r>
        <w:rPr>
          <w:rFonts w:hint="eastAsia"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4A8B4842">
      <w:pPr>
        <w:numPr>
          <w:ilvl w:val="0"/>
          <w:numId w:val="4"/>
        </w:numPr>
        <w:spacing w:line="560" w:lineRule="exact"/>
        <w:ind w:firstLine="640" w:firstLineChars="200"/>
        <w:rPr>
          <w:rFonts w:eastAsia="黑体"/>
          <w:color w:val="auto"/>
          <w:sz w:val="32"/>
          <w:szCs w:val="32"/>
          <w:highlight w:val="none"/>
        </w:rPr>
      </w:pPr>
      <w:r>
        <w:rPr>
          <w:rFonts w:eastAsia="黑体"/>
          <w:color w:val="auto"/>
          <w:sz w:val="32"/>
          <w:szCs w:val="32"/>
          <w:highlight w:val="none"/>
        </w:rPr>
        <w:t>综合评价情况及评价结论（附相关评分表）</w:t>
      </w:r>
    </w:p>
    <w:p w14:paraId="2D85E01D">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auto"/>
          <w:highlight w:val="none"/>
          <w:lang w:val="en-US" w:eastAsia="zh-CN"/>
        </w:rPr>
      </w:pP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一</w:t>
      </w: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评价情况</w:t>
      </w:r>
    </w:p>
    <w:p w14:paraId="612582B5">
      <w:pPr>
        <w:shd w:val="clear"/>
        <w:spacing w:line="600" w:lineRule="exact"/>
        <w:ind w:firstLine="640" w:firstLineChars="200"/>
        <w:outlineLvl w:val="0"/>
        <w:rPr>
          <w:rFonts w:hint="default"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DEDFD92">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auto"/>
          <w:highlight w:val="none"/>
          <w:lang w:val="en-US" w:eastAsia="zh-CN"/>
        </w:rPr>
      </w:pP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二</w:t>
      </w: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评价结论</w:t>
      </w:r>
    </w:p>
    <w:p w14:paraId="31C6DEFB">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运用绩效评价组制定的评价指标体系以及财政部《项目支出绩效评价管理办法》（财预〔2020〕10号）文件的评分标准，通过数据采集、问卷调查及访谈等方式，对本项目进行客观评价，最终评分结</w:t>
      </w:r>
      <w:r>
        <w:rPr>
          <w:rFonts w:hint="eastAsia" w:ascii="Times New Roman" w:hAnsi="Times New Roman" w:eastAsia="仿宋_GB2312" w:cs="Times New Roman"/>
          <w:b w:val="0"/>
          <w:bCs w:val="0"/>
          <w:color w:val="auto"/>
          <w:highlight w:val="none"/>
        </w:rPr>
        <w:t>果：总得分为</w:t>
      </w:r>
      <w:r>
        <w:rPr>
          <w:rFonts w:hint="eastAsia" w:ascii="Times New Roman" w:hAnsi="Times New Roman" w:eastAsia="仿宋_GB2312" w:cs="Times New Roman"/>
          <w:b w:val="0"/>
          <w:bCs w:val="0"/>
          <w:color w:val="auto"/>
          <w:highlight w:val="none"/>
          <w:lang w:val="en-US" w:eastAsia="zh-CN"/>
        </w:rPr>
        <w:t>94.64</w:t>
      </w:r>
      <w:r>
        <w:rPr>
          <w:rFonts w:hint="eastAsia" w:ascii="Times New Roman" w:hAnsi="Times New Roman" w:eastAsia="仿宋_GB2312" w:cs="Times New Roman"/>
          <w:b w:val="0"/>
          <w:bCs w:val="0"/>
          <w:color w:val="auto"/>
          <w:highlight w:val="none"/>
        </w:rPr>
        <w:t xml:space="preserve">分，属于“良”。其中，项目决策类指标权重为20分，得分为 </w:t>
      </w:r>
      <w:r>
        <w:rPr>
          <w:rFonts w:hint="eastAsia" w:ascii="Times New Roman" w:hAnsi="Times New Roman" w:eastAsia="仿宋_GB2312" w:cs="Times New Roman"/>
          <w:b w:val="0"/>
          <w:bCs w:val="0"/>
          <w:color w:val="auto"/>
          <w:highlight w:val="none"/>
          <w:lang w:val="en-US" w:eastAsia="zh-CN"/>
        </w:rPr>
        <w:t>20</w:t>
      </w:r>
      <w:r>
        <w:rPr>
          <w:rFonts w:hint="eastAsia"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eastAsia" w:ascii="Times New Roman" w:hAnsi="Times New Roman" w:eastAsia="仿宋_GB2312" w:cs="Times New Roman"/>
          <w:b w:val="0"/>
          <w:bCs w:val="0"/>
          <w:color w:val="auto"/>
          <w:highlight w:val="none"/>
        </w:rPr>
        <w:t>%。项目过程类指标权重为20分，得分为</w:t>
      </w:r>
      <w:r>
        <w:rPr>
          <w:rFonts w:hint="eastAsia" w:ascii="Times New Roman" w:hAnsi="Times New Roman" w:eastAsia="仿宋_GB2312" w:cs="Times New Roman"/>
          <w:b w:val="0"/>
          <w:bCs w:val="0"/>
          <w:color w:val="auto"/>
          <w:highlight w:val="none"/>
          <w:lang w:val="en-US" w:eastAsia="zh-CN"/>
        </w:rPr>
        <w:t>19.42</w:t>
      </w:r>
      <w:r>
        <w:rPr>
          <w:rFonts w:hint="eastAsia"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97.1</w:t>
      </w:r>
      <w:r>
        <w:rPr>
          <w:rFonts w:hint="eastAsia"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35.22</w:t>
      </w:r>
      <w:r>
        <w:rPr>
          <w:rFonts w:hint="eastAsia"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88.05</w:t>
      </w:r>
      <w:r>
        <w:rPr>
          <w:rFonts w:hint="eastAsia"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20</w:t>
      </w:r>
      <w:r>
        <w:rPr>
          <w:rFonts w:hint="eastAsia"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eastAsia" w:ascii="Times New Roman" w:hAnsi="Times New Roman" w:eastAsia="仿宋_GB2312" w:cs="Times New Roman"/>
          <w:b w:val="0"/>
          <w:bCs w:val="0"/>
          <w:color w:val="auto"/>
          <w:highlight w:val="none"/>
        </w:rPr>
        <w:t>%。具体打分</w:t>
      </w:r>
      <w:r>
        <w:rPr>
          <w:rFonts w:hint="eastAsia" w:ascii="Times New Roman" w:hAnsi="Times New Roman" w:eastAsia="仿宋_GB2312"/>
          <w:b w:val="0"/>
          <w:bCs w:val="0"/>
          <w:color w:val="auto"/>
          <w:highlight w:val="none"/>
        </w:rPr>
        <w:t>情况详见：附件1综合评分表</w:t>
      </w:r>
      <w:r>
        <w:rPr>
          <w:rFonts w:hint="eastAsia" w:ascii="Times New Roman" w:hAnsi="Times New Roman" w:eastAsia="仿宋_GB2312"/>
          <w:b w:val="0"/>
          <w:bCs w:val="0"/>
          <w:color w:val="auto"/>
          <w:highlight w:val="none"/>
          <w:lang w:eastAsia="zh-CN"/>
        </w:rPr>
        <w:t>。</w:t>
      </w:r>
    </w:p>
    <w:p w14:paraId="2559E88C">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auto"/>
          <w:sz w:val="30"/>
          <w:szCs w:val="30"/>
          <w:highlight w:val="none"/>
        </w:rPr>
      </w:pPr>
      <w:r>
        <w:rPr>
          <w:rFonts w:ascii="Times New Roman" w:hAnsi="Times New Roman" w:eastAsia="仿宋_GB2312"/>
          <w:color w:val="auto"/>
          <w:sz w:val="30"/>
          <w:szCs w:val="30"/>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38D4D185">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2D2DFC5A">
            <w:pPr>
              <w:jc w:val="center"/>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8467749">
            <w:pPr>
              <w:jc w:val="center"/>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4F9817CF">
            <w:pPr>
              <w:jc w:val="center"/>
              <w:rPr>
                <w:b/>
                <w:bCs/>
                <w:color w:val="auto"/>
                <w:sz w:val="22"/>
                <w:highlight w:val="none"/>
              </w:rPr>
            </w:pPr>
            <w:r>
              <w:rPr>
                <w:rFonts w:hint="eastAsia"/>
                <w:b/>
                <w:bCs/>
                <w:color w:val="auto"/>
                <w:sz w:val="22"/>
                <w:highlight w:val="none"/>
              </w:rPr>
              <w:t>得分</w:t>
            </w:r>
          </w:p>
        </w:tc>
      </w:tr>
      <w:tr w14:paraId="4FD595A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8146EF">
            <w:pPr>
              <w:jc w:val="center"/>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782B19AB">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48440B2">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14:paraId="5A78BFE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3F6690B">
            <w:pPr>
              <w:jc w:val="center"/>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3B87E47F">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C739347">
            <w:pPr>
              <w:jc w:val="center"/>
              <w:rPr>
                <w:rFonts w:hint="default" w:eastAsia="宋体"/>
                <w:color w:val="auto"/>
                <w:sz w:val="22"/>
                <w:highlight w:val="none"/>
                <w:lang w:val="en-US" w:eastAsia="zh-CN"/>
              </w:rPr>
            </w:pPr>
            <w:r>
              <w:rPr>
                <w:rFonts w:hint="eastAsia"/>
                <w:color w:val="auto"/>
                <w:sz w:val="22"/>
                <w:highlight w:val="none"/>
                <w:lang w:val="en-US" w:eastAsia="zh-CN"/>
              </w:rPr>
              <w:t>19.42</w:t>
            </w:r>
          </w:p>
        </w:tc>
      </w:tr>
      <w:tr w14:paraId="5B75F4E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94F62E">
            <w:pPr>
              <w:jc w:val="center"/>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5969D110">
            <w:pPr>
              <w:jc w:val="center"/>
              <w:rPr>
                <w:rFonts w:hint="default" w:eastAsia="宋体"/>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680EFA4B">
            <w:pPr>
              <w:jc w:val="center"/>
              <w:rPr>
                <w:rFonts w:hint="default" w:eastAsia="宋体"/>
                <w:color w:val="auto"/>
                <w:sz w:val="22"/>
                <w:highlight w:val="none"/>
                <w:lang w:val="en-US" w:eastAsia="zh-CN"/>
              </w:rPr>
            </w:pPr>
            <w:r>
              <w:rPr>
                <w:rFonts w:hint="eastAsia"/>
                <w:color w:val="auto"/>
                <w:sz w:val="22"/>
                <w:highlight w:val="none"/>
                <w:lang w:val="en-US" w:eastAsia="zh-CN"/>
              </w:rPr>
              <w:t>35.22</w:t>
            </w:r>
          </w:p>
        </w:tc>
      </w:tr>
      <w:tr w14:paraId="4AC28E0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D34F014">
            <w:pPr>
              <w:jc w:val="center"/>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301C6254">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5FAC86E">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14:paraId="77CC642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3A834BD">
            <w:pPr>
              <w:jc w:val="center"/>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2451432F">
            <w:pPr>
              <w:jc w:val="center"/>
              <w:rPr>
                <w:rFonts w:hint="default" w:eastAsia="宋体"/>
                <w:b/>
                <w:bCs/>
                <w:color w:val="auto"/>
                <w:sz w:val="22"/>
                <w:highlight w:val="none"/>
                <w:lang w:val="en-US" w:eastAsia="zh-CN"/>
              </w:rPr>
            </w:pPr>
            <w:r>
              <w:rPr>
                <w:rFonts w:hint="eastAsia"/>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399E84D0">
            <w:pPr>
              <w:jc w:val="center"/>
              <w:rPr>
                <w:rFonts w:hint="default" w:eastAsia="宋体"/>
                <w:b/>
                <w:bCs/>
                <w:color w:val="auto"/>
                <w:sz w:val="22"/>
                <w:highlight w:val="none"/>
                <w:lang w:val="en-US" w:eastAsia="zh-CN"/>
              </w:rPr>
            </w:pPr>
            <w:r>
              <w:rPr>
                <w:rFonts w:hint="eastAsia"/>
                <w:b/>
                <w:bCs/>
                <w:color w:val="auto"/>
                <w:sz w:val="22"/>
                <w:highlight w:val="none"/>
                <w:lang w:val="en-US" w:eastAsia="zh-CN"/>
              </w:rPr>
              <w:t>85</w:t>
            </w:r>
          </w:p>
        </w:tc>
      </w:tr>
    </w:tbl>
    <w:p w14:paraId="05B6E797">
      <w:pPr>
        <w:spacing w:line="560" w:lineRule="exact"/>
        <w:ind w:firstLine="640" w:firstLineChars="200"/>
        <w:rPr>
          <w:rFonts w:eastAsia="黑体"/>
          <w:color w:val="auto"/>
          <w:sz w:val="32"/>
          <w:szCs w:val="32"/>
          <w:highlight w:val="none"/>
        </w:rPr>
      </w:pPr>
      <w:r>
        <w:rPr>
          <w:rFonts w:eastAsia="黑体"/>
          <w:color w:val="auto"/>
          <w:sz w:val="32"/>
          <w:szCs w:val="32"/>
          <w:highlight w:val="none"/>
        </w:rPr>
        <w:t>四、绩效评价指标分析</w:t>
      </w:r>
    </w:p>
    <w:p w14:paraId="3D1A5912">
      <w:pPr>
        <w:pStyle w:val="2"/>
        <w:spacing w:before="0" w:after="0" w:line="560" w:lineRule="exact"/>
        <w:ind w:firstLine="643" w:firstLineChars="200"/>
        <w:jc w:val="both"/>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14:paraId="2755F0FA">
      <w:pPr>
        <w:shd w:val="clear"/>
        <w:spacing w:line="600" w:lineRule="exact"/>
        <w:ind w:firstLine="600" w:firstLineChars="200"/>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项目决策类指标包括项目立项、绩效目标和资金投入三方面的内容，由6个三级指标构成，权重分值为20分，实际得分20分，得分率为100%。</w:t>
      </w:r>
    </w:p>
    <w:p w14:paraId="6129543A">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1.项目立项</w:t>
      </w:r>
    </w:p>
    <w:p w14:paraId="16B278C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w:t>
      </w:r>
    </w:p>
    <w:p w14:paraId="4419C9E6">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B47E11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w:t>
      </w:r>
    </w:p>
    <w:p w14:paraId="046D93C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项目申请、设立过程符合相关要求，</w:t>
      </w:r>
      <w:r>
        <w:rPr>
          <w:rFonts w:hint="eastAsia" w:ascii="仿宋_GB2312" w:hAnsi="仿宋_GB2312" w:eastAsia="仿宋_GB2312" w:cs="仿宋_GB2312"/>
          <w:color w:val="auto"/>
          <w:sz w:val="32"/>
          <w:szCs w:val="32"/>
          <w:highlight w:val="none"/>
          <w:lang w:eastAsia="zh-Hans"/>
        </w:rPr>
        <w:t>严格按照审批流程准备符合要求的文件、材料；</w:t>
      </w:r>
      <w:r>
        <w:rPr>
          <w:rFonts w:hint="eastAsia" w:ascii="仿宋_GB2312" w:hAnsi="仿宋_GB2312" w:eastAsia="仿宋_GB2312" w:cs="仿宋_GB2312"/>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根据决算依据编制工作计划和经费预算，经过与部门项目分管领导沟通、筛选确定经费预算计划，确定最终预算方案。项目的审批文件、材料符合相关要求，保障了程序的规范性。</w:t>
      </w:r>
    </w:p>
    <w:p w14:paraId="06628A57">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2.绩效目标</w:t>
      </w:r>
    </w:p>
    <w:p w14:paraId="311B8F20">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w:t>
      </w:r>
    </w:p>
    <w:p w14:paraId="44C1737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Hans"/>
        </w:rPr>
        <w:t>年初结合实际工作内容</w:t>
      </w:r>
      <w:r>
        <w:rPr>
          <w:rFonts w:hint="eastAsia" w:ascii="仿宋_GB2312" w:hAnsi="仿宋_GB2312" w:eastAsia="仿宋_GB2312" w:cs="仿宋_GB2312"/>
          <w:color w:val="auto"/>
          <w:sz w:val="32"/>
          <w:szCs w:val="32"/>
          <w:highlight w:val="none"/>
          <w:lang w:val="en-US" w:eastAsia="zh-CN"/>
        </w:rPr>
        <w:t>设定绩效目标</w:t>
      </w:r>
      <w:r>
        <w:rPr>
          <w:rFonts w:hint="eastAsia" w:ascii="仿宋_GB2312" w:hAnsi="仿宋_GB2312" w:eastAsia="仿宋_GB2312" w:cs="仿宋_GB2312"/>
          <w:color w:val="auto"/>
          <w:sz w:val="32"/>
          <w:szCs w:val="32"/>
          <w:highlight w:val="none"/>
          <w:lang w:val="en-US" w:eastAsia="zh-Hans"/>
        </w:rPr>
        <w:t>，绩效目标</w:t>
      </w:r>
      <w:r>
        <w:rPr>
          <w:rFonts w:hint="eastAsia" w:ascii="仿宋_GB2312" w:hAnsi="仿宋_GB2312" w:eastAsia="仿宋_GB2312" w:cs="仿宋_GB2312"/>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ABEC29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（2）绩效指标明确性</w:t>
      </w:r>
    </w:p>
    <w:p w14:paraId="016F6EE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57DB7B70">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3.资金投入</w:t>
      </w:r>
    </w:p>
    <w:p w14:paraId="12DFE8C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（1）预算编制科学性</w:t>
      </w:r>
    </w:p>
    <w:p w14:paraId="25352CC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预算编制经过科学论证，提供充分的测算依据佐证资料，预算内容与项目内容相匹配。项目投资额与工作任务相匹配。</w:t>
      </w:r>
    </w:p>
    <w:p w14:paraId="6E8042C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（2）资金分配合理性</w:t>
      </w:r>
    </w:p>
    <w:p w14:paraId="3D55A25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资金分配额度与项目单位实际工作内容相适应，资金分配额度合理，资金分配依据充分。</w:t>
      </w:r>
    </w:p>
    <w:p w14:paraId="055F23FB">
      <w:pPr>
        <w:pStyle w:val="2"/>
        <w:numPr>
          <w:ilvl w:val="0"/>
          <w:numId w:val="5"/>
        </w:numPr>
        <w:spacing w:before="0" w:after="0" w:line="560" w:lineRule="exact"/>
        <w:ind w:firstLine="643" w:firstLineChars="200"/>
        <w:jc w:val="both"/>
        <w:rPr>
          <w:rFonts w:ascii="楷体" w:hAnsi="楷体" w:eastAsia="楷体" w:cs="楷体"/>
          <w:color w:val="auto"/>
          <w:highlight w:val="none"/>
        </w:rPr>
      </w:pPr>
      <w:r>
        <w:rPr>
          <w:rFonts w:hint="eastAsia" w:ascii="楷体" w:hAnsi="楷体" w:eastAsia="楷体" w:cs="楷体"/>
          <w:color w:val="auto"/>
          <w:highlight w:val="none"/>
        </w:rPr>
        <w:t>项目过程情况</w:t>
      </w:r>
    </w:p>
    <w:p w14:paraId="07261A8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项目过程类指标包括资金管理和组织实施两方面的内容，由</w:t>
      </w:r>
      <w:r>
        <w:rPr>
          <w:rFonts w:hint="eastAsia" w:ascii="仿宋_GB2312" w:hAnsi="仿宋_GB2312" w:eastAsia="仿宋_GB2312" w:cs="仿宋_GB2312"/>
          <w:color w:val="auto"/>
          <w:sz w:val="32"/>
          <w:szCs w:val="32"/>
          <w:highlight w:val="none"/>
          <w:lang w:val="en-US" w:eastAsia="zh-CN"/>
        </w:rPr>
        <w:t>5个</w:t>
      </w:r>
      <w:r>
        <w:rPr>
          <w:rFonts w:hint="eastAsia" w:ascii="仿宋_GB2312" w:hAnsi="仿宋_GB2312" w:eastAsia="仿宋_GB2312" w:cs="仿宋_GB2312"/>
          <w:color w:val="auto"/>
          <w:sz w:val="32"/>
          <w:szCs w:val="32"/>
          <w:highlight w:val="none"/>
          <w:lang w:val="en-US" w:eastAsia="zh-CN"/>
        </w:rPr>
        <w:t>三级指标构成，权重分值为20分，实际得分19.42分，得分率为97.1%。</w:t>
      </w:r>
    </w:p>
    <w:p w14:paraId="567BB216">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42978527">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14:paraId="794F005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14:paraId="5B9D5A1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本项目总投资597.6万元，财政资金及时足额到位，到位率100%，预算资金按计划进度执行。</w:t>
      </w:r>
    </w:p>
    <w:p w14:paraId="4BAD0B0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w:t>
      </w:r>
    </w:p>
    <w:p w14:paraId="083F467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预算编制较为详细，项目资金支出总体能够按照预算执行，预算资金支出511.2万元，预算执行率为85.54%。</w:t>
      </w:r>
    </w:p>
    <w:p w14:paraId="793D031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w:t>
      </w:r>
    </w:p>
    <w:p w14:paraId="1F7003C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A862177">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2.组织实施</w:t>
      </w:r>
    </w:p>
    <w:p w14:paraId="349A4EF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w:t>
      </w:r>
    </w:p>
    <w:p w14:paraId="5F1C6E8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268F78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w:t>
      </w:r>
    </w:p>
    <w:p w14:paraId="7287D15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14:paraId="3EB5263A">
      <w:pPr>
        <w:pStyle w:val="12"/>
        <w:numPr>
          <w:ilvl w:val="0"/>
          <w:numId w:val="5"/>
        </w:numPr>
        <w:spacing w:line="560" w:lineRule="exact"/>
        <w:ind w:firstLine="643"/>
        <w:rPr>
          <w:rFonts w:eastAsia="楷体_GB2312"/>
          <w:b/>
          <w:bCs/>
          <w:color w:val="auto"/>
          <w:sz w:val="32"/>
          <w:szCs w:val="32"/>
          <w:highlight w:val="none"/>
        </w:rPr>
      </w:pPr>
      <w:r>
        <w:rPr>
          <w:rFonts w:eastAsia="楷体_GB2312"/>
          <w:b/>
          <w:bCs/>
          <w:color w:val="auto"/>
          <w:sz w:val="32"/>
          <w:szCs w:val="32"/>
          <w:highlight w:val="none"/>
        </w:rPr>
        <w:t>项目产出</w:t>
      </w:r>
      <w:r>
        <w:rPr>
          <w:rFonts w:hint="eastAsia" w:eastAsia="楷体_GB2312"/>
          <w:b/>
          <w:bCs/>
          <w:color w:val="auto"/>
          <w:sz w:val="32"/>
          <w:szCs w:val="32"/>
          <w:highlight w:val="none"/>
          <w:lang w:val="en-US" w:eastAsia="zh-CN"/>
        </w:rPr>
        <w:t>情况</w:t>
      </w:r>
    </w:p>
    <w:p w14:paraId="2626E4DE">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项目产出类指标包括产出数量、产出质量、产出时效、产出成本四方面的内容，由5个三级指标构成，权重分为40分，实际得分35.22分，得分率为88.05%。具体产出指标完成情况如下：</w:t>
      </w:r>
    </w:p>
    <w:p w14:paraId="773EB2C8">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1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①</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数量指标：</w:t>
      </w:r>
    </w:p>
    <w:p w14:paraId="6AFDA236">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指标1：燃煤锅炉淘汰整治数量（台</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=41台</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=33台</w:t>
      </w:r>
      <w:r>
        <w:rPr>
          <w:rFonts w:hint="eastAsia" w:ascii="仿宋_GB2312" w:hAnsi="仿宋_GB2312" w:eastAsia="仿宋_GB2312" w:cs="仿宋_GB2312"/>
          <w:color w:val="auto"/>
          <w:sz w:val="32"/>
          <w:szCs w:val="32"/>
          <w:highlight w:val="none"/>
        </w:rPr>
        <w:t xml:space="preserve">  ，指标完成率 </w:t>
      </w:r>
      <w:r>
        <w:rPr>
          <w:rFonts w:hint="eastAsia" w:ascii="仿宋_GB2312" w:hAnsi="仿宋_GB2312" w:eastAsia="仿宋_GB2312" w:cs="仿宋_GB2312"/>
          <w:color w:val="auto"/>
          <w:sz w:val="32"/>
          <w:szCs w:val="32"/>
          <w:highlight w:val="none"/>
          <w:lang w:val="en-US" w:eastAsia="zh-CN"/>
        </w:rPr>
        <w:t>80.52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，偏差原因：8台燃煤锅炉未完成整改，不符合燃煤锅炉整治改造补贴资金发放政策</w:t>
      </w:r>
      <w:r>
        <w:rPr>
          <w:rFonts w:hint="eastAsia" w:ascii="仿宋_GB2312" w:hAnsi="仿宋_GB2312" w:eastAsia="仿宋_GB2312" w:cs="仿宋_GB2312"/>
          <w:color w:val="auto"/>
          <w:sz w:val="32"/>
          <w:szCs w:val="32"/>
          <w:highlight w:val="none"/>
          <w:lang w:val="en-US" w:eastAsia="zh-CN"/>
        </w:rPr>
        <w:t>,改进措施：下年度合理申报指标</w:t>
      </w:r>
    </w:p>
    <w:p w14:paraId="68DE094D">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指标2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燃煤锅炉改造（蒸吨），指标值：</w:t>
      </w:r>
      <w:r>
        <w:rPr>
          <w:rFonts w:hint="eastAsia" w:ascii="仿宋_GB2312" w:hAnsi="仿宋_GB2312" w:eastAsia="仿宋_GB2312" w:cs="仿宋_GB2312"/>
          <w:color w:val="auto"/>
          <w:sz w:val="32"/>
          <w:szCs w:val="32"/>
          <w:highlight w:val="none"/>
          <w:lang w:val="en-US" w:eastAsia="zh-CN"/>
        </w:rPr>
        <w:t>=72.2蒸吨</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=59.2蒸吨</w:t>
      </w:r>
      <w:r>
        <w:rPr>
          <w:rFonts w:hint="eastAsia" w:ascii="仿宋_GB2312" w:hAnsi="仿宋_GB2312" w:eastAsia="仿宋_GB2312" w:cs="仿宋_GB2312"/>
          <w:color w:val="auto"/>
          <w:sz w:val="32"/>
          <w:szCs w:val="32"/>
          <w:highlight w:val="none"/>
        </w:rPr>
        <w:t xml:space="preserve">  ，指标完成率 </w:t>
      </w:r>
      <w:r>
        <w:rPr>
          <w:rFonts w:hint="eastAsia" w:ascii="仿宋_GB2312" w:hAnsi="仿宋_GB2312" w:eastAsia="仿宋_GB2312" w:cs="仿宋_GB2312"/>
          <w:color w:val="auto"/>
          <w:sz w:val="32"/>
          <w:szCs w:val="32"/>
          <w:highlight w:val="none"/>
          <w:lang w:val="en-US" w:eastAsia="zh-CN"/>
        </w:rPr>
        <w:t>82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，偏差原因：8台燃煤锅炉未完成整改，不符合燃煤锅炉整治改造补贴资金发放政策</w:t>
      </w:r>
      <w:r>
        <w:rPr>
          <w:rFonts w:hint="eastAsia" w:ascii="仿宋_GB2312" w:hAnsi="仿宋_GB2312" w:eastAsia="仿宋_GB2312" w:cs="仿宋_GB2312"/>
          <w:color w:val="auto"/>
          <w:sz w:val="32"/>
          <w:szCs w:val="32"/>
          <w:highlight w:val="none"/>
          <w:lang w:val="en-US" w:eastAsia="zh-CN"/>
        </w:rPr>
        <w:t>,改进措施：下年度合理申报指标</w:t>
      </w:r>
    </w:p>
    <w:p w14:paraId="2185DB2A">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质量指标：</w:t>
      </w:r>
    </w:p>
    <w:p w14:paraId="5658DDD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指标1：项目竣工验收合格率（%），指标值：&gt;=90% ，实际完成值：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111.11</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，年初目标值设置不准确，故存在偏差。改进措施：下年度合理申报预期值，减少误差。</w:t>
      </w:r>
    </w:p>
    <w:p w14:paraId="2E95152E">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3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③</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时效指标：</w:t>
      </w:r>
    </w:p>
    <w:p w14:paraId="3AEB95E1">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指标1：资金发放及时率（%），指标值：=</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rPr>
        <w:t>0% ，实际完成值：</w:t>
      </w:r>
      <w:r>
        <w:rPr>
          <w:rFonts w:hint="eastAsia" w:ascii="仿宋_GB2312" w:hAnsi="仿宋_GB2312" w:eastAsia="仿宋_GB2312" w:cs="仿宋_GB2312"/>
          <w:color w:val="auto"/>
          <w:sz w:val="32"/>
          <w:szCs w:val="32"/>
          <w:highlight w:val="none"/>
          <w:lang w:val="en-US" w:eastAsia="zh-CN"/>
        </w:rPr>
        <w:t>=85.54%</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85.54</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。偏差原因：8台燃煤锅炉未完成整改，不符合燃煤锅炉整治改造补贴资金发放政策</w:t>
      </w:r>
      <w:r>
        <w:rPr>
          <w:rFonts w:hint="eastAsia" w:ascii="仿宋_GB2312" w:hAnsi="仿宋_GB2312" w:eastAsia="仿宋_GB2312" w:cs="仿宋_GB2312"/>
          <w:color w:val="auto"/>
          <w:sz w:val="32"/>
          <w:szCs w:val="32"/>
          <w:highlight w:val="none"/>
          <w:lang w:val="en-US" w:eastAsia="zh-CN"/>
        </w:rPr>
        <w:t>,改进措施：下年度合理申报指标</w:t>
      </w:r>
    </w:p>
    <w:p w14:paraId="21AAA3B3">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4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④</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成本指标：</w:t>
      </w:r>
    </w:p>
    <w:p w14:paraId="550900A2">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w:t>
      </w:r>
      <w:r>
        <w:rPr>
          <w:rFonts w:hint="eastAsia" w:ascii="仿宋_GB2312" w:hAnsi="仿宋_GB2312" w:eastAsia="仿宋_GB2312" w:cs="仿宋_GB2312"/>
          <w:color w:val="auto"/>
          <w:sz w:val="32"/>
          <w:szCs w:val="32"/>
          <w:highlight w:val="none"/>
          <w:lang w:eastAsia="zh-CN"/>
        </w:rPr>
        <w:t>项目预算控制率（%），指标值：=</w:t>
      </w:r>
      <w:r>
        <w:rPr>
          <w:rFonts w:hint="eastAsia" w:ascii="仿宋_GB2312" w:hAnsi="仿宋_GB2312" w:eastAsia="仿宋_GB2312" w:cs="仿宋_GB2312"/>
          <w:color w:val="auto"/>
          <w:sz w:val="32"/>
          <w:szCs w:val="32"/>
          <w:highlight w:val="none"/>
          <w:lang w:val="en-US" w:eastAsia="zh-CN"/>
        </w:rPr>
        <w:t>10</w:t>
      </w:r>
      <w:r>
        <w:rPr>
          <w:rFonts w:hint="eastAsia" w:ascii="仿宋_GB2312" w:hAnsi="仿宋_GB2312" w:eastAsia="仿宋_GB2312" w:cs="仿宋_GB2312"/>
          <w:color w:val="auto"/>
          <w:sz w:val="32"/>
          <w:szCs w:val="32"/>
          <w:highlight w:val="none"/>
          <w:lang w:eastAsia="zh-CN"/>
        </w:rPr>
        <w:t>0% ，实际完成值：</w:t>
      </w:r>
      <w:r>
        <w:rPr>
          <w:rFonts w:hint="eastAsia" w:ascii="仿宋_GB2312" w:hAnsi="仿宋_GB2312" w:eastAsia="仿宋_GB2312" w:cs="仿宋_GB2312"/>
          <w:color w:val="auto"/>
          <w:sz w:val="32"/>
          <w:szCs w:val="32"/>
          <w:highlight w:val="none"/>
          <w:lang w:val="en-US" w:eastAsia="zh-CN"/>
        </w:rPr>
        <w:t>=85.54%</w:t>
      </w:r>
      <w:r>
        <w:rPr>
          <w:rFonts w:hint="eastAsia" w:ascii="仿宋_GB2312" w:hAnsi="仿宋_GB2312" w:eastAsia="仿宋_GB2312" w:cs="仿宋_GB2312"/>
          <w:color w:val="auto"/>
          <w:sz w:val="32"/>
          <w:szCs w:val="32"/>
          <w:highlight w:val="none"/>
          <w:lang w:eastAsia="zh-CN"/>
        </w:rPr>
        <w:t>，指标完成率</w:t>
      </w:r>
      <w:r>
        <w:rPr>
          <w:rFonts w:hint="eastAsia" w:ascii="仿宋_GB2312" w:hAnsi="仿宋_GB2312" w:eastAsia="仿宋_GB2312" w:cs="仿宋_GB2312"/>
          <w:color w:val="auto"/>
          <w:sz w:val="32"/>
          <w:szCs w:val="32"/>
          <w:highlight w:val="none"/>
          <w:lang w:val="en-US" w:eastAsia="zh-CN"/>
        </w:rPr>
        <w:t>85.54</w:t>
      </w:r>
      <w:r>
        <w:rPr>
          <w:rFonts w:hint="eastAsia" w:ascii="仿宋_GB2312" w:hAnsi="仿宋_GB2312" w:eastAsia="仿宋_GB2312" w:cs="仿宋_GB2312"/>
          <w:color w:val="auto"/>
          <w:sz w:val="32"/>
          <w:szCs w:val="32"/>
          <w:highlight w:val="none"/>
          <w:lang w:eastAsia="zh-CN"/>
        </w:rPr>
        <w:t>%。偏差原因：8台燃煤锅炉未完成整改，不符合燃煤锅炉整治改造补贴资金发放政策</w:t>
      </w:r>
      <w:r>
        <w:rPr>
          <w:rFonts w:hint="eastAsia" w:ascii="仿宋_GB2312" w:hAnsi="仿宋_GB2312" w:eastAsia="仿宋_GB2312" w:cs="仿宋_GB2312"/>
          <w:color w:val="auto"/>
          <w:sz w:val="32"/>
          <w:szCs w:val="32"/>
          <w:highlight w:val="none"/>
          <w:lang w:val="en-US" w:eastAsia="zh-CN"/>
        </w:rPr>
        <w:t>,改进措施：下年度合理申报指标</w:t>
      </w:r>
    </w:p>
    <w:p w14:paraId="4AA0B300">
      <w:pPr>
        <w:pStyle w:val="12"/>
        <w:numPr>
          <w:ilvl w:val="0"/>
          <w:numId w:val="5"/>
        </w:numPr>
        <w:spacing w:line="560" w:lineRule="exact"/>
        <w:ind w:firstLine="643"/>
        <w:rPr>
          <w:rFonts w:hint="eastAsia" w:ascii="Times New Roman" w:hAnsi="Times New Roman" w:eastAsia="楷体_GB2312" w:cs="Times New Roman"/>
          <w:b/>
          <w:bCs/>
          <w:color w:val="auto"/>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项目效益情况</w:t>
      </w:r>
    </w:p>
    <w:p w14:paraId="65436D5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w:t>
      </w:r>
      <w:r>
        <w:rPr>
          <w:rFonts w:hint="eastAsia" w:ascii="仿宋_GB2312" w:hAnsi="仿宋_GB2312" w:eastAsia="仿宋_GB2312" w:cs="仿宋_GB2312"/>
          <w:color w:val="auto"/>
          <w:sz w:val="32"/>
          <w:szCs w:val="32"/>
          <w:highlight w:val="none"/>
          <w:lang w:val="en-US" w:eastAsia="zh-CN"/>
        </w:rPr>
        <w:t>益类指标包括项目实施效益和满意度两方面的内容，由3个三级指标构成，权重分为20分，实际得分20分，得分率为100%。具体效益指标及满意度指</w:t>
      </w:r>
      <w:r>
        <w:rPr>
          <w:rFonts w:hint="eastAsia" w:ascii="仿宋_GB2312" w:hAnsi="仿宋_GB2312" w:eastAsia="仿宋_GB2312" w:cs="仿宋_GB2312"/>
          <w:color w:val="auto"/>
          <w:sz w:val="32"/>
          <w:szCs w:val="32"/>
          <w:highlight w:val="none"/>
          <w:lang w:val="en-US" w:eastAsia="zh-CN"/>
        </w:rPr>
        <w:t>标完成情况如下：</w:t>
      </w:r>
    </w:p>
    <w:p w14:paraId="018798D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1.实施效益</w:t>
      </w:r>
    </w:p>
    <w:p w14:paraId="0E7998CF">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①</w:t>
      </w:r>
      <w:r>
        <w:rPr>
          <w:rFonts w:hint="eastAsia" w:ascii="仿宋_GB2312" w:hAnsi="仿宋_GB2312" w:eastAsia="仿宋_GB2312" w:cs="仿宋_GB2312"/>
          <w:color w:val="auto"/>
          <w:sz w:val="32"/>
          <w:szCs w:val="32"/>
          <w:highlight w:val="none"/>
        </w:rPr>
        <w:t>社会效益指标：</w:t>
      </w:r>
    </w:p>
    <w:p w14:paraId="6EF5427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val="en-US" w:eastAsia="zh-CN"/>
        </w:rPr>
        <w:t>指标1：</w:t>
      </w:r>
      <w:r>
        <w:rPr>
          <w:rFonts w:hint="eastAsia" w:ascii="仿宋_GB2312" w:hAnsi="仿宋_GB2312" w:eastAsia="仿宋_GB2312" w:cs="仿宋_GB2312"/>
          <w:color w:val="auto"/>
          <w:sz w:val="32"/>
          <w:szCs w:val="32"/>
          <w:highlight w:val="none"/>
          <w:lang w:eastAsia="zh-CN"/>
        </w:rPr>
        <w:t>保障清洁能源供暖，指标值：</w:t>
      </w:r>
      <w:r>
        <w:rPr>
          <w:rFonts w:hint="eastAsia" w:ascii="仿宋_GB2312" w:hAnsi="仿宋_GB2312" w:eastAsia="仿宋_GB2312" w:cs="仿宋_GB2312"/>
          <w:color w:val="auto"/>
          <w:sz w:val="32"/>
          <w:szCs w:val="32"/>
          <w:highlight w:val="none"/>
          <w:lang w:val="en-US" w:eastAsia="zh-CN"/>
        </w:rPr>
        <w:t>有效保障</w:t>
      </w:r>
      <w:r>
        <w:rPr>
          <w:rFonts w:hint="eastAsia" w:ascii="仿宋_GB2312" w:hAnsi="仿宋_GB2312" w:eastAsia="仿宋_GB2312" w:cs="仿宋_GB2312"/>
          <w:color w:val="auto"/>
          <w:sz w:val="32"/>
          <w:szCs w:val="32"/>
          <w:highlight w:val="none"/>
          <w:lang w:eastAsia="zh-CN"/>
        </w:rPr>
        <w:t>，实际完成值：</w:t>
      </w:r>
      <w:r>
        <w:rPr>
          <w:rFonts w:hint="eastAsia" w:ascii="仿宋_GB2312" w:hAnsi="仿宋_GB2312" w:eastAsia="仿宋_GB2312" w:cs="仿宋_GB2312"/>
          <w:color w:val="auto"/>
          <w:sz w:val="32"/>
          <w:szCs w:val="32"/>
          <w:highlight w:val="none"/>
          <w:lang w:val="en-US" w:eastAsia="zh-CN"/>
        </w:rPr>
        <w:t>有效保障</w:t>
      </w:r>
      <w:r>
        <w:rPr>
          <w:rFonts w:hint="eastAsia" w:ascii="仿宋_GB2312" w:hAnsi="仿宋_GB2312" w:eastAsia="仿宋_GB2312" w:cs="仿宋_GB2312"/>
          <w:color w:val="auto"/>
          <w:sz w:val="32"/>
          <w:szCs w:val="32"/>
          <w:highlight w:val="none"/>
          <w:lang w:eastAsia="zh-CN"/>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lang w:eastAsia="zh-CN"/>
        </w:rPr>
        <w:t>%。</w:t>
      </w:r>
    </w:p>
    <w:p w14:paraId="6D2EF8A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lang w:val="en-US" w:eastAsia="zh-CN"/>
        </w:rPr>
        <w:t>生态效益指标：</w:t>
      </w:r>
    </w:p>
    <w:p w14:paraId="7B1BA206">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指标1：提升环境空气质量，指标值：有效提升，实际完成值：有效提升，指标完成率100%。</w:t>
      </w:r>
    </w:p>
    <w:p w14:paraId="00572486">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w:t>
      </w:r>
    </w:p>
    <w:p w14:paraId="66CF2232">
      <w:pPr>
        <w:shd w:val="clear"/>
        <w:spacing w:line="600" w:lineRule="exact"/>
        <w:ind w:firstLine="640" w:firstLineChars="200"/>
        <w:outlineLvl w:val="0"/>
        <w:rPr>
          <w:rFonts w:hint="eastAsia"/>
          <w:color w:val="auto"/>
          <w:highlight w:val="none"/>
          <w:lang w:eastAsia="zh-Hans"/>
        </w:rPr>
      </w:pPr>
      <w:r>
        <w:rPr>
          <w:rFonts w:hint="eastAsia" w:ascii="仿宋_GB2312" w:hAnsi="仿宋_GB2312" w:eastAsia="仿宋_GB2312" w:cs="仿宋_GB2312"/>
          <w:color w:val="auto"/>
          <w:sz w:val="32"/>
          <w:szCs w:val="32"/>
          <w:highlight w:val="none"/>
          <w:lang w:val="en-US" w:eastAsia="zh-CN"/>
        </w:rPr>
        <w:t>满意度指标：公众满意度（%），指标值：&gt;=90%，实际完成值：=90%，指标完成率100%。</w:t>
      </w:r>
    </w:p>
    <w:p w14:paraId="4C27C607">
      <w:pPr>
        <w:spacing w:line="560" w:lineRule="exact"/>
        <w:ind w:firstLine="640" w:firstLineChars="200"/>
        <w:rPr>
          <w:rFonts w:hint="eastAsia" w:ascii="Times New Roman" w:hAnsi="Times New Roman" w:eastAsia="黑体" w:cs="Times New Roman"/>
          <w:color w:val="auto"/>
          <w:sz w:val="32"/>
          <w:szCs w:val="32"/>
          <w:highlight w:val="none"/>
          <w:lang w:eastAsia="zh-Hans"/>
        </w:rPr>
      </w:pPr>
      <w:r>
        <w:rPr>
          <w:rFonts w:hint="eastAsia" w:ascii="Times New Roman" w:hAnsi="Times New Roman" w:eastAsia="黑体" w:cs="Times New Roman"/>
          <w:color w:val="auto"/>
          <w:sz w:val="32"/>
          <w:szCs w:val="32"/>
          <w:highlight w:val="none"/>
          <w:lang w:eastAsia="zh-Hans"/>
        </w:rPr>
        <w:t>五、预算执行进度与绩效指标总体完成率偏差</w:t>
      </w:r>
    </w:p>
    <w:p w14:paraId="5FF5FB26">
      <w:pPr>
        <w:pStyle w:val="4"/>
        <w:keepNext w:val="0"/>
        <w:keepLines w:val="0"/>
        <w:widowControl/>
        <w:suppressLineNumbers w:val="0"/>
        <w:shd w:val="clear" w:fill="FFFFFF"/>
        <w:spacing w:before="0" w:beforeAutospacing="0" w:after="0" w:afterAutospacing="0" w:line="21" w:lineRule="atLeast"/>
        <w:ind w:left="0" w:right="0" w:firstLine="640" w:firstLineChars="200"/>
        <w:rPr>
          <w:rFonts w:hint="eastAsia" w:ascii="Times New Roman" w:hAnsi="Times New Roman" w:eastAsia="仿宋_GB2312" w:cs="Times New Roman"/>
          <w:b w:val="0"/>
          <w:color w:val="auto"/>
          <w:kern w:val="2"/>
          <w:sz w:val="32"/>
          <w:szCs w:val="32"/>
          <w:highlight w:val="none"/>
          <w:lang w:val="en-US" w:eastAsia="zh-CN" w:bidi="ar-SA"/>
        </w:rPr>
      </w:pPr>
      <w:r>
        <w:rPr>
          <w:rFonts w:hint="default" w:ascii="Times New Roman" w:hAnsi="Times New Roman" w:eastAsia="仿宋_GB2312" w:cs="Times New Roman"/>
          <w:b w:val="0"/>
          <w:color w:val="auto"/>
          <w:kern w:val="2"/>
          <w:sz w:val="32"/>
          <w:szCs w:val="32"/>
          <w:highlight w:val="none"/>
          <w:lang w:val="en-US" w:eastAsia="zh-CN" w:bidi="ar-SA"/>
        </w:rPr>
        <w:t>昌吉州65蒸吨以下燃煤锅炉淘汰整治补贴项目</w:t>
      </w:r>
      <w:r>
        <w:rPr>
          <w:rFonts w:hint="eastAsia" w:ascii="Times New Roman" w:hAnsi="Times New Roman" w:eastAsia="仿宋_GB2312" w:cs="Times New Roman"/>
          <w:b w:val="0"/>
          <w:color w:val="auto"/>
          <w:kern w:val="2"/>
          <w:sz w:val="32"/>
          <w:szCs w:val="32"/>
          <w:highlight w:val="none"/>
          <w:lang w:val="en-US" w:eastAsia="zh-CN" w:bidi="ar-SA"/>
        </w:rPr>
        <w:t>项目年初预算564万元，全年预算597.6万元，实际支出511.2万元，预算执行率为85.54%，项目绩效指标总体完成率为93.09%，</w:t>
      </w:r>
      <w:r>
        <w:rPr>
          <w:rFonts w:hint="eastAsia" w:ascii="Times New Roman" w:hAnsi="Times New Roman" w:eastAsia="仿宋_GB2312" w:cs="Times New Roman"/>
          <w:b w:val="0"/>
          <w:color w:val="auto"/>
          <w:kern w:val="2"/>
          <w:sz w:val="32"/>
          <w:szCs w:val="32"/>
          <w:highlight w:val="none"/>
          <w:lang w:val="en-US" w:eastAsia="zh-Hans" w:bidi="ar-SA"/>
        </w:rPr>
        <w:t>总体</w:t>
      </w:r>
      <w:r>
        <w:rPr>
          <w:rFonts w:hint="eastAsia" w:ascii="Times New Roman" w:hAnsi="Times New Roman" w:eastAsia="仿宋_GB2312" w:cs="Times New Roman"/>
          <w:b w:val="0"/>
          <w:color w:val="auto"/>
          <w:kern w:val="2"/>
          <w:sz w:val="32"/>
          <w:szCs w:val="32"/>
          <w:highlight w:val="none"/>
          <w:lang w:val="en-US" w:eastAsia="zh-CN" w:bidi="ar-SA"/>
        </w:rPr>
        <w:t>偏差率为7.55%,</w:t>
      </w:r>
      <w:r>
        <w:rPr>
          <w:rFonts w:hint="eastAsia" w:ascii="Times New Roman" w:hAnsi="Times New Roman" w:eastAsia="仿宋_GB2312" w:cs="Times New Roman"/>
          <w:b w:val="0"/>
          <w:color w:val="auto"/>
          <w:kern w:val="2"/>
          <w:sz w:val="32"/>
          <w:szCs w:val="32"/>
          <w:highlight w:val="none"/>
          <w:lang w:val="en-US" w:eastAsia="zh-Hans" w:bidi="ar-SA"/>
        </w:rPr>
        <w:t>偏差</w:t>
      </w:r>
      <w:r>
        <w:rPr>
          <w:rFonts w:hint="eastAsia" w:ascii="Times New Roman" w:hAnsi="Times New Roman" w:eastAsia="仿宋_GB2312" w:cs="Times New Roman"/>
          <w:b w:val="0"/>
          <w:color w:val="auto"/>
          <w:kern w:val="2"/>
          <w:sz w:val="32"/>
          <w:szCs w:val="32"/>
          <w:highlight w:val="none"/>
          <w:lang w:val="en-US" w:eastAsia="zh-CN" w:bidi="ar-SA"/>
        </w:rPr>
        <w:t>原因：8台燃煤锅炉未完成整改，不符合燃煤锅炉整治改造补贴资金发放政策，改进措施：下年度合理申报指标。</w:t>
      </w:r>
    </w:p>
    <w:p w14:paraId="5C7F98C5">
      <w:pPr>
        <w:spacing w:line="560" w:lineRule="exact"/>
        <w:ind w:firstLine="640" w:firstLineChars="200"/>
        <w:rPr>
          <w:rStyle w:val="18"/>
          <w:rFonts w:ascii="Times New Roman" w:hAnsi="Times New Roman" w:cs="Times New Roman"/>
          <w:color w:val="auto"/>
          <w:highlight w:val="none"/>
        </w:rPr>
      </w:pPr>
      <w:r>
        <w:rPr>
          <w:rFonts w:hint="eastAsia" w:eastAsia="黑体"/>
          <w:color w:val="auto"/>
          <w:sz w:val="32"/>
          <w:szCs w:val="32"/>
          <w:highlight w:val="none"/>
          <w:lang w:eastAsia="zh-Hans"/>
        </w:rPr>
        <w:t>六</w:t>
      </w:r>
      <w:r>
        <w:rPr>
          <w:rFonts w:eastAsia="黑体"/>
          <w:color w:val="auto"/>
          <w:sz w:val="32"/>
          <w:szCs w:val="32"/>
          <w:highlight w:val="none"/>
        </w:rPr>
        <w:t>、主要经验及做法、存在的问题及原因分析</w:t>
      </w:r>
    </w:p>
    <w:p w14:paraId="6F32CC56">
      <w:pPr>
        <w:spacing w:line="560" w:lineRule="exact"/>
        <w:ind w:firstLine="627" w:firstLineChars="200"/>
        <w:rPr>
          <w:rFonts w:eastAsia="楷体"/>
          <w:b/>
          <w:color w:val="auto"/>
          <w:spacing w:val="-4"/>
          <w:sz w:val="32"/>
          <w:szCs w:val="32"/>
          <w:highlight w:val="none"/>
        </w:rPr>
      </w:pPr>
      <w:r>
        <w:rPr>
          <w:rFonts w:eastAsia="楷体"/>
          <w:b/>
          <w:color w:val="auto"/>
          <w:spacing w:val="-4"/>
          <w:sz w:val="32"/>
          <w:szCs w:val="32"/>
          <w:highlight w:val="none"/>
        </w:rPr>
        <w:t>（一）主要经验及做法</w:t>
      </w:r>
    </w:p>
    <w:p w14:paraId="44CCC177">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17EE07A">
      <w:pPr>
        <w:pStyle w:val="2"/>
        <w:spacing w:before="0" w:after="0" w:line="560" w:lineRule="exact"/>
        <w:ind w:firstLine="640" w:firstLineChars="200"/>
        <w:jc w:val="left"/>
        <w:rPr>
          <w:rFonts w:ascii="Times New Roman" w:hAnsi="Times New Roman" w:eastAsia="仿宋_GB2312"/>
          <w:b w:val="0"/>
          <w:bCs w:val="0"/>
          <w:color w:val="auto"/>
          <w:kern w:val="2"/>
          <w:highlight w:val="none"/>
        </w:rPr>
      </w:pPr>
      <w:r>
        <w:rPr>
          <w:rFonts w:ascii="Times New Roman" w:hAnsi="Times New Roman" w:eastAsia="仿宋_GB2312"/>
          <w:b w:val="0"/>
          <w:bCs w:val="0"/>
          <w:color w:val="auto"/>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8C55EB3">
      <w:pPr>
        <w:keepNext/>
        <w:keepLines/>
        <w:numPr>
          <w:ilvl w:val="0"/>
          <w:numId w:val="6"/>
        </w:num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存在的问题及原因分析</w:t>
      </w:r>
    </w:p>
    <w:p w14:paraId="3463544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6CB31CA">
      <w:pPr>
        <w:shd w:val="clear"/>
        <w:spacing w:line="600" w:lineRule="exact"/>
        <w:ind w:firstLine="640" w:firstLineChars="200"/>
        <w:outlineLvl w:val="0"/>
        <w:rPr>
          <w:rFonts w:hint="default"/>
          <w:color w:val="auto"/>
          <w:highlight w:val="none"/>
          <w:lang w:val="en-US" w:eastAsia="zh-CN"/>
        </w:rPr>
      </w:pPr>
      <w:r>
        <w:rPr>
          <w:rFonts w:hint="eastAsia" w:ascii="仿宋_GB2312" w:hAnsi="仿宋_GB2312" w:eastAsia="仿宋_GB2312" w:cs="仿宋_GB2312"/>
          <w:color w:val="auto"/>
          <w:sz w:val="32"/>
          <w:szCs w:val="32"/>
          <w:highlight w:val="none"/>
          <w:lang w:val="en-US" w:eastAsia="zh-CN"/>
        </w:rPr>
        <w:t>2.因轮岗、调动、等因素使我单位绩效工作人员流动频繁，造成了工作衔接不到位的情况。</w:t>
      </w:r>
    </w:p>
    <w:p w14:paraId="61A2EA19">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七、</w:t>
      </w:r>
      <w:r>
        <w:rPr>
          <w:rFonts w:eastAsia="黑体"/>
          <w:color w:val="auto"/>
          <w:sz w:val="32"/>
          <w:szCs w:val="32"/>
          <w:highlight w:val="none"/>
        </w:rPr>
        <w:t>有关建议</w:t>
      </w:r>
    </w:p>
    <w:p w14:paraId="3713416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10C54EC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0F34A59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0D5C621D">
      <w:pPr>
        <w:shd w:val="clear"/>
        <w:spacing w:line="600" w:lineRule="exact"/>
        <w:ind w:firstLine="640" w:firstLineChars="200"/>
        <w:outlineLvl w:val="0"/>
        <w:rPr>
          <w:color w:val="auto"/>
          <w:sz w:val="22"/>
          <w:szCs w:val="28"/>
          <w:highlight w:val="none"/>
        </w:rPr>
      </w:pPr>
      <w:r>
        <w:rPr>
          <w:rFonts w:hint="eastAsia" w:ascii="仿宋_GB2312" w:hAnsi="仿宋_GB2312" w:eastAsia="仿宋_GB2312" w:cs="仿宋_GB2312"/>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highlight w:val="none"/>
        </w:rPr>
        <w:t>。</w:t>
      </w:r>
    </w:p>
    <w:p w14:paraId="3E5521F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A39375F">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八、</w:t>
      </w:r>
      <w:r>
        <w:rPr>
          <w:rFonts w:eastAsia="黑体"/>
          <w:color w:val="auto"/>
          <w:sz w:val="32"/>
          <w:szCs w:val="32"/>
          <w:highlight w:val="none"/>
        </w:rPr>
        <w:t>其他需要说</w:t>
      </w:r>
      <w:bookmarkStart w:id="6" w:name="page8"/>
      <w:bookmarkEnd w:id="6"/>
      <w:r>
        <w:rPr>
          <w:rFonts w:eastAsia="黑体"/>
          <w:color w:val="auto"/>
          <w:sz w:val="32"/>
          <w:szCs w:val="32"/>
          <w:highlight w:val="none"/>
        </w:rPr>
        <w:t>明的问题</w:t>
      </w:r>
    </w:p>
    <w:p w14:paraId="5BA4D5AE">
      <w:pPr>
        <w:pStyle w:val="13"/>
        <w:spacing w:after="0" w:line="560" w:lineRule="exact"/>
        <w:ind w:left="0" w:leftChars="0"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Hans"/>
        </w:rPr>
        <w:t>本项目无其他需说明的问题。</w:t>
      </w:r>
    </w:p>
    <w:p w14:paraId="0FB06E25">
      <w:pPr>
        <w:pStyle w:val="13"/>
        <w:spacing w:after="0" w:line="560" w:lineRule="exact"/>
        <w:ind w:left="0" w:leftChars="0" w:firstLine="640"/>
        <w:rPr>
          <w:rFonts w:ascii="仿宋_GB2312" w:hAnsi="仿宋_GB2312" w:eastAsia="仿宋_GB2312" w:cs="仿宋_GB2312"/>
          <w:color w:val="auto"/>
          <w:sz w:val="32"/>
          <w:szCs w:val="32"/>
          <w:highlight w:val="none"/>
        </w:rPr>
      </w:pPr>
    </w:p>
    <w:p w14:paraId="59BA9D30">
      <w:pPr>
        <w:pStyle w:val="13"/>
        <w:spacing w:after="0" w:line="560" w:lineRule="exact"/>
        <w:ind w:left="0" w:leftChars="0" w:firstLine="640"/>
        <w:rPr>
          <w:rFonts w:ascii="仿宋_GB2312" w:hAnsi="仿宋_GB2312" w:eastAsia="仿宋_GB2312" w:cs="仿宋_GB2312"/>
          <w:color w:val="auto"/>
          <w:sz w:val="32"/>
          <w:szCs w:val="32"/>
          <w:highlight w:val="none"/>
        </w:rPr>
      </w:pPr>
    </w:p>
    <w:p w14:paraId="16B93C6A">
      <w:pPr>
        <w:pStyle w:val="13"/>
        <w:spacing w:after="0" w:line="560" w:lineRule="exact"/>
        <w:ind w:left="0" w:leftChars="0" w:firstLine="0" w:firstLineChars="0"/>
        <w:rPr>
          <w:rFonts w:ascii="仿宋_GB2312" w:hAnsi="仿宋_GB2312" w:eastAsia="仿宋_GB2312" w:cs="仿宋_GB2312"/>
          <w:color w:val="auto"/>
          <w:sz w:val="32"/>
          <w:szCs w:val="32"/>
          <w:highlight w:val="none"/>
        </w:rPr>
      </w:pPr>
    </w:p>
    <w:p w14:paraId="332E239C">
      <w:pPr>
        <w:widowControl/>
        <w:jc w:val="center"/>
        <w:textAlignment w:val="center"/>
        <w:rPr>
          <w:rFonts w:eastAsia="方正小标宋简体"/>
          <w:b/>
          <w:color w:val="auto"/>
          <w:kern w:val="0"/>
          <w:sz w:val="32"/>
          <w:szCs w:val="32"/>
          <w:highlight w:val="none"/>
          <w:lang w:bidi="ar"/>
        </w:rPr>
        <w:sectPr>
          <w:pgSz w:w="11906" w:h="16838"/>
          <w:pgMar w:top="1440" w:right="1558" w:bottom="1440" w:left="1800" w:header="851" w:footer="992" w:gutter="0"/>
          <w:cols w:space="425" w:num="1"/>
          <w:docGrid w:type="lines" w:linePitch="312" w:charSpace="0"/>
        </w:sectPr>
      </w:pPr>
    </w:p>
    <w:tbl>
      <w:tblPr>
        <w:tblStyle w:val="14"/>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35"/>
        <w:gridCol w:w="1035"/>
        <w:gridCol w:w="1044"/>
        <w:gridCol w:w="1067"/>
        <w:gridCol w:w="1416"/>
        <w:gridCol w:w="622"/>
        <w:gridCol w:w="1451"/>
        <w:gridCol w:w="1307"/>
        <w:gridCol w:w="822"/>
        <w:gridCol w:w="751"/>
        <w:gridCol w:w="839"/>
        <w:gridCol w:w="608"/>
        <w:gridCol w:w="679"/>
        <w:gridCol w:w="1049"/>
      </w:tblGrid>
      <w:tr w14:paraId="42E9B0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14:paraId="4D0721EA">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项目支出绩效自评表</w:t>
            </w:r>
          </w:p>
        </w:tc>
      </w:tr>
      <w:tr w14:paraId="66833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14:paraId="30CA777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(2023年度)</w:t>
            </w:r>
          </w:p>
        </w:tc>
      </w:tr>
      <w:tr w14:paraId="63478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3084B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152B38D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昌吉州65蒸吨以下燃煤锅炉淘汰整治补贴项目</w:t>
            </w:r>
          </w:p>
        </w:tc>
      </w:tr>
      <w:tr w14:paraId="68B6A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5472C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2AE5C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昌吉回族自治州生态环境局奇台县分局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2ED6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C327A4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昌吉回族自治州生态环境局奇台县分局</w:t>
            </w:r>
          </w:p>
        </w:tc>
      </w:tr>
      <w:tr w14:paraId="3D4BD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51C597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BB24C1">
            <w:pPr>
              <w:jc w:val="center"/>
              <w:rPr>
                <w:rFonts w:hint="eastAsia" w:ascii="宋体" w:hAnsi="宋体" w:eastAsia="宋体" w:cs="宋体"/>
                <w:i w:val="0"/>
                <w:iCs w:val="0"/>
                <w:color w:val="auto"/>
                <w:sz w:val="20"/>
                <w:szCs w:val="20"/>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AC50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FB07C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01865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DFDA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71BE7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AD08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r>
      <w:tr w14:paraId="550709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D9CB80">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17382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E4E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564.00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01D0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597.60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EF9E6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511.20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7E594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B1BE0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85.54%</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7535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8.55分</w:t>
            </w:r>
          </w:p>
        </w:tc>
      </w:tr>
      <w:tr w14:paraId="16275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2F1647">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564B1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8C86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507.6</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1A1F8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597.6</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98D51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511.2</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B39A5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7C0A5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39F1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5298A3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A83C95">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9B413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B6A78">
            <w:pPr>
              <w:jc w:val="center"/>
              <w:rPr>
                <w:rFonts w:hint="eastAsia" w:ascii="宋体" w:hAnsi="宋体" w:eastAsia="宋体" w:cs="宋体"/>
                <w:i w:val="0"/>
                <w:iCs w:val="0"/>
                <w:color w:val="auto"/>
                <w:sz w:val="20"/>
                <w:szCs w:val="20"/>
                <w:highlight w:val="none"/>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8FB450">
            <w:pPr>
              <w:jc w:val="center"/>
              <w:rPr>
                <w:rFonts w:hint="eastAsia" w:ascii="宋体" w:hAnsi="宋体" w:eastAsia="宋体" w:cs="宋体"/>
                <w:i w:val="0"/>
                <w:iCs w:val="0"/>
                <w:color w:val="auto"/>
                <w:sz w:val="20"/>
                <w:szCs w:val="20"/>
                <w:highlight w:val="none"/>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91038A">
            <w:pPr>
              <w:jc w:val="center"/>
              <w:rPr>
                <w:rFonts w:hint="eastAsia" w:ascii="宋体" w:hAnsi="宋体" w:eastAsia="宋体" w:cs="宋体"/>
                <w:i w:val="0"/>
                <w:iCs w:val="0"/>
                <w:color w:val="auto"/>
                <w:sz w:val="20"/>
                <w:szCs w:val="20"/>
                <w:highlight w:val="none"/>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5688E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932CA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D21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3C9AF4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7AAA88">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B7468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3486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56.4</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697BE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FB7F7A">
            <w:pPr>
              <w:jc w:val="center"/>
              <w:rPr>
                <w:rFonts w:hint="eastAsia" w:ascii="宋体" w:hAnsi="宋体" w:eastAsia="宋体" w:cs="宋体"/>
                <w:i w:val="0"/>
                <w:iCs w:val="0"/>
                <w:color w:val="auto"/>
                <w:sz w:val="20"/>
                <w:szCs w:val="20"/>
                <w:highlight w:val="none"/>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7156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D830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A2E8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42C36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80AE7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58F017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4FE770D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实际完成情况</w:t>
            </w:r>
          </w:p>
        </w:tc>
      </w:tr>
      <w:tr w14:paraId="031B5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B4165C">
            <w:pPr>
              <w:jc w:val="center"/>
              <w:rPr>
                <w:rFonts w:hint="eastAsia" w:ascii="宋体" w:hAnsi="宋体" w:eastAsia="宋体" w:cs="宋体"/>
                <w:i w:val="0"/>
                <w:iCs w:val="0"/>
                <w:color w:val="auto"/>
                <w:sz w:val="20"/>
                <w:szCs w:val="20"/>
                <w:highlight w:val="none"/>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1643CCB6">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燃煤锅炉淘汰整治数量=41台，燃煤锅炉改造=72.2蒸吨，项目验收合格率&gt;=90%，资金发放及时率达100%，项目预算支出控制率达100%，有效保障清洁能源供暖，有效提升环境空气质量，环境空气质量有效提升，公众满意度&gt;=90%。</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7C5A5F06">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完成33台燃煤锅炉淘汰整治，燃煤锅炉改造=59.2蒸吨，项目验收合格率100%，资金发放及时率达100%，项目预算支出控制率达100%，有效保障了清洁能源供暖，环境空气质量有效提升，公众满意度100%。</w:t>
            </w:r>
          </w:p>
        </w:tc>
      </w:tr>
      <w:tr w14:paraId="6CEE1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E95803">
            <w:pPr>
              <w:jc w:val="center"/>
              <w:rPr>
                <w:rFonts w:hint="eastAsia" w:ascii="宋体" w:hAnsi="宋体" w:eastAsia="宋体" w:cs="宋体"/>
                <w:i w:val="0"/>
                <w:iCs w:val="0"/>
                <w:color w:val="auto"/>
                <w:sz w:val="20"/>
                <w:szCs w:val="20"/>
                <w:highlight w:val="none"/>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FF8B6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B9883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785A0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A8CA3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D44492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28AD6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FB887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9913F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偏差原因分析及改进措施</w:t>
            </w:r>
          </w:p>
        </w:tc>
      </w:tr>
      <w:tr w14:paraId="05C58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854507">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554CED">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C9B2BE">
            <w:pPr>
              <w:jc w:val="center"/>
              <w:rPr>
                <w:rFonts w:hint="eastAsia" w:ascii="宋体" w:hAnsi="宋体" w:eastAsia="宋体" w:cs="宋体"/>
                <w:i w:val="0"/>
                <w:iCs w:val="0"/>
                <w:color w:val="auto"/>
                <w:sz w:val="20"/>
                <w:szCs w:val="20"/>
                <w:highlight w:val="none"/>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C9F5CC">
            <w:pPr>
              <w:jc w:val="center"/>
              <w:rPr>
                <w:rFonts w:hint="eastAsia" w:ascii="宋体" w:hAnsi="宋体" w:eastAsia="宋体" w:cs="宋体"/>
                <w:i w:val="0"/>
                <w:iCs w:val="0"/>
                <w:color w:val="auto"/>
                <w:sz w:val="20"/>
                <w:szCs w:val="20"/>
                <w:highlight w:val="none"/>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7F26C0">
            <w:pPr>
              <w:jc w:val="center"/>
              <w:rPr>
                <w:rFonts w:hint="eastAsia" w:ascii="宋体" w:hAnsi="宋体" w:eastAsia="宋体" w:cs="宋体"/>
                <w:i w:val="0"/>
                <w:iCs w:val="0"/>
                <w:color w:val="auto"/>
                <w:sz w:val="20"/>
                <w:szCs w:val="20"/>
                <w:highlight w:val="none"/>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B01D73">
            <w:pPr>
              <w:jc w:val="center"/>
              <w:rPr>
                <w:rFonts w:hint="eastAsia" w:ascii="宋体" w:hAnsi="宋体" w:eastAsia="宋体" w:cs="宋体"/>
                <w:i w:val="0"/>
                <w:iCs w:val="0"/>
                <w:color w:val="auto"/>
                <w:sz w:val="20"/>
                <w:szCs w:val="20"/>
                <w:highlight w:val="none"/>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0A6DBA">
            <w:pPr>
              <w:jc w:val="center"/>
              <w:rPr>
                <w:rFonts w:hint="eastAsia" w:ascii="宋体" w:hAnsi="宋体" w:eastAsia="宋体" w:cs="宋体"/>
                <w:i w:val="0"/>
                <w:iCs w:val="0"/>
                <w:color w:val="auto"/>
                <w:sz w:val="20"/>
                <w:szCs w:val="20"/>
                <w:highlight w:val="none"/>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E418D">
            <w:pPr>
              <w:jc w:val="center"/>
              <w:rPr>
                <w:rFonts w:hint="eastAsia" w:ascii="宋体" w:hAnsi="宋体" w:eastAsia="宋体" w:cs="宋体"/>
                <w:i w:val="0"/>
                <w:iCs w:val="0"/>
                <w:color w:val="auto"/>
                <w:sz w:val="20"/>
                <w:szCs w:val="20"/>
                <w:highlight w:val="none"/>
                <w:u w:val="non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470BDF">
            <w:pPr>
              <w:jc w:val="center"/>
              <w:rPr>
                <w:rFonts w:hint="eastAsia" w:ascii="宋体" w:hAnsi="宋体" w:eastAsia="宋体" w:cs="宋体"/>
                <w:i w:val="0"/>
                <w:iCs w:val="0"/>
                <w:color w:val="auto"/>
                <w:sz w:val="20"/>
                <w:szCs w:val="20"/>
                <w:highlight w:val="none"/>
                <w:u w:val="none"/>
              </w:rPr>
            </w:pPr>
          </w:p>
        </w:tc>
      </w:tr>
      <w:tr w14:paraId="2807C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C4B8C4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E284B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2EEC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7681F">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燃煤锅炉淘汰整治数量（台）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A342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=41台</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BAFE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=33台</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00F1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BE919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5.12</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2464D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8台燃煤锅炉未通过验收，不符合燃煤锅炉淘汰整治补贴发放政策。下一年度合理申报指标。</w:t>
            </w:r>
          </w:p>
        </w:tc>
      </w:tr>
      <w:tr w14:paraId="1980C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4B6CDF">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EBF186">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A270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D8CC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燃煤锅炉改造（蒸吨）</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6B28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=72.2蒸吨</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B8D2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=59.2蒸吨</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01C70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E6C3A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A1442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8台燃煤锅炉未通过验收，故改造蒸吨数未达标，导致偏差。下一年度合理申报指标。</w:t>
            </w:r>
          </w:p>
        </w:tc>
      </w:tr>
      <w:tr w14:paraId="369F3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AAD533A">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DFC645">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5EE7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470C6C">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项目竣工验收合格率（%）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0F41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8BD0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5EFEE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F2FC8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8.89</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79817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年初目标值设置不准确，故存在偏差。改进措施：下年度合理申报预期值，减少误差。</w:t>
            </w:r>
          </w:p>
        </w:tc>
      </w:tr>
      <w:tr w14:paraId="730A4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98D43F">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A01B5C">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F2CD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AEDA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资金发放及时率（%）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20BD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6CDD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=85.54%</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8196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E34BD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6.39</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80EBD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8台燃煤锅炉未通过验收，不符合燃煤锅炉淘汰整治补贴发放政策，故项目资金未发放完毕。下一年度合理申报指标。</w:t>
            </w:r>
          </w:p>
        </w:tc>
      </w:tr>
      <w:tr w14:paraId="515B4E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0315CB">
            <w:pPr>
              <w:jc w:val="center"/>
              <w:rPr>
                <w:rFonts w:hint="eastAsia" w:ascii="宋体" w:hAnsi="宋体" w:eastAsia="宋体" w:cs="宋体"/>
                <w:i w:val="0"/>
                <w:iCs w:val="0"/>
                <w:color w:val="auto"/>
                <w:sz w:val="20"/>
                <w:szCs w:val="20"/>
                <w:highlight w:val="none"/>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3D22D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7E0E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236C7">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项目预算控制率（%）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D114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086E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=85.54%</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B7EE3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9CD58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12.77</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8D24A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8台燃煤锅炉未通过验收，不符合燃煤锅炉淘汰整治补贴发放政策，故项目资金未发放完毕。下一年度合理申报指标。</w:t>
            </w:r>
          </w:p>
        </w:tc>
      </w:tr>
      <w:tr w14:paraId="1299F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5FF41C">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012142">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0232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F40C7A">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8654C">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4EFD3">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EA88CF">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4A6DD8">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BF29FD">
            <w:pPr>
              <w:jc w:val="center"/>
              <w:rPr>
                <w:rFonts w:hint="eastAsia" w:ascii="宋体" w:hAnsi="宋体" w:eastAsia="宋体" w:cs="宋体"/>
                <w:i w:val="0"/>
                <w:iCs w:val="0"/>
                <w:color w:val="auto"/>
                <w:sz w:val="20"/>
                <w:szCs w:val="20"/>
                <w:highlight w:val="none"/>
                <w:u w:val="none"/>
              </w:rPr>
            </w:pPr>
          </w:p>
        </w:tc>
      </w:tr>
      <w:tr w14:paraId="0BE0AD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DF24D2">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C1767F">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F25A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C0431D">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B6F2E">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02094">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4D9A8F">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C93ABE">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B89A8B">
            <w:pPr>
              <w:jc w:val="center"/>
              <w:rPr>
                <w:rFonts w:hint="eastAsia" w:ascii="宋体" w:hAnsi="宋体" w:eastAsia="宋体" w:cs="宋体"/>
                <w:i w:val="0"/>
                <w:iCs w:val="0"/>
                <w:color w:val="auto"/>
                <w:sz w:val="20"/>
                <w:szCs w:val="20"/>
                <w:highlight w:val="none"/>
                <w:u w:val="none"/>
              </w:rPr>
            </w:pPr>
          </w:p>
        </w:tc>
      </w:tr>
      <w:tr w14:paraId="0DBBF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4C6DBE">
            <w:pPr>
              <w:jc w:val="center"/>
              <w:rPr>
                <w:rFonts w:hint="eastAsia" w:ascii="宋体" w:hAnsi="宋体" w:eastAsia="宋体" w:cs="宋体"/>
                <w:i w:val="0"/>
                <w:iCs w:val="0"/>
                <w:color w:val="auto"/>
                <w:sz w:val="20"/>
                <w:szCs w:val="20"/>
                <w:highlight w:val="none"/>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B8F22E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DCE3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88A5D">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9EF3">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7AE3D">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77D07D">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456FF0">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200F28">
            <w:pPr>
              <w:jc w:val="center"/>
              <w:rPr>
                <w:rFonts w:hint="eastAsia" w:ascii="宋体" w:hAnsi="宋体" w:eastAsia="宋体" w:cs="宋体"/>
                <w:i w:val="0"/>
                <w:iCs w:val="0"/>
                <w:color w:val="auto"/>
                <w:sz w:val="20"/>
                <w:szCs w:val="20"/>
                <w:highlight w:val="none"/>
                <w:u w:val="none"/>
              </w:rPr>
            </w:pPr>
          </w:p>
        </w:tc>
      </w:tr>
      <w:tr w14:paraId="2C7C35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FCB2D">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B3664D">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88D5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C5F63">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保障清洁能源供暖</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EBF6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有效保障</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AA20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有效保障</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D4B38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D06CD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3E5004">
            <w:pPr>
              <w:jc w:val="center"/>
              <w:rPr>
                <w:rFonts w:hint="eastAsia" w:ascii="宋体" w:hAnsi="宋体" w:eastAsia="宋体" w:cs="宋体"/>
                <w:i w:val="0"/>
                <w:iCs w:val="0"/>
                <w:color w:val="auto"/>
                <w:sz w:val="20"/>
                <w:szCs w:val="20"/>
                <w:highlight w:val="none"/>
                <w:u w:val="none"/>
              </w:rPr>
            </w:pPr>
          </w:p>
        </w:tc>
      </w:tr>
      <w:tr w14:paraId="323E3A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807A35">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0A373">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4849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A4849">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提升环境空气质量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DEBE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有效提升</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A4A0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有效提升</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BED5B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DB920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E77FA0">
            <w:pPr>
              <w:jc w:val="center"/>
              <w:rPr>
                <w:rFonts w:hint="eastAsia" w:ascii="宋体" w:hAnsi="宋体" w:eastAsia="宋体" w:cs="宋体"/>
                <w:i w:val="0"/>
                <w:iCs w:val="0"/>
                <w:color w:val="auto"/>
                <w:sz w:val="20"/>
                <w:szCs w:val="20"/>
                <w:highlight w:val="none"/>
                <w:u w:val="none"/>
              </w:rPr>
            </w:pPr>
          </w:p>
        </w:tc>
      </w:tr>
      <w:tr w14:paraId="20287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B198B2">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7B27D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D896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A999FC">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公众满意度（%）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B47E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&gt;=90%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2A4C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3B422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FEB35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54CC4">
            <w:pPr>
              <w:jc w:val="center"/>
              <w:rPr>
                <w:rFonts w:hint="eastAsia" w:ascii="宋体" w:hAnsi="宋体" w:eastAsia="宋体" w:cs="宋体"/>
                <w:i w:val="0"/>
                <w:iCs w:val="0"/>
                <w:color w:val="auto"/>
                <w:sz w:val="20"/>
                <w:szCs w:val="20"/>
                <w:highlight w:val="none"/>
                <w:u w:val="none"/>
              </w:rPr>
            </w:pPr>
          </w:p>
        </w:tc>
      </w:tr>
      <w:tr w14:paraId="3881A3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3486DDB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865AE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ED2B3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77.22分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B17979">
            <w:pPr>
              <w:jc w:val="center"/>
              <w:rPr>
                <w:rFonts w:hint="eastAsia" w:ascii="宋体" w:hAnsi="宋体" w:eastAsia="宋体" w:cs="宋体"/>
                <w:i w:val="0"/>
                <w:iCs w:val="0"/>
                <w:color w:val="auto"/>
                <w:sz w:val="20"/>
                <w:szCs w:val="20"/>
                <w:highlight w:val="none"/>
                <w:u w:val="none"/>
              </w:rPr>
            </w:pPr>
          </w:p>
        </w:tc>
      </w:tr>
    </w:tbl>
    <w:p w14:paraId="3378F4CC">
      <w:pPr>
        <w:spacing w:line="600" w:lineRule="exact"/>
        <w:rPr>
          <w:rFonts w:hint="eastAsia" w:ascii="黑体" w:hAnsi="黑体" w:eastAsia="黑体" w:cs="黑体"/>
          <w:bCs/>
          <w:color w:val="auto"/>
          <w:sz w:val="32"/>
          <w:szCs w:val="32"/>
          <w:highlight w:val="none"/>
        </w:rPr>
      </w:pPr>
    </w:p>
    <w:p w14:paraId="06E8CCA4">
      <w:pPr>
        <w:spacing w:line="600" w:lineRule="exact"/>
        <w:rPr>
          <w:rFonts w:hint="eastAsia" w:ascii="黑体" w:hAnsi="黑体" w:eastAsia="黑体" w:cs="黑体"/>
          <w:bCs/>
          <w:color w:val="auto"/>
          <w:sz w:val="32"/>
          <w:szCs w:val="32"/>
          <w:highlight w:val="none"/>
        </w:rPr>
      </w:pPr>
    </w:p>
    <w:p w14:paraId="54F18829">
      <w:pPr>
        <w:spacing w:line="600" w:lineRule="exact"/>
        <w:rPr>
          <w:rFonts w:hint="eastAsia" w:ascii="黑体" w:hAnsi="黑体" w:eastAsia="黑体" w:cs="黑体"/>
          <w:bCs/>
          <w:color w:val="auto"/>
          <w:sz w:val="32"/>
          <w:szCs w:val="32"/>
          <w:highlight w:val="none"/>
        </w:rPr>
      </w:pPr>
    </w:p>
    <w:p w14:paraId="2C7D7976">
      <w:pPr>
        <w:spacing w:line="600" w:lineRule="exact"/>
        <w:rPr>
          <w:rFonts w:hint="eastAsia" w:ascii="黑体" w:hAnsi="黑体" w:eastAsia="黑体" w:cs="黑体"/>
          <w:bCs/>
          <w:color w:val="auto"/>
          <w:sz w:val="32"/>
          <w:szCs w:val="32"/>
          <w:highlight w:val="none"/>
        </w:rPr>
      </w:pPr>
    </w:p>
    <w:p w14:paraId="33FA2824">
      <w:pPr>
        <w:spacing w:line="600" w:lineRule="exact"/>
        <w:rPr>
          <w:rFonts w:hint="eastAsia" w:ascii="黑体" w:hAnsi="黑体" w:eastAsia="黑体" w:cs="黑体"/>
          <w:bCs/>
          <w:color w:val="auto"/>
          <w:sz w:val="32"/>
          <w:szCs w:val="32"/>
          <w:highlight w:val="none"/>
        </w:rPr>
      </w:pPr>
    </w:p>
    <w:p w14:paraId="70007628">
      <w:pPr>
        <w:spacing w:line="600" w:lineRule="exact"/>
        <w:rPr>
          <w:rFonts w:hint="eastAsia" w:ascii="黑体" w:hAnsi="黑体" w:eastAsia="黑体" w:cs="黑体"/>
          <w:bCs/>
          <w:color w:val="auto"/>
          <w:sz w:val="32"/>
          <w:szCs w:val="32"/>
          <w:highlight w:val="none"/>
        </w:rPr>
      </w:pPr>
    </w:p>
    <w:p w14:paraId="4ABF8CB7">
      <w:pPr>
        <w:spacing w:line="600" w:lineRule="exact"/>
        <w:rPr>
          <w:rFonts w:hint="eastAsia" w:ascii="黑体" w:hAnsi="黑体" w:eastAsia="黑体" w:cs="黑体"/>
          <w:bCs/>
          <w:color w:val="auto"/>
          <w:sz w:val="32"/>
          <w:szCs w:val="32"/>
          <w:highlight w:val="none"/>
        </w:rPr>
      </w:pPr>
    </w:p>
    <w:p w14:paraId="2EA7772F">
      <w:pPr>
        <w:spacing w:line="600" w:lineRule="exact"/>
        <w:rPr>
          <w:rFonts w:hint="eastAsia" w:ascii="黑体" w:hAnsi="黑体" w:eastAsia="黑体" w:cs="黑体"/>
          <w:bCs/>
          <w:color w:val="auto"/>
          <w:sz w:val="32"/>
          <w:szCs w:val="32"/>
          <w:highlight w:val="none"/>
        </w:rPr>
      </w:pPr>
    </w:p>
    <w:p w14:paraId="0A6A812D">
      <w:pPr>
        <w:spacing w:line="600" w:lineRule="exact"/>
        <w:rPr>
          <w:rFonts w:hint="eastAsia" w:ascii="黑体" w:hAnsi="黑体" w:eastAsia="黑体" w:cs="黑体"/>
          <w:bCs/>
          <w:color w:val="auto"/>
          <w:sz w:val="32"/>
          <w:szCs w:val="32"/>
          <w:highlight w:val="none"/>
        </w:rPr>
      </w:pPr>
    </w:p>
    <w:p w14:paraId="35D74959">
      <w:pPr>
        <w:spacing w:line="600" w:lineRule="exact"/>
        <w:rPr>
          <w:rFonts w:hint="eastAsia" w:ascii="黑体" w:hAnsi="黑体" w:eastAsia="黑体" w:cs="黑体"/>
          <w:bCs/>
          <w:color w:val="auto"/>
          <w:sz w:val="32"/>
          <w:szCs w:val="32"/>
          <w:highlight w:val="none"/>
        </w:rPr>
      </w:pPr>
    </w:p>
    <w:p w14:paraId="10D2CD09">
      <w:pPr>
        <w:spacing w:line="600" w:lineRule="exact"/>
        <w:rPr>
          <w:rFonts w:hint="eastAsia" w:ascii="黑体" w:hAnsi="黑体" w:eastAsia="黑体" w:cs="黑体"/>
          <w:bCs/>
          <w:color w:val="auto"/>
          <w:sz w:val="32"/>
          <w:szCs w:val="32"/>
          <w:highlight w:val="none"/>
        </w:rPr>
      </w:pPr>
    </w:p>
    <w:p w14:paraId="1B256753">
      <w:pPr>
        <w:spacing w:line="600" w:lineRule="exact"/>
        <w:rPr>
          <w:rFonts w:hint="eastAsia" w:ascii="黑体" w:hAnsi="黑体" w:eastAsia="黑体" w:cs="黑体"/>
          <w:bCs/>
          <w:color w:val="auto"/>
          <w:sz w:val="32"/>
          <w:szCs w:val="32"/>
          <w:highlight w:val="none"/>
        </w:rPr>
      </w:pPr>
    </w:p>
    <w:p w14:paraId="36EE6B31">
      <w:pPr>
        <w:spacing w:line="600" w:lineRule="exact"/>
        <w:rPr>
          <w:rFonts w:hint="eastAsia" w:ascii="黑体" w:hAnsi="黑体" w:eastAsia="黑体" w:cs="黑体"/>
          <w:bCs/>
          <w:color w:val="auto"/>
          <w:sz w:val="32"/>
          <w:szCs w:val="32"/>
          <w:highlight w:val="none"/>
        </w:rPr>
      </w:pPr>
    </w:p>
    <w:p w14:paraId="636552C1">
      <w:pPr>
        <w:spacing w:line="600" w:lineRule="exact"/>
        <w:rPr>
          <w:rFonts w:hint="eastAsia" w:ascii="黑体" w:hAnsi="黑体" w:eastAsia="黑体" w:cs="黑体"/>
          <w:bCs/>
          <w:color w:val="auto"/>
          <w:sz w:val="32"/>
          <w:szCs w:val="32"/>
          <w:highlight w:val="none"/>
        </w:rPr>
      </w:pPr>
    </w:p>
    <w:p w14:paraId="0EF5B0AF">
      <w:pPr>
        <w:spacing w:line="600" w:lineRule="exact"/>
        <w:rPr>
          <w:rFonts w:hint="eastAsia" w:ascii="黑体" w:hAnsi="黑体" w:eastAsia="黑体" w:cs="黑体"/>
          <w:color w:val="auto"/>
          <w:highlight w:val="none"/>
        </w:rPr>
      </w:pPr>
      <w:r>
        <w:rPr>
          <w:rFonts w:hint="eastAsia" w:ascii="黑体" w:hAnsi="黑体" w:eastAsia="黑体" w:cs="黑体"/>
          <w:bCs/>
          <w:color w:val="auto"/>
          <w:sz w:val="32"/>
          <w:szCs w:val="32"/>
          <w:highlight w:val="none"/>
        </w:rPr>
        <w:t>附件1</w:t>
      </w:r>
    </w:p>
    <w:p w14:paraId="663DC69E">
      <w:pPr>
        <w:pStyle w:val="19"/>
        <w:ind w:firstLine="562"/>
        <w:jc w:val="center"/>
        <w:rPr>
          <w:rFonts w:hint="eastAsia"/>
          <w:b/>
          <w:bCs/>
          <w:color w:val="auto"/>
          <w:sz w:val="28"/>
          <w:szCs w:val="40"/>
          <w:highlight w:val="none"/>
        </w:rPr>
      </w:pPr>
      <w:bookmarkStart w:id="7" w:name="_Toc26499_WPSOffice_Level2"/>
      <w:bookmarkStart w:id="8" w:name="_Toc30064_WPSOffice_Level1"/>
      <w:r>
        <w:rPr>
          <w:rFonts w:hint="eastAsia"/>
          <w:b/>
          <w:bCs/>
          <w:color w:val="auto"/>
          <w:sz w:val="28"/>
          <w:szCs w:val="40"/>
          <w:highlight w:val="none"/>
        </w:rPr>
        <w:t>昌吉州65蒸吨以下燃煤锅炉淘汰整治补贴项目绩效评价指标体系及综合评分表</w:t>
      </w:r>
      <w:bookmarkEnd w:id="7"/>
      <w:bookmarkEnd w:id="8"/>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14:paraId="120418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14:paraId="1705238E">
            <w:pPr>
              <w:widowControl/>
              <w:spacing w:line="0" w:lineRule="atLeast"/>
              <w:jc w:val="center"/>
              <w:rPr>
                <w:b/>
                <w:bCs/>
                <w:color w:val="auto"/>
                <w:kern w:val="0"/>
                <w:sz w:val="22"/>
                <w:szCs w:val="22"/>
                <w:highlight w:val="none"/>
              </w:rPr>
            </w:pPr>
            <w:r>
              <w:rPr>
                <w:b/>
                <w:bCs/>
                <w:color w:val="auto"/>
                <w:kern w:val="0"/>
                <w:sz w:val="22"/>
                <w:szCs w:val="22"/>
                <w:highlight w:val="none"/>
              </w:rPr>
              <w:t>一级指标</w:t>
            </w:r>
          </w:p>
        </w:tc>
        <w:tc>
          <w:tcPr>
            <w:tcW w:w="764" w:type="dxa"/>
            <w:shd w:val="clear" w:color="auto" w:fill="FFFFFF"/>
            <w:vAlign w:val="center"/>
          </w:tcPr>
          <w:p w14:paraId="2572FCF2">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873" w:type="dxa"/>
            <w:shd w:val="clear" w:color="auto" w:fill="FFFFFF"/>
            <w:vAlign w:val="center"/>
          </w:tcPr>
          <w:p w14:paraId="381A5113">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2353" w:type="dxa"/>
            <w:shd w:val="clear" w:color="auto" w:fill="FFFFFF"/>
            <w:vAlign w:val="center"/>
          </w:tcPr>
          <w:p w14:paraId="6C9DD0FE">
            <w:pPr>
              <w:widowControl/>
              <w:spacing w:line="0" w:lineRule="atLeast"/>
              <w:jc w:val="center"/>
              <w:rPr>
                <w:b/>
                <w:bCs/>
                <w:color w:val="auto"/>
                <w:kern w:val="0"/>
                <w:sz w:val="22"/>
                <w:szCs w:val="22"/>
                <w:highlight w:val="none"/>
              </w:rPr>
            </w:pPr>
            <w:r>
              <w:rPr>
                <w:b/>
                <w:bCs/>
                <w:color w:val="auto"/>
                <w:kern w:val="0"/>
                <w:sz w:val="22"/>
                <w:szCs w:val="22"/>
                <w:highlight w:val="none"/>
              </w:rPr>
              <w:t>指标解释</w:t>
            </w:r>
          </w:p>
        </w:tc>
        <w:tc>
          <w:tcPr>
            <w:tcW w:w="5198" w:type="dxa"/>
            <w:shd w:val="clear" w:color="auto" w:fill="FFFFFF"/>
            <w:vAlign w:val="center"/>
          </w:tcPr>
          <w:p w14:paraId="30B9D282">
            <w:pPr>
              <w:widowControl/>
              <w:spacing w:line="0" w:lineRule="atLeast"/>
              <w:jc w:val="center"/>
              <w:rPr>
                <w:b/>
                <w:bCs/>
                <w:color w:val="auto"/>
                <w:kern w:val="0"/>
                <w:sz w:val="22"/>
                <w:szCs w:val="22"/>
                <w:highlight w:val="none"/>
              </w:rPr>
            </w:pPr>
            <w:r>
              <w:rPr>
                <w:b/>
                <w:bCs/>
                <w:color w:val="auto"/>
                <w:kern w:val="0"/>
                <w:sz w:val="22"/>
                <w:szCs w:val="22"/>
                <w:highlight w:val="none"/>
              </w:rPr>
              <w:t>指标说明</w:t>
            </w:r>
          </w:p>
        </w:tc>
        <w:tc>
          <w:tcPr>
            <w:tcW w:w="1300" w:type="dxa"/>
            <w:shd w:val="clear" w:color="auto" w:fill="FFFFFF"/>
            <w:vAlign w:val="center"/>
          </w:tcPr>
          <w:p w14:paraId="7369B0B1">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1363" w:type="dxa"/>
            <w:shd w:val="clear" w:color="auto" w:fill="FFFFFF"/>
            <w:vAlign w:val="center"/>
          </w:tcPr>
          <w:p w14:paraId="58DDC48E">
            <w:pPr>
              <w:widowControl/>
              <w:spacing w:line="0" w:lineRule="atLeast"/>
              <w:jc w:val="center"/>
              <w:rPr>
                <w:b/>
                <w:bCs/>
                <w:color w:val="auto"/>
                <w:kern w:val="0"/>
                <w:sz w:val="22"/>
                <w:szCs w:val="22"/>
                <w:highlight w:val="none"/>
              </w:rPr>
            </w:pPr>
            <w:r>
              <w:rPr>
                <w:b/>
                <w:bCs/>
                <w:color w:val="auto"/>
                <w:kern w:val="0"/>
                <w:sz w:val="22"/>
                <w:szCs w:val="22"/>
                <w:highlight w:val="none"/>
              </w:rPr>
              <w:t>得分</w:t>
            </w:r>
          </w:p>
        </w:tc>
      </w:tr>
      <w:tr w14:paraId="43558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14:paraId="7F8FF3B0">
            <w:pPr>
              <w:widowControl/>
              <w:spacing w:line="0" w:lineRule="atLeast"/>
              <w:jc w:val="center"/>
              <w:rPr>
                <w:color w:val="auto"/>
                <w:kern w:val="0"/>
                <w:sz w:val="22"/>
                <w:szCs w:val="22"/>
                <w:highlight w:val="none"/>
              </w:rPr>
            </w:pPr>
          </w:p>
          <w:p w14:paraId="6410EE6E">
            <w:pPr>
              <w:widowControl/>
              <w:spacing w:line="0" w:lineRule="atLeast"/>
              <w:jc w:val="center"/>
              <w:rPr>
                <w:color w:val="auto"/>
                <w:kern w:val="0"/>
                <w:sz w:val="22"/>
                <w:szCs w:val="22"/>
                <w:highlight w:val="none"/>
              </w:rPr>
            </w:pPr>
          </w:p>
          <w:p w14:paraId="3660DCA2">
            <w:pPr>
              <w:widowControl/>
              <w:spacing w:line="0" w:lineRule="atLeast"/>
              <w:jc w:val="center"/>
              <w:rPr>
                <w:color w:val="auto"/>
                <w:kern w:val="0"/>
                <w:sz w:val="22"/>
                <w:szCs w:val="22"/>
                <w:highlight w:val="none"/>
              </w:rPr>
            </w:pPr>
          </w:p>
          <w:p w14:paraId="69B6AAF3">
            <w:pPr>
              <w:widowControl/>
              <w:spacing w:line="0" w:lineRule="atLeast"/>
              <w:jc w:val="center"/>
              <w:rPr>
                <w:color w:val="auto"/>
                <w:kern w:val="0"/>
                <w:sz w:val="22"/>
                <w:szCs w:val="22"/>
                <w:highlight w:val="none"/>
              </w:rPr>
            </w:pPr>
          </w:p>
          <w:p w14:paraId="33AF2C0A">
            <w:pPr>
              <w:widowControl/>
              <w:spacing w:line="0" w:lineRule="atLeast"/>
              <w:jc w:val="center"/>
              <w:rPr>
                <w:color w:val="auto"/>
                <w:kern w:val="0"/>
                <w:sz w:val="22"/>
                <w:szCs w:val="22"/>
                <w:highlight w:val="none"/>
              </w:rPr>
            </w:pPr>
          </w:p>
          <w:p w14:paraId="23D2ABB7">
            <w:pPr>
              <w:widowControl/>
              <w:spacing w:line="0" w:lineRule="atLeast"/>
              <w:jc w:val="center"/>
              <w:rPr>
                <w:color w:val="auto"/>
                <w:kern w:val="0"/>
                <w:sz w:val="22"/>
                <w:szCs w:val="22"/>
                <w:highlight w:val="none"/>
              </w:rPr>
            </w:pPr>
          </w:p>
          <w:p w14:paraId="4C84C243">
            <w:pPr>
              <w:widowControl/>
              <w:spacing w:line="0" w:lineRule="atLeast"/>
              <w:jc w:val="center"/>
              <w:rPr>
                <w:color w:val="auto"/>
                <w:kern w:val="0"/>
                <w:sz w:val="22"/>
                <w:szCs w:val="22"/>
                <w:highlight w:val="none"/>
              </w:rPr>
            </w:pPr>
            <w:r>
              <w:rPr>
                <w:color w:val="auto"/>
                <w:kern w:val="0"/>
                <w:sz w:val="22"/>
                <w:szCs w:val="22"/>
                <w:highlight w:val="none"/>
              </w:rPr>
              <w:t>决策　</w:t>
            </w:r>
          </w:p>
        </w:tc>
        <w:tc>
          <w:tcPr>
            <w:tcW w:w="764" w:type="dxa"/>
            <w:vMerge w:val="restart"/>
            <w:shd w:val="clear" w:color="auto" w:fill="FFFFFF"/>
            <w:vAlign w:val="center"/>
          </w:tcPr>
          <w:p w14:paraId="061F63A7">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873" w:type="dxa"/>
            <w:shd w:val="clear" w:color="auto" w:fill="FFFFFF"/>
            <w:vAlign w:val="center"/>
          </w:tcPr>
          <w:p w14:paraId="749E1708">
            <w:pPr>
              <w:widowControl/>
              <w:spacing w:line="0" w:lineRule="atLeast"/>
              <w:jc w:val="center"/>
              <w:rPr>
                <w:color w:val="auto"/>
                <w:kern w:val="0"/>
                <w:sz w:val="22"/>
                <w:szCs w:val="22"/>
                <w:highlight w:val="none"/>
              </w:rPr>
            </w:pPr>
            <w:r>
              <w:rPr>
                <w:color w:val="auto"/>
                <w:kern w:val="0"/>
                <w:sz w:val="22"/>
                <w:szCs w:val="22"/>
                <w:highlight w:val="none"/>
              </w:rPr>
              <w:t>立项依据</w:t>
            </w:r>
          </w:p>
          <w:p w14:paraId="2E428073">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2353" w:type="dxa"/>
            <w:shd w:val="clear" w:color="auto" w:fill="FFFFFF"/>
            <w:vAlign w:val="center"/>
          </w:tcPr>
          <w:p w14:paraId="6ACB8714">
            <w:pPr>
              <w:widowControl/>
              <w:spacing w:line="0" w:lineRule="atLeas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5198" w:type="dxa"/>
            <w:shd w:val="clear" w:color="auto" w:fill="FFFFFF"/>
            <w:vAlign w:val="center"/>
          </w:tcPr>
          <w:p w14:paraId="0CDC1A4B">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1300" w:type="dxa"/>
            <w:shd w:val="clear" w:color="auto" w:fill="FFFFFF"/>
            <w:vAlign w:val="center"/>
          </w:tcPr>
          <w:p w14:paraId="44E5908D">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auto" w:fill="FFFFFF"/>
            <w:vAlign w:val="center"/>
          </w:tcPr>
          <w:p w14:paraId="0C035EE9">
            <w:pPr>
              <w:widowControl/>
              <w:spacing w:line="0" w:lineRule="atLeast"/>
              <w:jc w:val="center"/>
              <w:rPr>
                <w:rFonts w:hint="eastAsia" w:ascii="Times New Roman" w:hAnsi="Times New Roman" w:eastAsia="宋体" w:cs="Times New Roman"/>
                <w:b/>
                <w:bCs/>
                <w:color w:val="auto"/>
                <w:kern w:val="0"/>
                <w:sz w:val="22"/>
                <w:szCs w:val="22"/>
                <w:highlight w:val="none"/>
                <w:lang w:eastAsia="zh-CN"/>
              </w:rPr>
            </w:pPr>
            <w:r>
              <w:rPr>
                <w:rFonts w:hint="eastAsia" w:ascii="Times New Roman" w:hAnsi="Times New Roman" w:eastAsia="宋体" w:cs="Times New Roman"/>
                <w:b/>
                <w:bCs/>
                <w:color w:val="auto"/>
                <w:kern w:val="0"/>
                <w:sz w:val="22"/>
                <w:szCs w:val="22"/>
                <w:highlight w:val="none"/>
                <w:lang w:val="en-US" w:eastAsia="zh-CN"/>
              </w:rPr>
              <w:t>3</w:t>
            </w:r>
          </w:p>
        </w:tc>
      </w:tr>
      <w:tr w14:paraId="2984CC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7B9C418E">
            <w:pPr>
              <w:spacing w:line="0" w:lineRule="atLeast"/>
              <w:jc w:val="center"/>
              <w:rPr>
                <w:color w:val="auto"/>
                <w:kern w:val="0"/>
                <w:sz w:val="22"/>
                <w:szCs w:val="22"/>
                <w:highlight w:val="none"/>
              </w:rPr>
            </w:pPr>
          </w:p>
        </w:tc>
        <w:tc>
          <w:tcPr>
            <w:tcW w:w="764" w:type="dxa"/>
            <w:vMerge w:val="continue"/>
            <w:shd w:val="clear" w:color="auto" w:fill="FFFFFF"/>
            <w:vAlign w:val="center"/>
          </w:tcPr>
          <w:p w14:paraId="596E8E37">
            <w:pPr>
              <w:widowControl/>
              <w:spacing w:line="0" w:lineRule="atLeast"/>
              <w:jc w:val="center"/>
              <w:rPr>
                <w:color w:val="auto"/>
                <w:kern w:val="0"/>
                <w:sz w:val="22"/>
                <w:szCs w:val="22"/>
                <w:highlight w:val="none"/>
              </w:rPr>
            </w:pPr>
          </w:p>
        </w:tc>
        <w:tc>
          <w:tcPr>
            <w:tcW w:w="873" w:type="dxa"/>
            <w:shd w:val="clear" w:color="auto" w:fill="FFFFFF"/>
            <w:vAlign w:val="center"/>
          </w:tcPr>
          <w:p w14:paraId="2784FDFC">
            <w:pPr>
              <w:widowControl/>
              <w:spacing w:line="0" w:lineRule="atLeast"/>
              <w:jc w:val="center"/>
              <w:rPr>
                <w:color w:val="auto"/>
                <w:kern w:val="0"/>
                <w:sz w:val="22"/>
                <w:szCs w:val="22"/>
                <w:highlight w:val="none"/>
              </w:rPr>
            </w:pPr>
            <w:r>
              <w:rPr>
                <w:color w:val="auto"/>
                <w:kern w:val="0"/>
                <w:sz w:val="22"/>
                <w:szCs w:val="22"/>
                <w:highlight w:val="none"/>
              </w:rPr>
              <w:t>立项程序</w:t>
            </w:r>
          </w:p>
          <w:p w14:paraId="4130C7E0">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2353" w:type="dxa"/>
            <w:shd w:val="clear" w:color="auto" w:fill="FFFFFF"/>
            <w:vAlign w:val="center"/>
          </w:tcPr>
          <w:p w14:paraId="58CEDA99">
            <w:pPr>
              <w:widowControl/>
              <w:spacing w:line="0" w:lineRule="atLeas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5198" w:type="dxa"/>
            <w:shd w:val="clear" w:color="auto" w:fill="FFFFFF"/>
            <w:vAlign w:val="center"/>
          </w:tcPr>
          <w:p w14:paraId="46C29FB5">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1300" w:type="dxa"/>
            <w:shd w:val="clear" w:color="auto" w:fill="FFFFFF"/>
            <w:vAlign w:val="center"/>
          </w:tcPr>
          <w:p w14:paraId="05790373">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auto" w:fill="FFFFFF"/>
            <w:vAlign w:val="center"/>
          </w:tcPr>
          <w:p w14:paraId="229E37BD">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eastAsia" w:cs="Times New Roman"/>
                <w:b/>
                <w:bCs/>
                <w:color w:val="auto"/>
                <w:kern w:val="0"/>
                <w:sz w:val="22"/>
                <w:szCs w:val="22"/>
                <w:highlight w:val="none"/>
                <w:lang w:val="en-US" w:eastAsia="zh-CN"/>
              </w:rPr>
              <w:t>3</w:t>
            </w:r>
          </w:p>
        </w:tc>
      </w:tr>
      <w:tr w14:paraId="2269A9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14:paraId="3DFD6F2C">
            <w:pPr>
              <w:spacing w:line="0" w:lineRule="atLeast"/>
              <w:jc w:val="center"/>
              <w:rPr>
                <w:color w:val="auto"/>
                <w:kern w:val="0"/>
                <w:sz w:val="22"/>
                <w:szCs w:val="22"/>
                <w:highlight w:val="none"/>
              </w:rPr>
            </w:pPr>
          </w:p>
        </w:tc>
        <w:tc>
          <w:tcPr>
            <w:tcW w:w="764" w:type="dxa"/>
            <w:vMerge w:val="restart"/>
            <w:shd w:val="clear" w:color="auto" w:fill="FFFFFF"/>
            <w:vAlign w:val="center"/>
          </w:tcPr>
          <w:p w14:paraId="379140D5">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873" w:type="dxa"/>
            <w:shd w:val="clear" w:color="auto" w:fill="FFFFFF"/>
            <w:vAlign w:val="center"/>
          </w:tcPr>
          <w:p w14:paraId="43F80EDA">
            <w:pPr>
              <w:widowControl/>
              <w:spacing w:line="0" w:lineRule="atLeast"/>
              <w:jc w:val="center"/>
              <w:rPr>
                <w:color w:val="auto"/>
                <w:kern w:val="0"/>
                <w:sz w:val="22"/>
                <w:szCs w:val="22"/>
                <w:highlight w:val="none"/>
              </w:rPr>
            </w:pPr>
            <w:r>
              <w:rPr>
                <w:color w:val="auto"/>
                <w:kern w:val="0"/>
                <w:sz w:val="22"/>
                <w:szCs w:val="22"/>
                <w:highlight w:val="none"/>
              </w:rPr>
              <w:t>绩效目标</w:t>
            </w:r>
          </w:p>
          <w:p w14:paraId="15C715CE">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2353" w:type="dxa"/>
            <w:shd w:val="clear" w:color="000000" w:fill="FFFFFF"/>
            <w:vAlign w:val="center"/>
          </w:tcPr>
          <w:p w14:paraId="79B60553">
            <w:pPr>
              <w:widowControl/>
              <w:spacing w:line="0" w:lineRule="atLeas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5198" w:type="dxa"/>
            <w:shd w:val="clear" w:color="000000" w:fill="FFFFFF"/>
            <w:vAlign w:val="center"/>
          </w:tcPr>
          <w:p w14:paraId="4560D903">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14:paraId="33D3E308">
            <w:pPr>
              <w:widowControl/>
              <w:spacing w:line="0" w:lineRule="atLeas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1300" w:type="dxa"/>
            <w:shd w:val="clear" w:color="000000" w:fill="FFFFFF"/>
            <w:vAlign w:val="center"/>
          </w:tcPr>
          <w:p w14:paraId="7F148F4D">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000000" w:fill="FFFFFF"/>
            <w:vAlign w:val="center"/>
          </w:tcPr>
          <w:p w14:paraId="4C24548F">
            <w:pPr>
              <w:widowControl/>
              <w:spacing w:line="0" w:lineRule="atLeast"/>
              <w:jc w:val="center"/>
              <w:rPr>
                <w:rFonts w:hint="eastAsia" w:ascii="Times New Roman" w:hAnsi="Times New Roman" w:eastAsia="宋体" w:cs="Times New Roman"/>
                <w:b/>
                <w:bCs/>
                <w:color w:val="auto"/>
                <w:kern w:val="0"/>
                <w:sz w:val="22"/>
                <w:szCs w:val="22"/>
                <w:highlight w:val="none"/>
                <w:lang w:eastAsia="zh-CN"/>
              </w:rPr>
            </w:pPr>
            <w:r>
              <w:rPr>
                <w:rFonts w:hint="eastAsia" w:ascii="Times New Roman" w:hAnsi="Times New Roman" w:eastAsia="宋体" w:cs="Times New Roman"/>
                <w:b/>
                <w:bCs/>
                <w:color w:val="auto"/>
                <w:kern w:val="0"/>
                <w:sz w:val="22"/>
                <w:szCs w:val="22"/>
                <w:highlight w:val="none"/>
                <w:lang w:val="en-US" w:eastAsia="zh-CN"/>
              </w:rPr>
              <w:t>3</w:t>
            </w:r>
          </w:p>
        </w:tc>
      </w:tr>
      <w:tr w14:paraId="094E06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14:paraId="193A96CA">
            <w:pPr>
              <w:widowControl/>
              <w:spacing w:line="0" w:lineRule="atLeast"/>
              <w:jc w:val="center"/>
              <w:rPr>
                <w:color w:val="auto"/>
                <w:kern w:val="0"/>
                <w:sz w:val="22"/>
                <w:szCs w:val="22"/>
                <w:highlight w:val="none"/>
              </w:rPr>
            </w:pPr>
          </w:p>
        </w:tc>
        <w:tc>
          <w:tcPr>
            <w:tcW w:w="764" w:type="dxa"/>
            <w:vMerge w:val="continue"/>
            <w:shd w:val="clear" w:color="auto" w:fill="FFFFFF"/>
            <w:vAlign w:val="center"/>
          </w:tcPr>
          <w:p w14:paraId="3F1017A4">
            <w:pPr>
              <w:widowControl/>
              <w:spacing w:line="0" w:lineRule="atLeast"/>
              <w:jc w:val="center"/>
              <w:rPr>
                <w:color w:val="auto"/>
                <w:kern w:val="0"/>
                <w:sz w:val="22"/>
                <w:szCs w:val="22"/>
                <w:highlight w:val="none"/>
              </w:rPr>
            </w:pPr>
          </w:p>
        </w:tc>
        <w:tc>
          <w:tcPr>
            <w:tcW w:w="873" w:type="dxa"/>
            <w:shd w:val="clear" w:color="auto" w:fill="FFFFFF"/>
            <w:vAlign w:val="center"/>
          </w:tcPr>
          <w:p w14:paraId="67E5EC9B">
            <w:pPr>
              <w:widowControl/>
              <w:spacing w:line="0" w:lineRule="atLeast"/>
              <w:jc w:val="center"/>
              <w:rPr>
                <w:color w:val="auto"/>
                <w:kern w:val="0"/>
                <w:sz w:val="22"/>
                <w:szCs w:val="22"/>
                <w:highlight w:val="none"/>
              </w:rPr>
            </w:pPr>
            <w:r>
              <w:rPr>
                <w:color w:val="auto"/>
                <w:kern w:val="0"/>
                <w:sz w:val="22"/>
                <w:szCs w:val="22"/>
                <w:highlight w:val="none"/>
              </w:rPr>
              <w:t>绩效指标</w:t>
            </w:r>
          </w:p>
          <w:p w14:paraId="17098D48">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2353" w:type="dxa"/>
            <w:shd w:val="clear" w:color="000000" w:fill="FFFFFF"/>
            <w:vAlign w:val="center"/>
          </w:tcPr>
          <w:p w14:paraId="72591C86">
            <w:pPr>
              <w:widowControl/>
              <w:spacing w:line="0" w:lineRule="atLeas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5198" w:type="dxa"/>
            <w:shd w:val="clear" w:color="000000" w:fill="FFFFFF"/>
            <w:vAlign w:val="center"/>
          </w:tcPr>
          <w:p w14:paraId="5D6A3CC3">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1300" w:type="dxa"/>
            <w:shd w:val="clear" w:color="000000" w:fill="FFFFFF"/>
            <w:vAlign w:val="center"/>
          </w:tcPr>
          <w:p w14:paraId="5E83D6B4">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1363" w:type="dxa"/>
            <w:shd w:val="clear" w:color="000000" w:fill="FFFFFF"/>
            <w:vAlign w:val="center"/>
          </w:tcPr>
          <w:p w14:paraId="4299E20B">
            <w:pPr>
              <w:widowControl/>
              <w:spacing w:line="0" w:lineRule="atLeast"/>
              <w:jc w:val="center"/>
              <w:rPr>
                <w:rFonts w:hint="eastAsia"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3</w:t>
            </w:r>
          </w:p>
        </w:tc>
      </w:tr>
      <w:tr w14:paraId="5FFB2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14:paraId="0A760E13">
            <w:pPr>
              <w:spacing w:line="0" w:lineRule="atLeast"/>
              <w:jc w:val="center"/>
              <w:rPr>
                <w:color w:val="auto"/>
                <w:kern w:val="0"/>
                <w:sz w:val="22"/>
                <w:szCs w:val="22"/>
                <w:highlight w:val="none"/>
              </w:rPr>
            </w:pPr>
          </w:p>
        </w:tc>
        <w:tc>
          <w:tcPr>
            <w:tcW w:w="764" w:type="dxa"/>
            <w:vMerge w:val="restart"/>
            <w:shd w:val="clear" w:color="auto" w:fill="FFFFFF"/>
            <w:vAlign w:val="center"/>
          </w:tcPr>
          <w:p w14:paraId="37CCAAFD">
            <w:pPr>
              <w:widowControl/>
              <w:spacing w:line="0" w:lineRule="atLeast"/>
              <w:jc w:val="center"/>
              <w:rPr>
                <w:color w:val="auto"/>
                <w:kern w:val="0"/>
                <w:sz w:val="22"/>
                <w:szCs w:val="22"/>
                <w:highlight w:val="none"/>
              </w:rPr>
            </w:pPr>
            <w:r>
              <w:rPr>
                <w:color w:val="auto"/>
                <w:kern w:val="0"/>
                <w:sz w:val="22"/>
                <w:szCs w:val="22"/>
                <w:highlight w:val="none"/>
              </w:rPr>
              <w:t>资金投入</w:t>
            </w:r>
          </w:p>
          <w:p w14:paraId="7F1173F2">
            <w:pPr>
              <w:spacing w:line="0" w:lineRule="atLeast"/>
              <w:jc w:val="center"/>
              <w:rPr>
                <w:color w:val="auto"/>
                <w:kern w:val="0"/>
                <w:sz w:val="22"/>
                <w:szCs w:val="22"/>
                <w:highlight w:val="none"/>
              </w:rPr>
            </w:pPr>
            <w:r>
              <w:rPr>
                <w:color w:val="auto"/>
                <w:kern w:val="0"/>
                <w:sz w:val="22"/>
                <w:szCs w:val="22"/>
                <w:highlight w:val="none"/>
              </w:rPr>
              <w:t>　</w:t>
            </w:r>
          </w:p>
        </w:tc>
        <w:tc>
          <w:tcPr>
            <w:tcW w:w="873" w:type="dxa"/>
            <w:shd w:val="clear" w:color="auto" w:fill="FFFFFF"/>
            <w:vAlign w:val="center"/>
          </w:tcPr>
          <w:p w14:paraId="5ABE455D">
            <w:pPr>
              <w:widowControl/>
              <w:spacing w:line="0" w:lineRule="atLeast"/>
              <w:jc w:val="center"/>
              <w:rPr>
                <w:color w:val="auto"/>
                <w:kern w:val="0"/>
                <w:sz w:val="22"/>
                <w:szCs w:val="22"/>
                <w:highlight w:val="none"/>
              </w:rPr>
            </w:pPr>
            <w:r>
              <w:rPr>
                <w:color w:val="auto"/>
                <w:kern w:val="0"/>
                <w:sz w:val="22"/>
                <w:szCs w:val="22"/>
                <w:highlight w:val="none"/>
              </w:rPr>
              <w:t>预算编制</w:t>
            </w:r>
          </w:p>
          <w:p w14:paraId="44767419">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2353" w:type="dxa"/>
            <w:shd w:val="clear" w:color="auto" w:fill="FFFFFF"/>
            <w:vAlign w:val="center"/>
          </w:tcPr>
          <w:p w14:paraId="76DB3850">
            <w:pPr>
              <w:widowControl/>
              <w:spacing w:line="0" w:lineRule="atLeas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4BB0C15F">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1300" w:type="dxa"/>
            <w:shd w:val="clear" w:color="auto" w:fill="FFFFFF"/>
            <w:vAlign w:val="center"/>
          </w:tcPr>
          <w:p w14:paraId="5AE74AF1">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auto" w:fill="FFFFFF"/>
            <w:vAlign w:val="center"/>
          </w:tcPr>
          <w:p w14:paraId="11C78B7D">
            <w:pPr>
              <w:widowControl/>
              <w:spacing w:line="0" w:lineRule="atLeast"/>
              <w:jc w:val="center"/>
              <w:rPr>
                <w:rFonts w:hint="eastAsia"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4</w:t>
            </w:r>
          </w:p>
        </w:tc>
      </w:tr>
      <w:tr w14:paraId="4B7E3B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14:paraId="1A6838B9">
            <w:pPr>
              <w:widowControl/>
              <w:spacing w:line="0" w:lineRule="atLeast"/>
              <w:jc w:val="center"/>
              <w:rPr>
                <w:color w:val="auto"/>
                <w:kern w:val="0"/>
                <w:sz w:val="22"/>
                <w:szCs w:val="22"/>
                <w:highlight w:val="none"/>
              </w:rPr>
            </w:pPr>
          </w:p>
        </w:tc>
        <w:tc>
          <w:tcPr>
            <w:tcW w:w="764" w:type="dxa"/>
            <w:vMerge w:val="continue"/>
            <w:shd w:val="clear" w:color="auto" w:fill="FFFFFF"/>
            <w:vAlign w:val="center"/>
          </w:tcPr>
          <w:p w14:paraId="02E60CDC">
            <w:pPr>
              <w:widowControl/>
              <w:spacing w:line="0" w:lineRule="atLeast"/>
              <w:jc w:val="center"/>
              <w:rPr>
                <w:color w:val="auto"/>
                <w:kern w:val="0"/>
                <w:sz w:val="22"/>
                <w:szCs w:val="22"/>
                <w:highlight w:val="none"/>
              </w:rPr>
            </w:pPr>
          </w:p>
        </w:tc>
        <w:tc>
          <w:tcPr>
            <w:tcW w:w="873" w:type="dxa"/>
            <w:shd w:val="clear" w:color="auto" w:fill="FFFFFF"/>
            <w:vAlign w:val="center"/>
          </w:tcPr>
          <w:p w14:paraId="6EB80CEC">
            <w:pPr>
              <w:widowControl/>
              <w:spacing w:line="0" w:lineRule="atLeast"/>
              <w:jc w:val="center"/>
              <w:rPr>
                <w:color w:val="auto"/>
                <w:kern w:val="0"/>
                <w:sz w:val="22"/>
                <w:szCs w:val="22"/>
                <w:highlight w:val="none"/>
              </w:rPr>
            </w:pPr>
            <w:r>
              <w:rPr>
                <w:color w:val="auto"/>
                <w:kern w:val="0"/>
                <w:sz w:val="22"/>
                <w:szCs w:val="22"/>
                <w:highlight w:val="none"/>
              </w:rPr>
              <w:t>资金分配</w:t>
            </w:r>
          </w:p>
          <w:p w14:paraId="079BA016">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2353" w:type="dxa"/>
            <w:shd w:val="clear" w:color="auto" w:fill="FFFFFF"/>
            <w:vAlign w:val="center"/>
          </w:tcPr>
          <w:p w14:paraId="3D3B29B0">
            <w:pPr>
              <w:widowControl/>
              <w:spacing w:line="0" w:lineRule="atLeas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4A1159E2">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1300" w:type="dxa"/>
            <w:shd w:val="clear" w:color="auto" w:fill="FFFFFF"/>
            <w:vAlign w:val="center"/>
          </w:tcPr>
          <w:p w14:paraId="7D7B0FB0">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auto" w:fill="FFFFFF"/>
            <w:vAlign w:val="center"/>
          </w:tcPr>
          <w:p w14:paraId="25976FBE">
            <w:pPr>
              <w:widowControl/>
              <w:spacing w:line="0" w:lineRule="atLeast"/>
              <w:jc w:val="center"/>
              <w:rPr>
                <w:rFonts w:hint="eastAsia"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4</w:t>
            </w:r>
          </w:p>
        </w:tc>
      </w:tr>
      <w:tr w14:paraId="3329E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14:paraId="48A3026E">
            <w:pPr>
              <w:spacing w:line="0" w:lineRule="atLeast"/>
              <w:jc w:val="center"/>
              <w:rPr>
                <w:color w:val="auto"/>
                <w:kern w:val="0"/>
                <w:sz w:val="22"/>
                <w:szCs w:val="22"/>
                <w:highlight w:val="none"/>
              </w:rPr>
            </w:pPr>
          </w:p>
          <w:p w14:paraId="5A920253">
            <w:pPr>
              <w:spacing w:line="0" w:lineRule="atLeast"/>
              <w:jc w:val="center"/>
              <w:rPr>
                <w:color w:val="auto"/>
                <w:kern w:val="0"/>
                <w:sz w:val="22"/>
                <w:szCs w:val="22"/>
                <w:highlight w:val="none"/>
              </w:rPr>
            </w:pPr>
          </w:p>
          <w:p w14:paraId="48C5AA52">
            <w:pPr>
              <w:spacing w:line="0" w:lineRule="atLeast"/>
              <w:jc w:val="center"/>
              <w:rPr>
                <w:color w:val="auto"/>
                <w:kern w:val="0"/>
                <w:sz w:val="22"/>
                <w:szCs w:val="22"/>
                <w:highlight w:val="none"/>
              </w:rPr>
            </w:pPr>
          </w:p>
          <w:p w14:paraId="26D61607">
            <w:pPr>
              <w:spacing w:line="0" w:lineRule="atLeast"/>
              <w:jc w:val="center"/>
              <w:rPr>
                <w:color w:val="auto"/>
                <w:kern w:val="0"/>
                <w:sz w:val="22"/>
                <w:szCs w:val="22"/>
                <w:highlight w:val="none"/>
              </w:rPr>
            </w:pPr>
          </w:p>
          <w:p w14:paraId="2C2E50B2">
            <w:pPr>
              <w:spacing w:line="0" w:lineRule="atLeast"/>
              <w:jc w:val="center"/>
              <w:rPr>
                <w:color w:val="auto"/>
                <w:kern w:val="0"/>
                <w:sz w:val="22"/>
                <w:szCs w:val="22"/>
                <w:highlight w:val="none"/>
              </w:rPr>
            </w:pPr>
          </w:p>
          <w:p w14:paraId="0EEAADD2">
            <w:pPr>
              <w:spacing w:line="0" w:lineRule="atLeast"/>
              <w:jc w:val="center"/>
              <w:rPr>
                <w:color w:val="auto"/>
                <w:kern w:val="0"/>
                <w:sz w:val="22"/>
                <w:szCs w:val="22"/>
                <w:highlight w:val="none"/>
              </w:rPr>
            </w:pPr>
          </w:p>
          <w:p w14:paraId="06467471">
            <w:pPr>
              <w:spacing w:line="0" w:lineRule="atLeast"/>
              <w:jc w:val="center"/>
              <w:rPr>
                <w:color w:val="auto"/>
                <w:kern w:val="0"/>
                <w:sz w:val="22"/>
                <w:szCs w:val="22"/>
                <w:highlight w:val="none"/>
              </w:rPr>
            </w:pPr>
          </w:p>
          <w:p w14:paraId="4E7F8081">
            <w:pPr>
              <w:spacing w:line="0" w:lineRule="atLeast"/>
              <w:jc w:val="center"/>
              <w:rPr>
                <w:color w:val="auto"/>
                <w:kern w:val="0"/>
                <w:sz w:val="22"/>
                <w:szCs w:val="22"/>
                <w:highlight w:val="none"/>
              </w:rPr>
            </w:pPr>
          </w:p>
          <w:p w14:paraId="2B0C8A49">
            <w:pPr>
              <w:spacing w:line="0" w:lineRule="atLeast"/>
              <w:jc w:val="center"/>
              <w:rPr>
                <w:color w:val="auto"/>
                <w:kern w:val="0"/>
                <w:sz w:val="22"/>
                <w:szCs w:val="22"/>
                <w:highlight w:val="none"/>
              </w:rPr>
            </w:pPr>
          </w:p>
          <w:p w14:paraId="51616CD3">
            <w:pPr>
              <w:spacing w:line="0" w:lineRule="atLeast"/>
              <w:jc w:val="center"/>
              <w:rPr>
                <w:color w:val="auto"/>
                <w:kern w:val="0"/>
                <w:sz w:val="22"/>
                <w:szCs w:val="22"/>
                <w:highlight w:val="none"/>
              </w:rPr>
            </w:pPr>
          </w:p>
          <w:p w14:paraId="1BCB5B1C">
            <w:pPr>
              <w:spacing w:line="0" w:lineRule="atLeast"/>
              <w:jc w:val="center"/>
              <w:rPr>
                <w:color w:val="auto"/>
                <w:kern w:val="0"/>
                <w:sz w:val="22"/>
                <w:szCs w:val="22"/>
                <w:highlight w:val="none"/>
              </w:rPr>
            </w:pPr>
          </w:p>
          <w:p w14:paraId="468746A7">
            <w:pPr>
              <w:spacing w:line="0" w:lineRule="atLeast"/>
              <w:jc w:val="center"/>
              <w:rPr>
                <w:color w:val="auto"/>
                <w:kern w:val="0"/>
                <w:sz w:val="22"/>
                <w:szCs w:val="22"/>
                <w:highlight w:val="none"/>
              </w:rPr>
            </w:pPr>
          </w:p>
          <w:p w14:paraId="4A08D4D5">
            <w:pPr>
              <w:spacing w:line="0" w:lineRule="atLeast"/>
              <w:jc w:val="center"/>
              <w:rPr>
                <w:color w:val="auto"/>
                <w:kern w:val="0"/>
                <w:sz w:val="22"/>
                <w:szCs w:val="22"/>
                <w:highlight w:val="none"/>
              </w:rPr>
            </w:pPr>
          </w:p>
          <w:p w14:paraId="0C2B284F">
            <w:pPr>
              <w:spacing w:line="0" w:lineRule="atLeast"/>
              <w:jc w:val="center"/>
              <w:rPr>
                <w:color w:val="auto"/>
                <w:kern w:val="0"/>
                <w:sz w:val="22"/>
                <w:szCs w:val="22"/>
                <w:highlight w:val="none"/>
              </w:rPr>
            </w:pPr>
          </w:p>
          <w:p w14:paraId="1601EF52">
            <w:pPr>
              <w:spacing w:line="0" w:lineRule="atLeast"/>
              <w:jc w:val="center"/>
              <w:rPr>
                <w:color w:val="auto"/>
                <w:kern w:val="0"/>
                <w:sz w:val="22"/>
                <w:szCs w:val="22"/>
                <w:highlight w:val="none"/>
              </w:rPr>
            </w:pPr>
          </w:p>
          <w:p w14:paraId="6B6B297C">
            <w:pPr>
              <w:spacing w:line="0" w:lineRule="atLeast"/>
              <w:jc w:val="center"/>
              <w:rPr>
                <w:color w:val="auto"/>
                <w:kern w:val="0"/>
                <w:sz w:val="22"/>
                <w:szCs w:val="22"/>
                <w:highlight w:val="none"/>
              </w:rPr>
            </w:pPr>
            <w:r>
              <w:rPr>
                <w:color w:val="auto"/>
                <w:kern w:val="0"/>
                <w:sz w:val="22"/>
                <w:szCs w:val="22"/>
                <w:highlight w:val="none"/>
              </w:rPr>
              <w:t>过程</w:t>
            </w:r>
          </w:p>
          <w:p w14:paraId="0A0529C3">
            <w:pPr>
              <w:widowControl/>
              <w:spacing w:line="0" w:lineRule="atLeast"/>
              <w:jc w:val="center"/>
              <w:rPr>
                <w:color w:val="auto"/>
                <w:kern w:val="0"/>
                <w:sz w:val="22"/>
                <w:szCs w:val="22"/>
                <w:highlight w:val="none"/>
              </w:rPr>
            </w:pPr>
            <w:r>
              <w:rPr>
                <w:color w:val="auto"/>
                <w:kern w:val="0"/>
                <w:sz w:val="22"/>
                <w:szCs w:val="22"/>
                <w:highlight w:val="none"/>
              </w:rPr>
              <w:t>　　</w:t>
            </w:r>
          </w:p>
        </w:tc>
        <w:tc>
          <w:tcPr>
            <w:tcW w:w="764" w:type="dxa"/>
            <w:vMerge w:val="restart"/>
            <w:shd w:val="clear" w:color="auto" w:fill="FFFFFF"/>
            <w:vAlign w:val="center"/>
          </w:tcPr>
          <w:p w14:paraId="622C4E79">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873" w:type="dxa"/>
            <w:shd w:val="clear" w:color="auto" w:fill="FFFFFF"/>
            <w:vAlign w:val="center"/>
          </w:tcPr>
          <w:p w14:paraId="440EB0CF">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2353" w:type="dxa"/>
            <w:shd w:val="clear" w:color="000000" w:fill="FFFFFF"/>
            <w:vAlign w:val="center"/>
          </w:tcPr>
          <w:p w14:paraId="734F6A01">
            <w:pPr>
              <w:widowControl/>
              <w:spacing w:line="0" w:lineRule="atLeas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5198" w:type="dxa"/>
            <w:shd w:val="clear" w:color="000000" w:fill="FFFFFF"/>
            <w:vAlign w:val="center"/>
          </w:tcPr>
          <w:p w14:paraId="3A96E043">
            <w:pPr>
              <w:widowControl/>
              <w:spacing w:line="0" w:lineRule="atLeast"/>
              <w:rPr>
                <w:color w:val="auto"/>
                <w:kern w:val="0"/>
                <w:sz w:val="22"/>
                <w:szCs w:val="22"/>
                <w:highlight w:val="none"/>
              </w:rPr>
            </w:pPr>
            <w:r>
              <w:rPr>
                <w:color w:val="auto"/>
                <w:kern w:val="0"/>
                <w:sz w:val="22"/>
                <w:szCs w:val="22"/>
                <w:highlight w:val="none"/>
              </w:rPr>
              <w:t>资金到位率=（实际到位资金/预算资金）×100%。</w:t>
            </w:r>
          </w:p>
          <w:p w14:paraId="6F1D8D2B">
            <w:pPr>
              <w:widowControl/>
              <w:spacing w:line="0" w:lineRule="atLeast"/>
              <w:rPr>
                <w:color w:val="auto"/>
                <w:kern w:val="0"/>
                <w:sz w:val="22"/>
                <w:szCs w:val="22"/>
                <w:highlight w:val="none"/>
              </w:rPr>
            </w:pPr>
            <w:r>
              <w:rPr>
                <w:color w:val="auto"/>
                <w:kern w:val="0"/>
                <w:sz w:val="22"/>
                <w:szCs w:val="22"/>
                <w:highlight w:val="none"/>
              </w:rPr>
              <w:t>实际到位资金：一定时期（本年度或项目期）内落实到具体项目的资金。</w:t>
            </w:r>
          </w:p>
          <w:p w14:paraId="6B0FA564">
            <w:pPr>
              <w:widowControl/>
              <w:spacing w:line="0" w:lineRule="atLeas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1300" w:type="dxa"/>
            <w:shd w:val="clear" w:color="000000" w:fill="FFFFFF"/>
            <w:vAlign w:val="center"/>
          </w:tcPr>
          <w:p w14:paraId="7CD3D056">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3E1FC44D">
            <w:pPr>
              <w:widowControl/>
              <w:spacing w:line="0" w:lineRule="atLeast"/>
              <w:jc w:val="center"/>
              <w:rPr>
                <w:rFonts w:hint="eastAsia"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4</w:t>
            </w:r>
          </w:p>
        </w:tc>
      </w:tr>
      <w:tr w14:paraId="255C86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14:paraId="59C9D11F">
            <w:pPr>
              <w:spacing w:line="0" w:lineRule="atLeast"/>
              <w:jc w:val="center"/>
              <w:rPr>
                <w:color w:val="auto"/>
                <w:kern w:val="0"/>
                <w:sz w:val="22"/>
                <w:szCs w:val="22"/>
                <w:highlight w:val="none"/>
              </w:rPr>
            </w:pPr>
          </w:p>
        </w:tc>
        <w:tc>
          <w:tcPr>
            <w:tcW w:w="764" w:type="dxa"/>
            <w:vMerge w:val="continue"/>
            <w:shd w:val="clear" w:color="auto" w:fill="FFFFFF"/>
            <w:vAlign w:val="center"/>
          </w:tcPr>
          <w:p w14:paraId="59BD424E">
            <w:pPr>
              <w:spacing w:line="0" w:lineRule="atLeast"/>
              <w:jc w:val="center"/>
              <w:rPr>
                <w:color w:val="auto"/>
                <w:kern w:val="0"/>
                <w:sz w:val="22"/>
                <w:szCs w:val="22"/>
                <w:highlight w:val="none"/>
              </w:rPr>
            </w:pPr>
          </w:p>
        </w:tc>
        <w:tc>
          <w:tcPr>
            <w:tcW w:w="873" w:type="dxa"/>
            <w:shd w:val="clear" w:color="auto" w:fill="FFFFFF"/>
            <w:vAlign w:val="center"/>
          </w:tcPr>
          <w:p w14:paraId="1D9BF5CF">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2353" w:type="dxa"/>
            <w:shd w:val="clear" w:color="auto" w:fill="FFFFFF"/>
            <w:vAlign w:val="center"/>
          </w:tcPr>
          <w:p w14:paraId="7A7BF138">
            <w:pPr>
              <w:widowControl/>
              <w:spacing w:line="0" w:lineRule="atLeas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5198" w:type="dxa"/>
            <w:shd w:val="clear" w:color="auto" w:fill="FFFFFF"/>
            <w:vAlign w:val="center"/>
          </w:tcPr>
          <w:p w14:paraId="4C2A8A0F">
            <w:pPr>
              <w:widowControl/>
              <w:spacing w:line="0" w:lineRule="atLeas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1300" w:type="dxa"/>
            <w:shd w:val="clear" w:color="auto" w:fill="FFFFFF"/>
            <w:vAlign w:val="center"/>
          </w:tcPr>
          <w:p w14:paraId="27CAAD8D">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auto" w:fill="FFFFFF"/>
            <w:vAlign w:val="center"/>
          </w:tcPr>
          <w:p w14:paraId="06EC9525">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3</w:t>
            </w:r>
            <w:r>
              <w:rPr>
                <w:rFonts w:hint="eastAsia" w:cs="Times New Roman"/>
                <w:b/>
                <w:bCs/>
                <w:color w:val="auto"/>
                <w:kern w:val="0"/>
                <w:sz w:val="22"/>
                <w:szCs w:val="22"/>
                <w:highlight w:val="none"/>
                <w:lang w:val="en-US" w:eastAsia="zh-CN"/>
              </w:rPr>
              <w:t>.42</w:t>
            </w:r>
          </w:p>
        </w:tc>
      </w:tr>
      <w:tr w14:paraId="3388B0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32002C92">
            <w:pPr>
              <w:spacing w:line="0" w:lineRule="atLeast"/>
              <w:jc w:val="center"/>
              <w:rPr>
                <w:color w:val="auto"/>
                <w:kern w:val="0"/>
                <w:sz w:val="22"/>
                <w:szCs w:val="22"/>
                <w:highlight w:val="none"/>
              </w:rPr>
            </w:pPr>
          </w:p>
        </w:tc>
        <w:tc>
          <w:tcPr>
            <w:tcW w:w="764" w:type="dxa"/>
            <w:shd w:val="clear" w:color="auto" w:fill="FFFFFF"/>
            <w:vAlign w:val="center"/>
          </w:tcPr>
          <w:p w14:paraId="4D9A39DD">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873" w:type="dxa"/>
            <w:shd w:val="clear" w:color="auto" w:fill="FFFFFF"/>
            <w:vAlign w:val="center"/>
          </w:tcPr>
          <w:p w14:paraId="39343C16">
            <w:pPr>
              <w:widowControl/>
              <w:spacing w:line="0" w:lineRule="atLeast"/>
              <w:jc w:val="center"/>
              <w:rPr>
                <w:color w:val="auto"/>
                <w:kern w:val="0"/>
                <w:sz w:val="22"/>
                <w:szCs w:val="22"/>
                <w:highlight w:val="none"/>
              </w:rPr>
            </w:pPr>
            <w:r>
              <w:rPr>
                <w:color w:val="auto"/>
                <w:kern w:val="0"/>
                <w:sz w:val="22"/>
                <w:szCs w:val="22"/>
                <w:highlight w:val="none"/>
              </w:rPr>
              <w:t>资金使用</w:t>
            </w:r>
          </w:p>
          <w:p w14:paraId="5C061A88">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2353" w:type="dxa"/>
            <w:shd w:val="clear" w:color="000000" w:fill="FFFFFF"/>
            <w:vAlign w:val="center"/>
          </w:tcPr>
          <w:p w14:paraId="175C7F67">
            <w:pPr>
              <w:widowControl/>
              <w:spacing w:line="0" w:lineRule="atLeas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5198" w:type="dxa"/>
            <w:shd w:val="clear" w:color="000000" w:fill="FFFFFF"/>
            <w:vAlign w:val="center"/>
          </w:tcPr>
          <w:p w14:paraId="643F934F">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1300" w:type="dxa"/>
            <w:shd w:val="clear" w:color="000000" w:fill="FFFFFF"/>
            <w:vAlign w:val="center"/>
          </w:tcPr>
          <w:p w14:paraId="1F4BA27D">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2E5D07E4">
            <w:pPr>
              <w:widowControl/>
              <w:spacing w:line="0" w:lineRule="atLeast"/>
              <w:jc w:val="center"/>
              <w:rPr>
                <w:rFonts w:hint="eastAsia"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4</w:t>
            </w:r>
          </w:p>
        </w:tc>
      </w:tr>
      <w:tr w14:paraId="1A5573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14:paraId="39E0336B">
            <w:pPr>
              <w:spacing w:line="0" w:lineRule="atLeast"/>
              <w:jc w:val="center"/>
              <w:rPr>
                <w:color w:val="auto"/>
                <w:kern w:val="0"/>
                <w:sz w:val="22"/>
                <w:szCs w:val="22"/>
                <w:highlight w:val="none"/>
              </w:rPr>
            </w:pPr>
          </w:p>
        </w:tc>
        <w:tc>
          <w:tcPr>
            <w:tcW w:w="764" w:type="dxa"/>
            <w:vMerge w:val="restart"/>
            <w:shd w:val="clear" w:color="auto" w:fill="FFFFFF"/>
            <w:vAlign w:val="center"/>
          </w:tcPr>
          <w:p w14:paraId="7BFD44C2">
            <w:pPr>
              <w:widowControl/>
              <w:spacing w:line="0" w:lineRule="atLeast"/>
              <w:jc w:val="center"/>
              <w:rPr>
                <w:color w:val="auto"/>
                <w:kern w:val="0"/>
                <w:sz w:val="22"/>
                <w:szCs w:val="22"/>
                <w:highlight w:val="none"/>
              </w:rPr>
            </w:pPr>
            <w:r>
              <w:rPr>
                <w:color w:val="auto"/>
                <w:kern w:val="0"/>
                <w:sz w:val="22"/>
                <w:szCs w:val="22"/>
                <w:highlight w:val="none"/>
              </w:rPr>
              <w:t>组织实施</w:t>
            </w:r>
          </w:p>
          <w:p w14:paraId="395054A0">
            <w:pPr>
              <w:spacing w:line="0" w:lineRule="atLeast"/>
              <w:jc w:val="center"/>
              <w:rPr>
                <w:color w:val="auto"/>
                <w:kern w:val="0"/>
                <w:sz w:val="22"/>
                <w:szCs w:val="22"/>
                <w:highlight w:val="none"/>
              </w:rPr>
            </w:pPr>
            <w:r>
              <w:rPr>
                <w:color w:val="auto"/>
                <w:kern w:val="0"/>
                <w:sz w:val="22"/>
                <w:szCs w:val="22"/>
                <w:highlight w:val="none"/>
              </w:rPr>
              <w:t>　</w:t>
            </w:r>
          </w:p>
        </w:tc>
        <w:tc>
          <w:tcPr>
            <w:tcW w:w="873" w:type="dxa"/>
            <w:shd w:val="clear" w:color="auto" w:fill="FFFFFF"/>
            <w:vAlign w:val="center"/>
          </w:tcPr>
          <w:p w14:paraId="3DB3218C">
            <w:pPr>
              <w:widowControl/>
              <w:spacing w:line="0" w:lineRule="atLeast"/>
              <w:jc w:val="center"/>
              <w:rPr>
                <w:color w:val="auto"/>
                <w:kern w:val="0"/>
                <w:sz w:val="22"/>
                <w:szCs w:val="22"/>
                <w:highlight w:val="none"/>
              </w:rPr>
            </w:pPr>
            <w:r>
              <w:rPr>
                <w:color w:val="auto"/>
                <w:kern w:val="0"/>
                <w:sz w:val="22"/>
                <w:szCs w:val="22"/>
                <w:highlight w:val="none"/>
              </w:rPr>
              <w:t>管理制度</w:t>
            </w:r>
          </w:p>
          <w:p w14:paraId="41CB719E">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2353" w:type="dxa"/>
            <w:shd w:val="clear" w:color="000000" w:fill="FFFFFF"/>
            <w:vAlign w:val="center"/>
          </w:tcPr>
          <w:p w14:paraId="58FA32FF">
            <w:pPr>
              <w:widowControl/>
              <w:spacing w:line="0" w:lineRule="atLeas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5198" w:type="dxa"/>
            <w:shd w:val="clear" w:color="000000" w:fill="FFFFFF"/>
            <w:vAlign w:val="center"/>
          </w:tcPr>
          <w:p w14:paraId="1C1D21E6">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1300" w:type="dxa"/>
            <w:shd w:val="clear" w:color="000000" w:fill="FFFFFF"/>
            <w:vAlign w:val="center"/>
          </w:tcPr>
          <w:p w14:paraId="645241F4">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0F57BE9C">
            <w:pPr>
              <w:widowControl/>
              <w:spacing w:line="0" w:lineRule="atLeast"/>
              <w:jc w:val="center"/>
              <w:rPr>
                <w:rFonts w:hint="eastAsia"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4</w:t>
            </w:r>
          </w:p>
        </w:tc>
      </w:tr>
      <w:tr w14:paraId="482249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14:paraId="410C2B2E">
            <w:pPr>
              <w:widowControl/>
              <w:spacing w:line="0" w:lineRule="atLeast"/>
              <w:jc w:val="center"/>
              <w:rPr>
                <w:color w:val="auto"/>
                <w:kern w:val="0"/>
                <w:sz w:val="22"/>
                <w:szCs w:val="22"/>
                <w:highlight w:val="none"/>
              </w:rPr>
            </w:pPr>
          </w:p>
        </w:tc>
        <w:tc>
          <w:tcPr>
            <w:tcW w:w="764" w:type="dxa"/>
            <w:vMerge w:val="continue"/>
            <w:shd w:val="clear" w:color="auto" w:fill="FFFFFF"/>
            <w:vAlign w:val="center"/>
          </w:tcPr>
          <w:p w14:paraId="02E4B294">
            <w:pPr>
              <w:widowControl/>
              <w:spacing w:line="0" w:lineRule="atLeast"/>
              <w:jc w:val="center"/>
              <w:rPr>
                <w:color w:val="auto"/>
                <w:kern w:val="0"/>
                <w:sz w:val="22"/>
                <w:szCs w:val="22"/>
                <w:highlight w:val="none"/>
              </w:rPr>
            </w:pPr>
          </w:p>
        </w:tc>
        <w:tc>
          <w:tcPr>
            <w:tcW w:w="873" w:type="dxa"/>
            <w:shd w:val="clear" w:color="auto" w:fill="FFFFFF"/>
            <w:vAlign w:val="center"/>
          </w:tcPr>
          <w:p w14:paraId="43407055">
            <w:pPr>
              <w:widowControl/>
              <w:spacing w:line="0" w:lineRule="atLeast"/>
              <w:jc w:val="center"/>
              <w:rPr>
                <w:color w:val="auto"/>
                <w:kern w:val="0"/>
                <w:sz w:val="22"/>
                <w:szCs w:val="22"/>
                <w:highlight w:val="none"/>
              </w:rPr>
            </w:pPr>
            <w:r>
              <w:rPr>
                <w:color w:val="auto"/>
                <w:kern w:val="0"/>
                <w:sz w:val="22"/>
                <w:szCs w:val="22"/>
                <w:highlight w:val="none"/>
              </w:rPr>
              <w:t>制度执行</w:t>
            </w:r>
          </w:p>
          <w:p w14:paraId="73151E83">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2353" w:type="dxa"/>
            <w:shd w:val="clear" w:color="000000" w:fill="FFFFFF"/>
            <w:vAlign w:val="center"/>
          </w:tcPr>
          <w:p w14:paraId="4C0599CA">
            <w:pPr>
              <w:widowControl/>
              <w:spacing w:line="0" w:lineRule="atLeas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5198" w:type="dxa"/>
            <w:shd w:val="clear" w:color="000000" w:fill="FFFFFF"/>
            <w:vAlign w:val="center"/>
          </w:tcPr>
          <w:p w14:paraId="7D27C0BC">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1300" w:type="dxa"/>
            <w:shd w:val="clear" w:color="000000" w:fill="FFFFFF"/>
            <w:vAlign w:val="center"/>
          </w:tcPr>
          <w:p w14:paraId="57EEFC19">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1363" w:type="dxa"/>
            <w:shd w:val="clear" w:color="000000" w:fill="FFFFFF"/>
            <w:vAlign w:val="center"/>
          </w:tcPr>
          <w:p w14:paraId="25C47D34">
            <w:pPr>
              <w:widowControl/>
              <w:spacing w:line="0" w:lineRule="atLeast"/>
              <w:jc w:val="center"/>
              <w:rPr>
                <w:rFonts w:hint="eastAsia"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4</w:t>
            </w:r>
          </w:p>
        </w:tc>
      </w:tr>
      <w:tr w14:paraId="70C4AE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14:paraId="3CD682D3">
            <w:pPr>
              <w:widowControl/>
              <w:spacing w:line="0" w:lineRule="atLeast"/>
              <w:jc w:val="center"/>
              <w:rPr>
                <w:color w:val="auto"/>
                <w:kern w:val="0"/>
                <w:sz w:val="22"/>
                <w:szCs w:val="22"/>
                <w:highlight w:val="none"/>
              </w:rPr>
            </w:pPr>
            <w:r>
              <w:rPr>
                <w:color w:val="auto"/>
                <w:kern w:val="0"/>
                <w:sz w:val="22"/>
                <w:szCs w:val="22"/>
                <w:highlight w:val="none"/>
              </w:rPr>
              <w:t>产出</w:t>
            </w:r>
          </w:p>
        </w:tc>
        <w:tc>
          <w:tcPr>
            <w:tcW w:w="764" w:type="dxa"/>
            <w:shd w:val="clear" w:color="auto" w:fill="FFFFFF"/>
            <w:vAlign w:val="center"/>
          </w:tcPr>
          <w:p w14:paraId="4DBC8807">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873" w:type="dxa"/>
            <w:shd w:val="clear" w:color="auto" w:fill="FFFFFF"/>
            <w:vAlign w:val="center"/>
          </w:tcPr>
          <w:p w14:paraId="1517B1F5">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2353" w:type="dxa"/>
            <w:shd w:val="clear" w:color="000000" w:fill="FFFFFF"/>
            <w:vAlign w:val="center"/>
          </w:tcPr>
          <w:p w14:paraId="071F4036">
            <w:pPr>
              <w:widowControl/>
              <w:spacing w:line="0" w:lineRule="atLeas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5198" w:type="dxa"/>
            <w:shd w:val="clear" w:color="000000" w:fill="FFFFFF"/>
            <w:vAlign w:val="center"/>
          </w:tcPr>
          <w:p w14:paraId="14C9ADB9">
            <w:pPr>
              <w:widowControl/>
              <w:spacing w:line="0" w:lineRule="atLeas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1300" w:type="dxa"/>
            <w:shd w:val="clear" w:color="000000" w:fill="FFFFFF"/>
            <w:vAlign w:val="center"/>
          </w:tcPr>
          <w:p w14:paraId="28EC3064">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35248318">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eastAsia" w:cs="Times New Roman"/>
                <w:b/>
                <w:bCs/>
                <w:color w:val="auto"/>
                <w:kern w:val="0"/>
                <w:sz w:val="22"/>
                <w:szCs w:val="22"/>
                <w:highlight w:val="none"/>
                <w:lang w:val="en-US" w:eastAsia="zh-CN"/>
              </w:rPr>
              <w:t>8.12</w:t>
            </w:r>
          </w:p>
        </w:tc>
      </w:tr>
      <w:tr w14:paraId="3240BF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14:paraId="0625205A">
            <w:pPr>
              <w:widowControl/>
              <w:spacing w:line="0" w:lineRule="atLeast"/>
              <w:jc w:val="center"/>
              <w:rPr>
                <w:color w:val="auto"/>
                <w:kern w:val="0"/>
                <w:sz w:val="22"/>
                <w:szCs w:val="22"/>
                <w:highlight w:val="none"/>
              </w:rPr>
            </w:pPr>
          </w:p>
        </w:tc>
        <w:tc>
          <w:tcPr>
            <w:tcW w:w="764" w:type="dxa"/>
            <w:shd w:val="clear" w:color="auto" w:fill="FFFFFF"/>
            <w:vAlign w:val="center"/>
          </w:tcPr>
          <w:p w14:paraId="664FED1A">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873" w:type="dxa"/>
            <w:shd w:val="clear" w:color="auto" w:fill="FFFFFF"/>
            <w:vAlign w:val="center"/>
          </w:tcPr>
          <w:p w14:paraId="5F08D27F">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2353" w:type="dxa"/>
            <w:shd w:val="clear" w:color="000000" w:fill="FFFFFF"/>
            <w:vAlign w:val="center"/>
          </w:tcPr>
          <w:p w14:paraId="6FE18A0F">
            <w:pPr>
              <w:widowControl/>
              <w:spacing w:line="0" w:lineRule="atLeas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5198" w:type="dxa"/>
            <w:shd w:val="clear" w:color="000000" w:fill="FFFFFF"/>
            <w:vAlign w:val="center"/>
          </w:tcPr>
          <w:p w14:paraId="2E9005B1">
            <w:pPr>
              <w:widowControl/>
              <w:spacing w:line="0" w:lineRule="atLeast"/>
              <w:rPr>
                <w:color w:val="auto"/>
                <w:kern w:val="0"/>
                <w:sz w:val="22"/>
                <w:szCs w:val="22"/>
                <w:highlight w:val="none"/>
              </w:rPr>
            </w:pPr>
            <w:r>
              <w:rPr>
                <w:color w:val="auto"/>
                <w:kern w:val="0"/>
                <w:sz w:val="22"/>
                <w:szCs w:val="22"/>
                <w:highlight w:val="none"/>
              </w:rPr>
              <w:t>质量达标率=（质量达标产出数/实际产出数）×100%。</w:t>
            </w:r>
          </w:p>
          <w:p w14:paraId="4E9F9247">
            <w:pPr>
              <w:widowControl/>
              <w:spacing w:line="0" w:lineRule="atLeas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54537360">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32A420BC">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10</w:t>
            </w:r>
          </w:p>
        </w:tc>
      </w:tr>
      <w:tr w14:paraId="26B465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14:paraId="3646869A">
            <w:pPr>
              <w:spacing w:line="0" w:lineRule="atLeast"/>
              <w:jc w:val="center"/>
              <w:rPr>
                <w:color w:val="auto"/>
                <w:kern w:val="0"/>
                <w:sz w:val="22"/>
                <w:szCs w:val="22"/>
                <w:highlight w:val="none"/>
              </w:rPr>
            </w:pPr>
          </w:p>
        </w:tc>
        <w:tc>
          <w:tcPr>
            <w:tcW w:w="764" w:type="dxa"/>
            <w:shd w:val="clear" w:color="auto" w:fill="FFFFFF"/>
            <w:vAlign w:val="center"/>
          </w:tcPr>
          <w:p w14:paraId="6A575E79">
            <w:pPr>
              <w:spacing w:line="0" w:lineRule="atLeast"/>
              <w:jc w:val="center"/>
              <w:rPr>
                <w:color w:val="auto"/>
                <w:kern w:val="0"/>
                <w:sz w:val="22"/>
                <w:szCs w:val="22"/>
                <w:highlight w:val="none"/>
              </w:rPr>
            </w:pPr>
            <w:r>
              <w:rPr>
                <w:color w:val="auto"/>
                <w:kern w:val="0"/>
                <w:sz w:val="22"/>
                <w:szCs w:val="22"/>
                <w:highlight w:val="none"/>
              </w:rPr>
              <w:t>产出时效</w:t>
            </w:r>
          </w:p>
        </w:tc>
        <w:tc>
          <w:tcPr>
            <w:tcW w:w="873" w:type="dxa"/>
            <w:shd w:val="clear" w:color="auto" w:fill="FFFFFF"/>
            <w:vAlign w:val="center"/>
          </w:tcPr>
          <w:p w14:paraId="50C280A1">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2353" w:type="dxa"/>
            <w:shd w:val="clear" w:color="000000" w:fill="FFFFFF"/>
            <w:vAlign w:val="center"/>
          </w:tcPr>
          <w:p w14:paraId="730F1ACC">
            <w:pPr>
              <w:widowControl/>
              <w:spacing w:line="0" w:lineRule="atLeas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5198" w:type="dxa"/>
            <w:shd w:val="clear" w:color="000000" w:fill="FFFFFF"/>
            <w:vAlign w:val="center"/>
          </w:tcPr>
          <w:p w14:paraId="46030017">
            <w:pPr>
              <w:widowControl/>
              <w:spacing w:line="0" w:lineRule="atLeas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1300" w:type="dxa"/>
            <w:shd w:val="clear" w:color="000000" w:fill="FFFFFF"/>
            <w:vAlign w:val="center"/>
          </w:tcPr>
          <w:p w14:paraId="44224990">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7D0247B7">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eastAsia" w:cs="Times New Roman"/>
                <w:b/>
                <w:bCs/>
                <w:color w:val="auto"/>
                <w:kern w:val="0"/>
                <w:sz w:val="22"/>
                <w:szCs w:val="22"/>
                <w:highlight w:val="none"/>
                <w:lang w:val="en-US" w:eastAsia="zh-CN"/>
              </w:rPr>
              <w:t>8.55</w:t>
            </w:r>
          </w:p>
        </w:tc>
      </w:tr>
      <w:tr w14:paraId="2B319F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14:paraId="77C472F9">
            <w:pPr>
              <w:widowControl/>
              <w:spacing w:line="0" w:lineRule="atLeast"/>
              <w:jc w:val="center"/>
              <w:rPr>
                <w:color w:val="auto"/>
                <w:kern w:val="0"/>
                <w:sz w:val="22"/>
                <w:szCs w:val="22"/>
                <w:highlight w:val="none"/>
              </w:rPr>
            </w:pPr>
          </w:p>
        </w:tc>
        <w:tc>
          <w:tcPr>
            <w:tcW w:w="764" w:type="dxa"/>
            <w:shd w:val="clear" w:color="auto" w:fill="FFFFFF"/>
            <w:vAlign w:val="center"/>
          </w:tcPr>
          <w:p w14:paraId="4C189729">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873" w:type="dxa"/>
            <w:shd w:val="clear" w:color="auto" w:fill="FFFFFF"/>
            <w:vAlign w:val="center"/>
          </w:tcPr>
          <w:p w14:paraId="16AC7551">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2353" w:type="dxa"/>
            <w:shd w:val="clear" w:color="000000" w:fill="FFFFFF"/>
            <w:vAlign w:val="center"/>
          </w:tcPr>
          <w:p w14:paraId="694601EB">
            <w:pPr>
              <w:widowControl/>
              <w:spacing w:line="0" w:lineRule="atLeas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5198" w:type="dxa"/>
            <w:shd w:val="clear" w:color="000000" w:fill="FFFFFF"/>
            <w:vAlign w:val="center"/>
          </w:tcPr>
          <w:p w14:paraId="5CAF36DD">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tc>
        <w:tc>
          <w:tcPr>
            <w:tcW w:w="1300" w:type="dxa"/>
            <w:shd w:val="clear" w:color="000000" w:fill="FFFFFF"/>
            <w:vAlign w:val="center"/>
          </w:tcPr>
          <w:p w14:paraId="331481DB">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0B8CE90A">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eastAsia" w:cs="Times New Roman"/>
                <w:b/>
                <w:bCs/>
                <w:color w:val="auto"/>
                <w:kern w:val="0"/>
                <w:sz w:val="22"/>
                <w:szCs w:val="22"/>
                <w:highlight w:val="none"/>
                <w:lang w:val="en-US" w:eastAsia="zh-CN"/>
              </w:rPr>
              <w:t>8.55</w:t>
            </w:r>
          </w:p>
        </w:tc>
      </w:tr>
      <w:tr w14:paraId="6D3E76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14:paraId="330F8E62">
            <w:pPr>
              <w:widowControl/>
              <w:spacing w:line="0" w:lineRule="atLeast"/>
              <w:jc w:val="center"/>
              <w:rPr>
                <w:color w:val="auto"/>
                <w:kern w:val="0"/>
                <w:sz w:val="22"/>
                <w:szCs w:val="22"/>
                <w:highlight w:val="none"/>
              </w:rPr>
            </w:pPr>
            <w:r>
              <w:rPr>
                <w:color w:val="auto"/>
                <w:kern w:val="0"/>
                <w:sz w:val="22"/>
                <w:szCs w:val="22"/>
                <w:highlight w:val="none"/>
              </w:rPr>
              <w:t>效益　</w:t>
            </w:r>
          </w:p>
        </w:tc>
        <w:tc>
          <w:tcPr>
            <w:tcW w:w="764" w:type="dxa"/>
            <w:vMerge w:val="restart"/>
            <w:shd w:val="clear" w:color="auto" w:fill="FFFFFF"/>
            <w:vAlign w:val="center"/>
          </w:tcPr>
          <w:p w14:paraId="00DADC63">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873" w:type="dxa"/>
            <w:shd w:val="clear" w:color="auto" w:fill="FFFFFF"/>
            <w:vAlign w:val="center"/>
          </w:tcPr>
          <w:p w14:paraId="4E064141">
            <w:pPr>
              <w:widowControl/>
              <w:spacing w:line="0" w:lineRule="atLeast"/>
              <w:jc w:val="center"/>
              <w:rPr>
                <w:color w:val="auto"/>
                <w:kern w:val="0"/>
                <w:sz w:val="22"/>
                <w:szCs w:val="22"/>
                <w:highlight w:val="none"/>
              </w:rPr>
            </w:pPr>
            <w:r>
              <w:rPr>
                <w:color w:val="auto"/>
                <w:kern w:val="0"/>
                <w:sz w:val="22"/>
                <w:szCs w:val="22"/>
                <w:highlight w:val="none"/>
              </w:rPr>
              <w:t>实施效益</w:t>
            </w:r>
          </w:p>
        </w:tc>
        <w:tc>
          <w:tcPr>
            <w:tcW w:w="2353" w:type="dxa"/>
            <w:shd w:val="clear" w:color="auto" w:fill="FFFFFF"/>
            <w:vAlign w:val="center"/>
          </w:tcPr>
          <w:p w14:paraId="3D75349E">
            <w:pPr>
              <w:widowControl/>
              <w:spacing w:line="0" w:lineRule="atLeast"/>
              <w:jc w:val="left"/>
              <w:rPr>
                <w:color w:val="auto"/>
                <w:kern w:val="0"/>
                <w:sz w:val="22"/>
                <w:szCs w:val="22"/>
                <w:highlight w:val="none"/>
              </w:rPr>
            </w:pPr>
            <w:r>
              <w:rPr>
                <w:color w:val="auto"/>
                <w:kern w:val="0"/>
                <w:sz w:val="22"/>
                <w:szCs w:val="22"/>
                <w:highlight w:val="none"/>
              </w:rPr>
              <w:t>项目实施所产生的效益。</w:t>
            </w:r>
          </w:p>
        </w:tc>
        <w:tc>
          <w:tcPr>
            <w:tcW w:w="5198" w:type="dxa"/>
            <w:shd w:val="clear" w:color="auto" w:fill="FFFFFF"/>
            <w:vAlign w:val="center"/>
          </w:tcPr>
          <w:p w14:paraId="2E77F01F">
            <w:pPr>
              <w:widowControl/>
              <w:spacing w:line="0" w:lineRule="atLeast"/>
              <w:rPr>
                <w:color w:val="auto"/>
                <w:kern w:val="0"/>
                <w:sz w:val="22"/>
                <w:szCs w:val="22"/>
                <w:highlight w:val="none"/>
              </w:rPr>
            </w:pPr>
            <w:r>
              <w:rPr>
                <w:color w:val="auto"/>
                <w:kern w:val="0"/>
                <w:sz w:val="22"/>
                <w:szCs w:val="22"/>
                <w:highlight w:val="none"/>
              </w:rPr>
              <w:t>项目实施所产生的社会效益、经济效益、生态效益、可持续影响等。可根据项目实际情况有选择地设置和细化。</w:t>
            </w:r>
          </w:p>
        </w:tc>
        <w:tc>
          <w:tcPr>
            <w:tcW w:w="1300" w:type="dxa"/>
            <w:shd w:val="clear" w:color="auto" w:fill="FFFFFF"/>
            <w:vAlign w:val="center"/>
          </w:tcPr>
          <w:p w14:paraId="49C2E455">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auto" w:fill="FFFFFF"/>
            <w:vAlign w:val="center"/>
          </w:tcPr>
          <w:p w14:paraId="3E5E2505">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10</w:t>
            </w:r>
          </w:p>
        </w:tc>
      </w:tr>
      <w:tr w14:paraId="5CFB2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14:paraId="74733004">
            <w:pPr>
              <w:widowControl/>
              <w:spacing w:line="0" w:lineRule="atLeast"/>
              <w:jc w:val="center"/>
              <w:rPr>
                <w:color w:val="auto"/>
                <w:kern w:val="0"/>
                <w:sz w:val="22"/>
                <w:szCs w:val="22"/>
                <w:highlight w:val="none"/>
              </w:rPr>
            </w:pPr>
          </w:p>
        </w:tc>
        <w:tc>
          <w:tcPr>
            <w:tcW w:w="764" w:type="dxa"/>
            <w:vMerge w:val="continue"/>
            <w:shd w:val="clear" w:color="auto" w:fill="FFFFFF"/>
            <w:vAlign w:val="center"/>
          </w:tcPr>
          <w:p w14:paraId="7E019495">
            <w:pPr>
              <w:widowControl/>
              <w:spacing w:line="0" w:lineRule="atLeast"/>
              <w:jc w:val="center"/>
              <w:rPr>
                <w:color w:val="auto"/>
                <w:kern w:val="0"/>
                <w:sz w:val="22"/>
                <w:szCs w:val="22"/>
                <w:highlight w:val="none"/>
              </w:rPr>
            </w:pPr>
          </w:p>
        </w:tc>
        <w:tc>
          <w:tcPr>
            <w:tcW w:w="873" w:type="dxa"/>
            <w:shd w:val="clear" w:color="auto" w:fill="FFFFFF"/>
            <w:vAlign w:val="center"/>
          </w:tcPr>
          <w:p w14:paraId="5CCB293F">
            <w:pPr>
              <w:widowControl/>
              <w:spacing w:line="0" w:lineRule="atLeast"/>
              <w:jc w:val="center"/>
              <w:rPr>
                <w:color w:val="auto"/>
                <w:kern w:val="0"/>
                <w:sz w:val="22"/>
                <w:szCs w:val="22"/>
                <w:highlight w:val="none"/>
              </w:rPr>
            </w:pPr>
            <w:r>
              <w:rPr>
                <w:color w:val="auto"/>
                <w:kern w:val="0"/>
                <w:sz w:val="22"/>
                <w:szCs w:val="22"/>
                <w:highlight w:val="none"/>
              </w:rPr>
              <w:t>满意度</w:t>
            </w:r>
          </w:p>
        </w:tc>
        <w:tc>
          <w:tcPr>
            <w:tcW w:w="2353" w:type="dxa"/>
            <w:shd w:val="clear" w:color="000000" w:fill="FFFFFF"/>
            <w:vAlign w:val="center"/>
          </w:tcPr>
          <w:p w14:paraId="6E11C28F">
            <w:pPr>
              <w:widowControl/>
              <w:spacing w:line="0" w:lineRule="atLeast"/>
              <w:rPr>
                <w:color w:val="auto"/>
                <w:kern w:val="0"/>
                <w:sz w:val="22"/>
                <w:szCs w:val="22"/>
                <w:highlight w:val="none"/>
              </w:rPr>
            </w:pPr>
            <w:r>
              <w:rPr>
                <w:color w:val="auto"/>
                <w:kern w:val="0"/>
                <w:sz w:val="22"/>
                <w:szCs w:val="22"/>
                <w:highlight w:val="none"/>
              </w:rPr>
              <w:t>社会公众或服务对象对项目实施效果的满意程度。</w:t>
            </w:r>
          </w:p>
        </w:tc>
        <w:tc>
          <w:tcPr>
            <w:tcW w:w="5198" w:type="dxa"/>
            <w:shd w:val="clear" w:color="000000" w:fill="FFFFFF"/>
            <w:vAlign w:val="center"/>
          </w:tcPr>
          <w:p w14:paraId="6095C74F">
            <w:pPr>
              <w:widowControl/>
              <w:spacing w:line="0" w:lineRule="atLeast"/>
              <w:rPr>
                <w:color w:val="auto"/>
                <w:kern w:val="0"/>
                <w:sz w:val="22"/>
                <w:szCs w:val="22"/>
                <w:highlight w:val="none"/>
              </w:rPr>
            </w:pPr>
            <w:r>
              <w:rPr>
                <w:color w:val="auto"/>
                <w:kern w:val="0"/>
                <w:sz w:val="22"/>
                <w:szCs w:val="22"/>
                <w:highlight w:val="none"/>
              </w:rPr>
              <w:t>社会公众或服务对象是指因该项目实施而受到影响的部门（单位）、群体或个人。一般采取社会调查的方式。</w:t>
            </w:r>
          </w:p>
        </w:tc>
        <w:tc>
          <w:tcPr>
            <w:tcW w:w="1300" w:type="dxa"/>
            <w:shd w:val="clear" w:color="000000" w:fill="FFFFFF"/>
            <w:vAlign w:val="center"/>
          </w:tcPr>
          <w:p w14:paraId="644AA23B">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1363" w:type="dxa"/>
            <w:shd w:val="clear" w:color="000000" w:fill="FFFFFF"/>
            <w:vAlign w:val="center"/>
          </w:tcPr>
          <w:p w14:paraId="0D1AA652">
            <w:pPr>
              <w:widowControl/>
              <w:spacing w:line="0" w:lineRule="atLeast"/>
              <w:jc w:val="center"/>
              <w:rPr>
                <w:rFonts w:hint="default" w:ascii="Times New Roman" w:hAnsi="Times New Roman" w:eastAsia="宋体" w:cs="Times New Roman"/>
                <w:b/>
                <w:bCs/>
                <w:color w:val="auto"/>
                <w:kern w:val="0"/>
                <w:sz w:val="22"/>
                <w:szCs w:val="22"/>
                <w:highlight w:val="none"/>
                <w:lang w:val="en-US" w:eastAsia="zh-CN"/>
              </w:rPr>
            </w:pPr>
            <w:r>
              <w:rPr>
                <w:rFonts w:hint="eastAsia" w:ascii="Times New Roman" w:hAnsi="Times New Roman" w:eastAsia="宋体" w:cs="Times New Roman"/>
                <w:b/>
                <w:bCs/>
                <w:color w:val="auto"/>
                <w:kern w:val="0"/>
                <w:sz w:val="22"/>
                <w:szCs w:val="22"/>
                <w:highlight w:val="none"/>
                <w:lang w:val="en-US" w:eastAsia="zh-CN"/>
              </w:rPr>
              <w:t>10</w:t>
            </w:r>
          </w:p>
        </w:tc>
      </w:tr>
    </w:tbl>
    <w:p w14:paraId="4A10D799">
      <w:pPr>
        <w:rPr>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0EFEF7E">
        <w:pPr>
          <w:pStyle w:val="9"/>
          <w:jc w:val="center"/>
        </w:pPr>
        <w:r>
          <w:fldChar w:fldCharType="begin"/>
        </w:r>
        <w:r>
          <w:instrText xml:space="preserve">PAGE   \* MERGEFORMAT</w:instrText>
        </w:r>
        <w:r>
          <w:fldChar w:fldCharType="separate"/>
        </w:r>
        <w:r>
          <w:rPr>
            <w:lang w:val="zh-CN"/>
          </w:rPr>
          <w:t>13</w:t>
        </w:r>
        <w:r>
          <w:fldChar w:fldCharType="end"/>
        </w:r>
      </w:p>
    </w:sdtContent>
  </w:sdt>
  <w:p w14:paraId="5FD139C6">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7397B77"/>
    <w:rsid w:val="13471461"/>
    <w:rsid w:val="13B90F01"/>
    <w:rsid w:val="181066D2"/>
    <w:rsid w:val="1C671E73"/>
    <w:rsid w:val="1E4A0464"/>
    <w:rsid w:val="270C4961"/>
    <w:rsid w:val="27253FFF"/>
    <w:rsid w:val="27C61978"/>
    <w:rsid w:val="2A06253E"/>
    <w:rsid w:val="2D640970"/>
    <w:rsid w:val="2F9C422C"/>
    <w:rsid w:val="2FB56378"/>
    <w:rsid w:val="32944FED"/>
    <w:rsid w:val="38CA40DD"/>
    <w:rsid w:val="38FE5445"/>
    <w:rsid w:val="395F2B56"/>
    <w:rsid w:val="3BECE841"/>
    <w:rsid w:val="3FF7797D"/>
    <w:rsid w:val="441B2960"/>
    <w:rsid w:val="4DDA23BB"/>
    <w:rsid w:val="503F3AD0"/>
    <w:rsid w:val="5BFF6039"/>
    <w:rsid w:val="5D76A616"/>
    <w:rsid w:val="5D7F20B9"/>
    <w:rsid w:val="5DAC7D0E"/>
    <w:rsid w:val="5E5F1000"/>
    <w:rsid w:val="5F98B5AF"/>
    <w:rsid w:val="5FFE8511"/>
    <w:rsid w:val="5FFEACE2"/>
    <w:rsid w:val="63D0156C"/>
    <w:rsid w:val="643EE26D"/>
    <w:rsid w:val="65CD2ADA"/>
    <w:rsid w:val="6D572E2F"/>
    <w:rsid w:val="6F5C41AC"/>
    <w:rsid w:val="6FAF6C78"/>
    <w:rsid w:val="70D0347E"/>
    <w:rsid w:val="7317C656"/>
    <w:rsid w:val="734ED73F"/>
    <w:rsid w:val="77FD8BE9"/>
    <w:rsid w:val="791F5DD1"/>
    <w:rsid w:val="793C0810"/>
    <w:rsid w:val="79A9BD3F"/>
    <w:rsid w:val="7BFFFDD0"/>
    <w:rsid w:val="7C336E5F"/>
    <w:rsid w:val="7D7A5F86"/>
    <w:rsid w:val="7F37BB4E"/>
    <w:rsid w:val="7FC476D5"/>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4">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5">
    <w:name w:val="annotation text"/>
    <w:basedOn w:val="1"/>
    <w:link w:val="22"/>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leftChars="200"/>
    </w:pPr>
    <w:rPr>
      <w:rFonts w:ascii="Calibri" w:hAnsi="Calibri"/>
    </w:rPr>
  </w:style>
  <w:style w:type="paragraph" w:styleId="8">
    <w:name w:val="Balloon Text"/>
    <w:basedOn w:val="1"/>
    <w:link w:val="20"/>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11">
    <w:name w:val="annotation subject"/>
    <w:basedOn w:val="5"/>
    <w:next w:val="5"/>
    <w:link w:val="23"/>
    <w:qFormat/>
    <w:uiPriority w:val="0"/>
    <w:rPr>
      <w:b/>
      <w:bCs/>
    </w:rPr>
  </w:style>
  <w:style w:type="paragraph" w:styleId="12">
    <w:name w:val="Body Text First Indent"/>
    <w:basedOn w:val="6"/>
    <w:qFormat/>
    <w:uiPriority w:val="0"/>
    <w:pPr>
      <w:spacing w:after="0"/>
      <w:ind w:firstLine="200" w:firstLineChars="200"/>
    </w:pPr>
  </w:style>
  <w:style w:type="paragraph" w:styleId="13">
    <w:name w:val="Body Text First Indent 2"/>
    <w:basedOn w:val="7"/>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8"/>
    <w:qFormat/>
    <w:uiPriority w:val="0"/>
    <w:rPr>
      <w:rFonts w:ascii="Times New Roman" w:hAnsi="Times New Roman" w:eastAsia="宋体" w:cs="Times New Roman"/>
      <w:kern w:val="2"/>
      <w:sz w:val="18"/>
      <w:szCs w:val="18"/>
    </w:rPr>
  </w:style>
  <w:style w:type="character" w:customStyle="1" w:styleId="21">
    <w:name w:val="页眉 字符"/>
    <w:basedOn w:val="15"/>
    <w:link w:val="10"/>
    <w:qFormat/>
    <w:uiPriority w:val="0"/>
    <w:rPr>
      <w:rFonts w:ascii="Times New Roman" w:hAnsi="Times New Roman" w:eastAsia="宋体" w:cs="Times New Roman"/>
      <w:kern w:val="2"/>
      <w:sz w:val="18"/>
      <w:szCs w:val="18"/>
    </w:rPr>
  </w:style>
  <w:style w:type="character" w:customStyle="1" w:styleId="22">
    <w:name w:val="批注文字 字符"/>
    <w:basedOn w:val="15"/>
    <w:link w:val="5"/>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paragraph" w:styleId="2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24</Pages>
  <Words>9799</Words>
  <Characters>10344</Characters>
  <Lines>58</Lines>
  <Paragraphs>16</Paragraphs>
  <TotalTime>2</TotalTime>
  <ScaleCrop>false</ScaleCrop>
  <LinksUpToDate>false</LinksUpToDate>
  <CharactersWithSpaces>10378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2024-09-27T09:41:53Z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DEB37354E36D40D48F20A3DAB18895C3</vt:lpwstr>
  </property>
</Properties>
</file>