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776ABF">
      <w:pPr>
        <w:rPr>
          <w:rFonts w:hint="eastAsia" w:ascii="黑体" w:hAnsi="黑体" w:eastAsia="黑体"/>
          <w:sz w:val="32"/>
          <w:szCs w:val="32"/>
        </w:rPr>
      </w:pPr>
    </w:p>
    <w:p w14:paraId="3F470B7C">
      <w:pPr>
        <w:jc w:val="center"/>
        <w:rPr>
          <w:rFonts w:hint="eastAsia" w:ascii="方正小标宋_GBK" w:hAnsi="宋体" w:eastAsia="方正小标宋_GBK"/>
          <w:sz w:val="44"/>
          <w:szCs w:val="44"/>
        </w:rPr>
      </w:pPr>
    </w:p>
    <w:p w14:paraId="239075AE">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中国人民政治协商会议奇台县委员会</w:t>
      </w:r>
    </w:p>
    <w:p w14:paraId="77FF61AF">
      <w:pPr>
        <w:jc w:val="center"/>
        <w:rPr>
          <w:rFonts w:hint="eastAsia" w:ascii="方正小标宋_GBK" w:hAnsi="宋体" w:eastAsia="方正小标宋_GBK"/>
          <w:sz w:val="44"/>
          <w:szCs w:val="44"/>
        </w:rPr>
      </w:pPr>
      <w:r>
        <w:rPr>
          <w:rFonts w:hint="eastAsia" w:ascii="方正小标宋_GBK" w:hAnsi="宋体" w:eastAsia="方正小标宋_GBK"/>
          <w:sz w:val="44"/>
          <w:szCs w:val="44"/>
        </w:rPr>
        <w:t>2023年度部门决算</w:t>
      </w:r>
    </w:p>
    <w:p w14:paraId="1B536FBC">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6AF24E32">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6CAEB844">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05DFFC52">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7CDF93C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2834354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75EC701B">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0A95A60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2A1056C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4FDEF00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36AA480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3D9A237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5D4E52E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20D06D1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76F61C7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5AAFE164">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2866AE7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063EFB39">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393868D6">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441ABD3F">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50DAFC1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7C06E9C1">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30428FAB">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048E6506">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65C638B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007BDF9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2B3E56E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1199106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3817D42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0533380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18F9EBF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46DF3BA0">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7CFF467B">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683FE952">
      <w:r>
        <w:rPr>
          <w:rFonts w:hint="eastAsia" w:ascii="仿宋_GB2312" w:hAnsi="仿宋_GB2312" w:eastAsia="仿宋_GB2312" w:cs="仿宋_GB2312"/>
          <w:sz w:val="32"/>
          <w:szCs w:val="32"/>
        </w:rPr>
        <w:fldChar w:fldCharType="end"/>
      </w:r>
    </w:p>
    <w:p w14:paraId="76E6ECBE">
      <w:pPr>
        <w:rPr>
          <w:rFonts w:ascii="仿宋_GB2312" w:eastAsia="仿宋_GB2312"/>
          <w:sz w:val="32"/>
          <w:szCs w:val="32"/>
        </w:rPr>
      </w:pPr>
      <w:r>
        <w:rPr>
          <w:rFonts w:hint="eastAsia" w:ascii="仿宋_GB2312" w:eastAsia="仿宋_GB2312"/>
          <w:sz w:val="32"/>
          <w:szCs w:val="32"/>
        </w:rPr>
        <w:br w:type="page"/>
      </w:r>
    </w:p>
    <w:p w14:paraId="14151BD4">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14:paraId="08D94F96">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13CEF07B">
      <w:pPr>
        <w:ind w:firstLine="640" w:firstLineChars="200"/>
        <w:jc w:val="left"/>
        <w:rPr>
          <w:rFonts w:ascii="仿宋_GB2312" w:eastAsia="仿宋_GB2312"/>
          <w:sz w:val="32"/>
          <w:szCs w:val="32"/>
        </w:rPr>
      </w:pPr>
      <w:r>
        <w:rPr>
          <w:rFonts w:hint="eastAsia" w:ascii="仿宋_GB2312" w:eastAsia="仿宋_GB2312"/>
          <w:sz w:val="32"/>
          <w:szCs w:val="32"/>
        </w:rPr>
        <w:t>（一）组织政协委员认真学习宣传和贯彻党的路线、方针、政策，积极反映社情民意，发挥政协作为党和政府团结各界群众的重要渠道作用。</w:t>
      </w:r>
    </w:p>
    <w:p w14:paraId="04EC6100">
      <w:pPr>
        <w:ind w:firstLine="640" w:firstLineChars="200"/>
        <w:jc w:val="left"/>
        <w:rPr>
          <w:rFonts w:ascii="仿宋_GB2312" w:eastAsia="仿宋_GB2312"/>
          <w:sz w:val="32"/>
          <w:szCs w:val="32"/>
        </w:rPr>
      </w:pPr>
      <w:r>
        <w:rPr>
          <w:rFonts w:hint="eastAsia" w:ascii="仿宋_GB2312" w:eastAsia="仿宋_GB2312"/>
          <w:sz w:val="32"/>
          <w:szCs w:val="32"/>
        </w:rPr>
        <w:t>（二）围绕奇台县党委、奇台县政府的大政方针以及政治、经济、文化和社会生活中的重要问题开展调查研究，运用提案、调查报告、意见、建议等多种形式，为改革开放、社会主义现代化建设献计出力。</w:t>
      </w:r>
    </w:p>
    <w:p w14:paraId="7B51E6F5">
      <w:pPr>
        <w:ind w:firstLine="640" w:firstLineChars="200"/>
        <w:jc w:val="left"/>
        <w:rPr>
          <w:rFonts w:ascii="仿宋_GB2312" w:eastAsia="仿宋_GB2312"/>
          <w:sz w:val="32"/>
          <w:szCs w:val="32"/>
        </w:rPr>
      </w:pPr>
      <w:r>
        <w:rPr>
          <w:rFonts w:hint="eastAsia" w:ascii="仿宋_GB2312" w:eastAsia="仿宋_GB2312"/>
          <w:sz w:val="32"/>
          <w:szCs w:val="32"/>
        </w:rPr>
        <w:t>（三）组织政协委员进行工作视察、专题调研、对口协商、座谈研讨、学习交流等活动，努力调动政协委员知情出力、建言献策、履行职责的积极性和创造性，充分发挥政协委员参政议政的主体作用。</w:t>
      </w:r>
    </w:p>
    <w:p w14:paraId="10163A6B">
      <w:pPr>
        <w:ind w:firstLine="640" w:firstLineChars="200"/>
        <w:jc w:val="left"/>
        <w:rPr>
          <w:rFonts w:ascii="仿宋_GB2312" w:eastAsia="仿宋_GB2312"/>
          <w:sz w:val="32"/>
          <w:szCs w:val="32"/>
        </w:rPr>
      </w:pPr>
      <w:r>
        <w:rPr>
          <w:rFonts w:hint="eastAsia" w:ascii="仿宋_GB2312" w:eastAsia="仿宋_GB2312"/>
          <w:sz w:val="32"/>
          <w:szCs w:val="32"/>
        </w:rPr>
        <w:t>（四）巩固和发展广泛的爱国统一战线，维护社会稳定和民族团结，促进祖国和平统一，促进对外友好往来与合作。</w:t>
      </w:r>
    </w:p>
    <w:p w14:paraId="3FCBE6A0">
      <w:pPr>
        <w:ind w:firstLine="640" w:firstLineChars="200"/>
        <w:jc w:val="left"/>
        <w:rPr>
          <w:rFonts w:ascii="仿宋_GB2312" w:eastAsia="仿宋_GB2312"/>
          <w:sz w:val="32"/>
          <w:szCs w:val="32"/>
        </w:rPr>
      </w:pPr>
      <w:r>
        <w:rPr>
          <w:rFonts w:hint="eastAsia" w:ascii="仿宋_GB2312" w:eastAsia="仿宋_GB2312"/>
          <w:sz w:val="32"/>
          <w:szCs w:val="32"/>
        </w:rPr>
        <w:t>（五）贯彻区州政协全体会议、常委会议、主席会议精神，完成常委会议、主席会议交办的工作任务。</w:t>
      </w:r>
    </w:p>
    <w:p w14:paraId="0C5B541B">
      <w:pPr>
        <w:ind w:firstLine="640" w:firstLineChars="200"/>
        <w:jc w:val="left"/>
        <w:rPr>
          <w:rFonts w:ascii="仿宋_GB2312" w:eastAsia="仿宋_GB2312"/>
          <w:sz w:val="32"/>
          <w:szCs w:val="32"/>
        </w:rPr>
      </w:pPr>
      <w:r>
        <w:rPr>
          <w:rFonts w:hint="eastAsia" w:ascii="仿宋_GB2312" w:eastAsia="仿宋_GB2312"/>
          <w:sz w:val="32"/>
          <w:szCs w:val="32"/>
        </w:rPr>
        <w:t>（六）加强专门委员会的理论研究和工作实践，总结经验，开拓创新，不断推进专门委员会工作的制度化、规范化、程序化建设。</w:t>
      </w:r>
    </w:p>
    <w:p w14:paraId="26B64A54">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3A4E4D09">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中国人民政治协商会议奇台县委员会2023年度，实有人数</w:t>
      </w:r>
      <w:r>
        <w:rPr>
          <w:rFonts w:hint="eastAsia" w:ascii="仿宋_GB2312" w:eastAsia="仿宋_GB2312"/>
          <w:sz w:val="32"/>
          <w:szCs w:val="32"/>
          <w:lang w:val="zh-CN"/>
        </w:rPr>
        <w:t>31</w:t>
      </w:r>
      <w:r>
        <w:rPr>
          <w:rFonts w:hint="eastAsia" w:ascii="仿宋_GB2312" w:eastAsia="仿宋_GB2312"/>
          <w:sz w:val="32"/>
          <w:szCs w:val="32"/>
        </w:rPr>
        <w:t>人，其中：在职人员</w:t>
      </w:r>
      <w:r>
        <w:rPr>
          <w:rFonts w:hint="eastAsia" w:ascii="仿宋_GB2312" w:eastAsia="仿宋_GB2312"/>
          <w:sz w:val="32"/>
          <w:szCs w:val="32"/>
          <w:lang w:val="zh-CN"/>
        </w:rPr>
        <w:t>17</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14</w:t>
      </w:r>
      <w:r>
        <w:rPr>
          <w:rFonts w:hint="eastAsia" w:ascii="仿宋_GB2312" w:eastAsia="仿宋_GB2312"/>
          <w:sz w:val="32"/>
          <w:szCs w:val="32"/>
        </w:rPr>
        <w:t>人。</w:t>
      </w:r>
    </w:p>
    <w:p w14:paraId="67A45659">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5</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政协办公室、经济法制提案委员会、教科文卫体委员会、党派社团学习文史和民族宗教侨务委员会、委员联络中心。</w:t>
      </w:r>
    </w:p>
    <w:p w14:paraId="137E0717">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14:paraId="64E2B0FB">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67AC6CCA">
      <w:pPr>
        <w:ind w:firstLine="640" w:firstLineChars="200"/>
        <w:jc w:val="left"/>
        <w:rPr>
          <w:rFonts w:ascii="仿宋_GB2312" w:eastAsia="仿宋_GB2312"/>
          <w:sz w:val="32"/>
          <w:szCs w:val="32"/>
        </w:rPr>
      </w:pPr>
      <w:r>
        <w:rPr>
          <w:rFonts w:hint="eastAsia" w:ascii="仿宋_GB2312" w:eastAsia="仿宋_GB2312"/>
          <w:sz w:val="32"/>
          <w:szCs w:val="32"/>
        </w:rPr>
        <w:t>2023年度收入总计381.54万元，其中：本年收入合计381.54万元，使用非财政拨款结余0.00万元，年初结转和结余0.00万元。</w:t>
      </w:r>
    </w:p>
    <w:p w14:paraId="5CD678E4">
      <w:pPr>
        <w:ind w:firstLine="640" w:firstLineChars="200"/>
        <w:jc w:val="left"/>
        <w:rPr>
          <w:rFonts w:ascii="仿宋_GB2312" w:eastAsia="仿宋_GB2312"/>
          <w:sz w:val="32"/>
          <w:szCs w:val="32"/>
        </w:rPr>
      </w:pPr>
      <w:r>
        <w:rPr>
          <w:rFonts w:hint="eastAsia" w:ascii="仿宋_GB2312" w:eastAsia="仿宋_GB2312"/>
          <w:sz w:val="32"/>
          <w:szCs w:val="32"/>
        </w:rPr>
        <w:t>2023年度支出总计381.54万元，其中：本年支出合计381.54万元，结余分配0.00万元，年末结转和结余0.00万元。</w:t>
      </w:r>
    </w:p>
    <w:p w14:paraId="2AE8B82B">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增加15.21万元</w:t>
      </w:r>
      <w:r>
        <w:rPr>
          <w:rFonts w:hint="eastAsia" w:ascii="仿宋_GB2312" w:eastAsia="仿宋_GB2312"/>
          <w:sz w:val="32"/>
          <w:szCs w:val="32"/>
        </w:rPr>
        <w:t>，增长4.15%，主要原因是：新增自治区基层政协补助经费及偿还政协历年欠款项目经费。</w:t>
      </w:r>
    </w:p>
    <w:p w14:paraId="3CEE0E55">
      <w:pPr>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14:paraId="13A89C03">
      <w:pPr>
        <w:ind w:firstLine="640" w:firstLineChars="200"/>
        <w:jc w:val="left"/>
        <w:rPr>
          <w:rFonts w:ascii="仿宋_GB2312" w:eastAsia="仿宋_GB2312"/>
          <w:sz w:val="32"/>
          <w:szCs w:val="32"/>
        </w:rPr>
      </w:pPr>
      <w:r>
        <w:rPr>
          <w:rFonts w:hint="eastAsia" w:ascii="仿宋_GB2312" w:eastAsia="仿宋_GB2312"/>
          <w:sz w:val="32"/>
          <w:szCs w:val="32"/>
        </w:rPr>
        <w:t>本年收入381.54万元，其中：财政拨款收入</w:t>
      </w:r>
      <w:r>
        <w:rPr>
          <w:rFonts w:hint="eastAsia" w:ascii="仿宋_GB2312" w:eastAsia="仿宋_GB2312"/>
          <w:sz w:val="32"/>
          <w:szCs w:val="32"/>
          <w:lang w:val="zh-CN"/>
        </w:rPr>
        <w:t>381.54</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14:paraId="4675DD5B">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32B9C3BA">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本年支出381.54万元，其中：基本支出365.64万元，占95.83%；项目支出15.90万元，占4.17%；上缴上级支出0.00万元，占0.00%；经营支出0.00万元，占0.00%；对附属单位补助支出0.00万元，占0.00%。</w:t>
      </w:r>
    </w:p>
    <w:p w14:paraId="1B967DFB">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14:paraId="776BBDA1">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381.54</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381.54</w:t>
      </w:r>
      <w:r>
        <w:rPr>
          <w:rFonts w:hint="eastAsia" w:ascii="仿宋_GB2312" w:eastAsia="仿宋_GB2312"/>
          <w:sz w:val="32"/>
          <w:szCs w:val="32"/>
        </w:rPr>
        <w:t>万元。财政拨款支出总计</w:t>
      </w:r>
      <w:r>
        <w:rPr>
          <w:rFonts w:hint="eastAsia" w:ascii="仿宋_GB2312" w:eastAsia="仿宋_GB2312"/>
          <w:sz w:val="32"/>
          <w:szCs w:val="32"/>
          <w:lang w:val="zh-CN"/>
        </w:rPr>
        <w:t>381.54</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381.54</w:t>
      </w:r>
      <w:r>
        <w:rPr>
          <w:rFonts w:hint="eastAsia" w:ascii="仿宋_GB2312" w:eastAsia="仿宋_GB2312"/>
          <w:sz w:val="32"/>
          <w:szCs w:val="32"/>
        </w:rPr>
        <w:t>万元。</w:t>
      </w:r>
    </w:p>
    <w:p w14:paraId="7B56B335">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增加15.21万元</w:t>
      </w:r>
      <w:r>
        <w:rPr>
          <w:rFonts w:hint="eastAsia" w:ascii="仿宋_GB2312" w:eastAsia="仿宋_GB2312"/>
          <w:sz w:val="32"/>
          <w:szCs w:val="32"/>
        </w:rPr>
        <w:t>，增长4.15%,主要原因是：新增自治区基层政协补助经费及偿还政协历年欠款项目经费。与年初预算相比，年初预算数</w:t>
      </w:r>
      <w:r>
        <w:rPr>
          <w:rFonts w:hint="eastAsia" w:ascii="仿宋_GB2312" w:eastAsia="仿宋_GB2312"/>
          <w:sz w:val="32"/>
          <w:szCs w:val="32"/>
          <w:lang w:val="zh-CN"/>
        </w:rPr>
        <w:t>418.77</w:t>
      </w:r>
      <w:r>
        <w:rPr>
          <w:rFonts w:hint="eastAsia" w:ascii="仿宋_GB2312" w:eastAsia="仿宋_GB2312"/>
          <w:sz w:val="32"/>
          <w:szCs w:val="32"/>
        </w:rPr>
        <w:t>万元，决算数</w:t>
      </w:r>
      <w:r>
        <w:rPr>
          <w:rFonts w:hint="eastAsia" w:ascii="仿宋_GB2312" w:eastAsia="仿宋_GB2312"/>
          <w:sz w:val="32"/>
          <w:szCs w:val="32"/>
          <w:lang w:val="zh-CN"/>
        </w:rPr>
        <w:t>381.54</w:t>
      </w:r>
      <w:r>
        <w:rPr>
          <w:rFonts w:hint="eastAsia" w:ascii="仿宋_GB2312" w:eastAsia="仿宋_GB2312"/>
          <w:sz w:val="32"/>
          <w:szCs w:val="32"/>
        </w:rPr>
        <w:t>万元，预决算差异率-8.89%，主要原因是：本年单位实际人员工资、津补贴等人员经费小于年初预算安排金额。</w:t>
      </w:r>
    </w:p>
    <w:p w14:paraId="482603D8">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14:paraId="756E5E97">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262FC0FE">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2023年度一般公共预算财政拨款支出381.54万元，占本年支出合计的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增加15.21万元</w:t>
      </w:r>
      <w:r>
        <w:rPr>
          <w:rFonts w:hint="eastAsia" w:ascii="仿宋_GB2312" w:eastAsia="仿宋_GB2312"/>
          <w:sz w:val="32"/>
          <w:szCs w:val="32"/>
        </w:rPr>
        <w:t>，增长4.15%,主要原因是：新增自治区基层政协补助经费及偿还政协历年欠款项目经费。与年初预算相比，年初预算数</w:t>
      </w:r>
      <w:r>
        <w:rPr>
          <w:rFonts w:hint="eastAsia" w:ascii="仿宋_GB2312" w:eastAsia="仿宋_GB2312"/>
          <w:sz w:val="32"/>
          <w:szCs w:val="32"/>
          <w:lang w:val="zh-CN"/>
        </w:rPr>
        <w:t>418.77</w:t>
      </w:r>
      <w:r>
        <w:rPr>
          <w:rFonts w:hint="eastAsia" w:ascii="仿宋_GB2312" w:eastAsia="仿宋_GB2312"/>
          <w:sz w:val="32"/>
          <w:szCs w:val="32"/>
        </w:rPr>
        <w:t>万元，决算数</w:t>
      </w:r>
      <w:r>
        <w:rPr>
          <w:rFonts w:hint="eastAsia" w:ascii="仿宋_GB2312" w:eastAsia="仿宋_GB2312"/>
          <w:sz w:val="32"/>
          <w:szCs w:val="32"/>
          <w:lang w:val="zh-CN"/>
        </w:rPr>
        <w:t>381.54</w:t>
      </w:r>
      <w:r>
        <w:rPr>
          <w:rFonts w:hint="eastAsia" w:ascii="仿宋_GB2312" w:eastAsia="仿宋_GB2312"/>
          <w:sz w:val="32"/>
          <w:szCs w:val="32"/>
        </w:rPr>
        <w:t>万元，预决算差异率</w:t>
      </w:r>
      <w:r>
        <w:rPr>
          <w:rFonts w:hint="eastAsia" w:ascii="仿宋_GB2312" w:eastAsia="仿宋_GB2312"/>
          <w:sz w:val="32"/>
          <w:szCs w:val="32"/>
          <w:lang w:val="zh-CN"/>
        </w:rPr>
        <w:t>-8.89%</w:t>
      </w:r>
      <w:r>
        <w:rPr>
          <w:rFonts w:hint="eastAsia" w:ascii="仿宋_GB2312" w:eastAsia="仿宋_GB2312"/>
          <w:sz w:val="32"/>
          <w:szCs w:val="32"/>
        </w:rPr>
        <w:t>，主要原因是：本年单位实际人员工资、津补贴等人员经费小于年初预算安排金额。</w:t>
      </w:r>
    </w:p>
    <w:p w14:paraId="110B86C0">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023D2941">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hint="eastAsia" w:ascii="仿宋_GB2312" w:eastAsia="仿宋_GB2312"/>
          <w:kern w:val="2"/>
          <w:sz w:val="32"/>
          <w:szCs w:val="32"/>
          <w:lang w:val="zh-CN"/>
        </w:rPr>
        <w:t>296.42</w:t>
      </w:r>
      <w:r>
        <w:rPr>
          <w:rFonts w:ascii="仿宋_GB2312" w:eastAsia="仿宋_GB2312"/>
          <w:kern w:val="2"/>
          <w:sz w:val="32"/>
          <w:szCs w:val="32"/>
          <w:lang w:val="zh-CN"/>
        </w:rPr>
        <w:t>万元，占</w:t>
      </w:r>
      <w:r>
        <w:rPr>
          <w:rFonts w:hint="eastAsia" w:ascii="仿宋_GB2312" w:eastAsia="仿宋_GB2312"/>
          <w:kern w:val="2"/>
          <w:sz w:val="32"/>
          <w:szCs w:val="32"/>
          <w:lang w:val="zh-CN"/>
        </w:rPr>
        <w:t>77.69%</w:t>
      </w:r>
      <w:r>
        <w:rPr>
          <w:rFonts w:ascii="仿宋_GB2312" w:eastAsia="仿宋_GB2312"/>
          <w:kern w:val="2"/>
          <w:sz w:val="32"/>
          <w:szCs w:val="32"/>
          <w:lang w:val="zh-CN"/>
        </w:rPr>
        <w:t>；</w:t>
      </w:r>
    </w:p>
    <w:p w14:paraId="7F644A3F">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42.35</w:t>
      </w:r>
      <w:r>
        <w:rPr>
          <w:rFonts w:ascii="仿宋_GB2312" w:eastAsia="仿宋_GB2312"/>
          <w:kern w:val="2"/>
          <w:sz w:val="32"/>
          <w:szCs w:val="32"/>
          <w:lang w:val="zh-CN"/>
        </w:rPr>
        <w:t>万元，占</w:t>
      </w:r>
      <w:r>
        <w:rPr>
          <w:rFonts w:hint="eastAsia" w:ascii="仿宋_GB2312" w:eastAsia="仿宋_GB2312"/>
          <w:kern w:val="2"/>
          <w:sz w:val="32"/>
          <w:szCs w:val="32"/>
          <w:lang w:val="zh-CN"/>
        </w:rPr>
        <w:t>11.10%</w:t>
      </w:r>
      <w:r>
        <w:rPr>
          <w:rFonts w:ascii="仿宋_GB2312" w:eastAsia="仿宋_GB2312"/>
          <w:kern w:val="2"/>
          <w:sz w:val="32"/>
          <w:szCs w:val="32"/>
          <w:lang w:val="zh-CN"/>
        </w:rPr>
        <w:t>；</w:t>
      </w:r>
    </w:p>
    <w:p w14:paraId="45815677">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3</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18.98</w:t>
      </w:r>
      <w:r>
        <w:rPr>
          <w:rFonts w:ascii="仿宋_GB2312" w:eastAsia="仿宋_GB2312"/>
          <w:kern w:val="2"/>
          <w:sz w:val="32"/>
          <w:szCs w:val="32"/>
          <w:lang w:val="zh-CN"/>
        </w:rPr>
        <w:t>万元，占</w:t>
      </w:r>
      <w:r>
        <w:rPr>
          <w:rFonts w:hint="eastAsia" w:ascii="仿宋_GB2312" w:eastAsia="仿宋_GB2312"/>
          <w:kern w:val="2"/>
          <w:sz w:val="32"/>
          <w:szCs w:val="32"/>
          <w:lang w:val="zh-CN"/>
        </w:rPr>
        <w:t>4.97%</w:t>
      </w:r>
      <w:r>
        <w:rPr>
          <w:rFonts w:ascii="仿宋_GB2312" w:eastAsia="仿宋_GB2312"/>
          <w:kern w:val="2"/>
          <w:sz w:val="32"/>
          <w:szCs w:val="32"/>
          <w:lang w:val="zh-CN"/>
        </w:rPr>
        <w:t>；</w:t>
      </w:r>
    </w:p>
    <w:p w14:paraId="0DDEDC4A">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4</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23.79</w:t>
      </w:r>
      <w:r>
        <w:rPr>
          <w:rFonts w:ascii="仿宋_GB2312" w:eastAsia="仿宋_GB2312"/>
          <w:kern w:val="2"/>
          <w:sz w:val="32"/>
          <w:szCs w:val="32"/>
          <w:lang w:val="zh-CN"/>
        </w:rPr>
        <w:t>万元，占</w:t>
      </w:r>
      <w:r>
        <w:rPr>
          <w:rFonts w:hint="eastAsia" w:ascii="仿宋_GB2312" w:eastAsia="仿宋_GB2312"/>
          <w:kern w:val="2"/>
          <w:sz w:val="32"/>
          <w:szCs w:val="32"/>
          <w:lang w:val="zh-CN"/>
        </w:rPr>
        <w:t>6.24%。</w:t>
      </w:r>
    </w:p>
    <w:p w14:paraId="39B5BA2E">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0BB45280">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1.卫生健康支出（类）行政事业单位医疗（款）其他行政事业单位医疗支出（项）:支出决算数为0.17万元，比上年决算减少0.02万元，下降10.53%，主要原因是：</w:t>
      </w:r>
      <w:bookmarkStart w:id="18" w:name="_Hlk177999590"/>
      <w:bookmarkStart w:id="19" w:name="_Hlk178004261"/>
      <w:r>
        <w:rPr>
          <w:rFonts w:hint="eastAsia" w:ascii="仿宋_GB2312" w:hAnsi="仿宋_GB2312" w:eastAsia="仿宋_GB2312" w:cs="仿宋_GB2312"/>
          <w:sz w:val="32"/>
          <w:szCs w:val="32"/>
        </w:rPr>
        <w:t>单位</w:t>
      </w:r>
      <w:r>
        <w:rPr>
          <w:rFonts w:hint="eastAsia" w:ascii="仿宋_GB2312" w:hAnsi="仿宋_GB2312" w:eastAsia="仿宋_GB2312" w:cs="仿宋_GB2312"/>
          <w:sz w:val="32"/>
          <w:szCs w:val="32"/>
          <w:lang w:val="zh-CN"/>
        </w:rPr>
        <w:t>人员大病医疗补助经费较上年</w:t>
      </w:r>
      <w:bookmarkEnd w:id="18"/>
      <w:r>
        <w:rPr>
          <w:rFonts w:hint="eastAsia" w:ascii="仿宋_GB2312" w:hAnsi="仿宋_GB2312" w:eastAsia="仿宋_GB2312" w:cs="仿宋_GB2312"/>
          <w:sz w:val="32"/>
          <w:szCs w:val="32"/>
          <w:lang w:val="zh-CN"/>
        </w:rPr>
        <w:t>减少</w:t>
      </w:r>
      <w:bookmarkEnd w:id="19"/>
      <w:r>
        <w:rPr>
          <w:rFonts w:hint="eastAsia" w:ascii="仿宋_GB2312" w:hAnsi="仿宋_GB2312" w:eastAsia="仿宋_GB2312" w:cs="仿宋_GB2312"/>
          <w:sz w:val="32"/>
          <w:szCs w:val="32"/>
          <w:lang w:val="zh-CN"/>
        </w:rPr>
        <w:t>。</w:t>
      </w:r>
    </w:p>
    <w:p w14:paraId="1FCDBF89">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2.卫生健康支出（类）行政事业单位医疗（款）行政单位医疗（项）:支出决算数为15.17万元，比上年决算减少5.94万元，下降28.14%，主要原因是：</w:t>
      </w:r>
      <w:bookmarkStart w:id="20" w:name="_Hlk178002820"/>
      <w:r>
        <w:rPr>
          <w:rFonts w:hint="eastAsia" w:ascii="仿宋_GB2312" w:hAnsi="仿宋_GB2312" w:eastAsia="仿宋_GB2312" w:cs="仿宋_GB2312"/>
          <w:sz w:val="32"/>
          <w:szCs w:val="32"/>
          <w:lang w:val="zh-CN"/>
        </w:rPr>
        <w:t>人员医疗缴费基数调</w:t>
      </w:r>
      <w:r>
        <w:rPr>
          <w:rFonts w:hint="eastAsia" w:ascii="仿宋_GB2312" w:hAnsi="仿宋_GB2312" w:eastAsia="仿宋_GB2312" w:cs="仿宋_GB2312"/>
          <w:sz w:val="32"/>
          <w:szCs w:val="32"/>
        </w:rPr>
        <w:t>减</w:t>
      </w:r>
      <w:r>
        <w:rPr>
          <w:rFonts w:hint="eastAsia" w:ascii="仿宋_GB2312" w:hAnsi="仿宋_GB2312" w:eastAsia="仿宋_GB2312" w:cs="仿宋_GB2312"/>
          <w:sz w:val="32"/>
          <w:szCs w:val="32"/>
          <w:lang w:val="zh-CN"/>
        </w:rPr>
        <w:t>，职工基本医疗保险缴费</w:t>
      </w:r>
      <w:bookmarkEnd w:id="20"/>
      <w:r>
        <w:rPr>
          <w:rFonts w:hint="eastAsia" w:ascii="仿宋_GB2312" w:hAnsi="仿宋_GB2312" w:eastAsia="仿宋_GB2312" w:cs="仿宋_GB2312"/>
          <w:sz w:val="32"/>
          <w:szCs w:val="32"/>
          <w:lang w:val="zh-CN"/>
        </w:rPr>
        <w:t>减少。</w:t>
      </w:r>
    </w:p>
    <w:p w14:paraId="3339A5BD">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3.卫生健康支出（类）行政事业单位医疗（款）公务员医疗补助（项）:支出决算数为3.64万元，比上年决算减少2.37万元，下降39.43%，主要原因是：</w:t>
      </w:r>
      <w:bookmarkStart w:id="21" w:name="_Hlk177985668"/>
      <w:r>
        <w:rPr>
          <w:rFonts w:hint="eastAsia" w:ascii="仿宋_GB2312" w:hAnsi="仿宋_GB2312" w:eastAsia="仿宋_GB2312" w:cs="仿宋_GB2312"/>
          <w:sz w:val="32"/>
          <w:szCs w:val="32"/>
        </w:rPr>
        <w:t>公务员医疗保险缴费基数调减，相关人员医疗补助缴费减少</w:t>
      </w:r>
      <w:bookmarkEnd w:id="21"/>
      <w:r>
        <w:rPr>
          <w:rFonts w:hint="eastAsia" w:ascii="仿宋_GB2312" w:hAnsi="仿宋_GB2312" w:eastAsia="仿宋_GB2312" w:cs="仿宋_GB2312"/>
          <w:sz w:val="32"/>
          <w:szCs w:val="32"/>
          <w:lang w:val="zh-CN"/>
        </w:rPr>
        <w:t>。</w:t>
      </w:r>
    </w:p>
    <w:p w14:paraId="45981BA0">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4.住房保障支出（类）住房改革支出（款）住房公积金（项）:支出决算数为23.79万元，比上年决算增加0.61万元，增长2.63%，主要原因是：公积金缴费基数调增，人员住房公积金缴费增加</w:t>
      </w:r>
      <w:r>
        <w:rPr>
          <w:rFonts w:hint="eastAsia" w:ascii="仿宋_GB2312" w:hAnsi="仿宋_GB2312" w:eastAsia="仿宋_GB2312" w:cs="仿宋_GB2312"/>
          <w:sz w:val="32"/>
          <w:szCs w:val="32"/>
          <w:lang w:val="zh-CN"/>
        </w:rPr>
        <w:t>。</w:t>
      </w:r>
    </w:p>
    <w:p w14:paraId="7768AC67">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5.社会保障和就业支出（类）行政事业单位养老支出（款）行政单位离退休（项）:支出决算数为6.45万元，比上年决算增加6.45万元，增长100%，主要原因是：</w:t>
      </w:r>
      <w:bookmarkStart w:id="22" w:name="_Hlk178336625"/>
      <w:r>
        <w:rPr>
          <w:rFonts w:hint="eastAsia" w:ascii="仿宋_GB2312" w:hAnsi="仿宋_GB2312" w:eastAsia="仿宋_GB2312" w:cs="仿宋_GB2312"/>
          <w:sz w:val="32"/>
          <w:szCs w:val="32"/>
          <w:lang w:val="zh-CN"/>
        </w:rPr>
        <w:t>科目调整细化，</w:t>
      </w:r>
      <w:bookmarkEnd w:id="22"/>
      <w:r>
        <w:rPr>
          <w:rFonts w:hint="eastAsia" w:ascii="仿宋_GB2312" w:hAnsi="仿宋_GB2312" w:eastAsia="仿宋_GB2312" w:cs="仿宋_GB2312"/>
          <w:sz w:val="32"/>
          <w:szCs w:val="32"/>
          <w:lang w:val="zh-CN"/>
        </w:rPr>
        <w:t>本年新增退休人员取暖费、独生子女奖励金等。</w:t>
      </w:r>
    </w:p>
    <w:p w14:paraId="05AADF1C">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6.一般公共服务支出（类）政协事务（款）其他政协事务支出（项）:支出决算数为32.72万元，比上年决算增加32.72万元，增长100%，主要原因是：</w:t>
      </w:r>
      <w:r>
        <w:rPr>
          <w:rFonts w:hint="eastAsia" w:ascii="仿宋_GB2312" w:eastAsia="仿宋_GB2312"/>
          <w:sz w:val="32"/>
          <w:szCs w:val="32"/>
        </w:rPr>
        <w:t>新增自治区基层政协补助经费、偿还政协历年欠款及车辆租赁费</w:t>
      </w:r>
      <w:r>
        <w:rPr>
          <w:rFonts w:hint="eastAsia" w:ascii="仿宋_GB2312" w:hAnsi="仿宋_GB2312" w:eastAsia="仿宋_GB2312" w:cs="仿宋_GB2312"/>
          <w:sz w:val="32"/>
          <w:szCs w:val="32"/>
          <w:lang w:val="zh-CN"/>
        </w:rPr>
        <w:t>。</w:t>
      </w:r>
    </w:p>
    <w:p w14:paraId="073DFA09">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7.社会保障和就业支出（类）行政事业单位养老支出（款）机关事业单位职业年金缴费支出（项）:支出决算数为5.83万元，比上年决算减少0.48万元，下降7.61%，主要原因是：退休人员减少</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退休</w:t>
      </w:r>
      <w:r>
        <w:rPr>
          <w:rFonts w:hint="eastAsia" w:ascii="仿宋_GB2312" w:hAnsi="仿宋_GB2312" w:eastAsia="仿宋_GB2312" w:cs="仿宋_GB2312"/>
          <w:sz w:val="32"/>
          <w:szCs w:val="32"/>
          <w:lang w:val="zh-CN"/>
        </w:rPr>
        <w:t>人员</w:t>
      </w:r>
      <w:r>
        <w:rPr>
          <w:rFonts w:hint="eastAsia" w:ascii="仿宋_GB2312" w:hAnsi="仿宋_GB2312" w:eastAsia="仿宋_GB2312" w:cs="仿宋_GB2312"/>
          <w:sz w:val="32"/>
          <w:szCs w:val="32"/>
        </w:rPr>
        <w:t>职业年金缴费减少</w:t>
      </w:r>
      <w:r>
        <w:rPr>
          <w:rFonts w:hint="eastAsia" w:ascii="仿宋_GB2312" w:hAnsi="仿宋_GB2312" w:eastAsia="仿宋_GB2312" w:cs="仿宋_GB2312"/>
          <w:sz w:val="32"/>
          <w:szCs w:val="32"/>
          <w:lang w:val="zh-CN"/>
        </w:rPr>
        <w:t>。</w:t>
      </w:r>
    </w:p>
    <w:p w14:paraId="6FADDBF8">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8.一般公共服务支出（类）政协事务（款）行政运行（项）:支出决算数为263.70万元，比上年决算减少0.75万元，下降0.28%，主要原因是：</w:t>
      </w:r>
      <w:r>
        <w:rPr>
          <w:rFonts w:hint="eastAsia" w:ascii="仿宋_GB2312" w:hAnsi="仿宋_GB2312" w:eastAsia="仿宋_GB2312" w:cs="仿宋_GB2312"/>
          <w:sz w:val="32"/>
          <w:szCs w:val="32"/>
          <w:lang w:val="zh-CN"/>
        </w:rPr>
        <w:t>科目调整细化，退休人员取暖费、独生子女奖励金等经费依据实际使用情况调整至其他科目。</w:t>
      </w:r>
    </w:p>
    <w:p w14:paraId="7BDCBBD7">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9.社会保障和就业支出（类）行政事业单位养老支出（款）机关事业单位基本养老保险缴费支出（项）:支出决算数为30.07万元，比上年决算增加1.53万元，增长5.36%，主要原因是：</w:t>
      </w:r>
      <w:bookmarkStart w:id="23" w:name="_Hlk177987165"/>
      <w:r>
        <w:rPr>
          <w:rFonts w:hint="eastAsia" w:eastAsia="仿宋_GB2312"/>
          <w:sz w:val="32"/>
          <w:szCs w:val="32"/>
        </w:rPr>
        <w:t>本年单位社保缴费基数调增，人员养老保险缴费增加</w:t>
      </w:r>
      <w:bookmarkEnd w:id="23"/>
      <w:r>
        <w:rPr>
          <w:rFonts w:hint="eastAsia" w:ascii="仿宋_GB2312" w:hAnsi="仿宋_GB2312" w:eastAsia="仿宋_GB2312" w:cs="仿宋_GB2312"/>
          <w:sz w:val="32"/>
          <w:szCs w:val="32"/>
          <w:lang w:val="zh-CN"/>
        </w:rPr>
        <w:t>。</w:t>
      </w:r>
    </w:p>
    <w:p w14:paraId="5E1F25F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10.一般公共服务支出（类）政协事务（款）政协会议（项）:支出决算数为0.00万元，比上年决算减少15.00万元，下降100%，主要原因是：本年单位减少奇台县</w:t>
      </w:r>
      <w:r>
        <w:rPr>
          <w:rFonts w:hint="eastAsia" w:ascii="仿宋_GB2312" w:eastAsia="仿宋_GB2312"/>
          <w:sz w:val="32"/>
          <w:szCs w:val="32"/>
          <w:lang w:val="zh-CN"/>
        </w:rPr>
        <w:t>政协会议</w:t>
      </w:r>
      <w:r>
        <w:rPr>
          <w:rFonts w:hint="eastAsia" w:ascii="仿宋_GB2312" w:eastAsia="仿宋_GB2312"/>
          <w:sz w:val="32"/>
          <w:szCs w:val="32"/>
          <w:lang w:val="en-US" w:eastAsia="zh-CN"/>
        </w:rPr>
        <w:t>经费</w:t>
      </w:r>
      <w:r>
        <w:rPr>
          <w:rFonts w:hint="eastAsia" w:ascii="仿宋_GB2312" w:hAnsi="仿宋_GB2312" w:eastAsia="仿宋_GB2312" w:cs="仿宋_GB2312"/>
          <w:sz w:val="32"/>
          <w:szCs w:val="32"/>
          <w:lang w:val="zh-CN"/>
        </w:rPr>
        <w:t>。</w:t>
      </w:r>
    </w:p>
    <w:p w14:paraId="6C0015C6">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11.卫生健康支出（类）行政事业单位医疗（款）事业单位医疗（项）:支出决算数</w:t>
      </w:r>
      <w:bookmarkStart w:id="58" w:name="_GoBack"/>
      <w:bookmarkEnd w:id="58"/>
      <w:r>
        <w:rPr>
          <w:rFonts w:hint="eastAsia" w:ascii="仿宋_GB2312" w:hAnsi="仿宋_GB2312" w:eastAsia="仿宋_GB2312" w:cs="仿宋_GB2312"/>
          <w:sz w:val="32"/>
          <w:szCs w:val="32"/>
        </w:rPr>
        <w:t>为0.00万元，比上年决算减少1.55万元，下降100%，主要原因是：</w:t>
      </w:r>
      <w:r>
        <w:rPr>
          <w:rFonts w:hint="eastAsia" w:ascii="仿宋_GB2312" w:eastAsia="仿宋_GB2312"/>
          <w:sz w:val="32"/>
          <w:szCs w:val="32"/>
          <w:lang w:val="zh-CN"/>
        </w:rPr>
        <w:t>单位科目调整，本年此科目减少职工基本医疗保险缴费</w:t>
      </w:r>
      <w:r>
        <w:rPr>
          <w:rFonts w:hint="eastAsia" w:ascii="仿宋_GB2312" w:hAnsi="仿宋_GB2312" w:eastAsia="仿宋_GB2312" w:cs="仿宋_GB2312"/>
          <w:sz w:val="32"/>
          <w:szCs w:val="32"/>
          <w:lang w:val="zh-CN"/>
        </w:rPr>
        <w:t>。</w:t>
      </w:r>
    </w:p>
    <w:p w14:paraId="5A502ABD">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50847E62">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365.64万元，其中：人员经费326.62万元，包括：基本工资、津贴补贴、奖金、绩效工资、机关事业单位基本养老保险缴费、职业年金缴费、职工基本医疗保险缴费、公务员医疗补助缴费、其他社会保障缴费、住房公积金、其他工资福利支出、退休费、奖励金。</w:t>
      </w:r>
    </w:p>
    <w:p w14:paraId="05F15AC2">
      <w:pPr>
        <w:ind w:firstLine="640" w:firstLineChars="200"/>
        <w:jc w:val="left"/>
        <w:rPr>
          <w:rFonts w:ascii="仿宋_GB2312" w:eastAsia="仿宋_GB2312"/>
          <w:sz w:val="32"/>
          <w:szCs w:val="32"/>
        </w:rPr>
      </w:pPr>
      <w:r>
        <w:rPr>
          <w:rFonts w:hint="eastAsia" w:ascii="仿宋_GB2312" w:eastAsia="仿宋_GB2312"/>
          <w:sz w:val="32"/>
          <w:szCs w:val="32"/>
        </w:rPr>
        <w:t>公用经费39.02万元，包括：办公费、邮电费、差旅费、租赁费、会议费、劳务费、公务用车运行维护费。</w:t>
      </w:r>
    </w:p>
    <w:p w14:paraId="17338032">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2DC9CF17">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“三公”经费支出6.90万元，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主要原因是：与上年对比无差异。其中：因公出国（境）费支出0.00万元，占0.00%，比上年增加0.00万元，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主要原因是：本年无此项经费；公务用车购置及运行维护费支出6.90万元，占100.00%，比上年增加0.00万元，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主要原因是：与上年对比无差异；公务接待费支出0.00万元，占0.00%，比上年增加0.00万元，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主要原因是：本年无此项经费。</w:t>
      </w:r>
    </w:p>
    <w:p w14:paraId="321A5F6D">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38CBA9AC">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因公出国（境）费支出0.00万元，开支内容包括本年无此项经费。单位全年安排的因公出国（境）团组0个，因公出国（境）0人次。</w:t>
      </w:r>
    </w:p>
    <w:p w14:paraId="7838F37D">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公务用车购置及运行维护费6.90万元，其中：公务用车购置费0.00万元，公务用车运行维护费6.90万元。公务用车运行维护费开支内容包括</w:t>
      </w:r>
      <w:bookmarkStart w:id="24" w:name="_Hlk176442988"/>
      <w:r>
        <w:rPr>
          <w:rFonts w:hint="eastAsia" w:ascii="仿宋_GB2312" w:eastAsia="仿宋_GB2312" w:cs="仿宋_GB2312"/>
          <w:kern w:val="0"/>
          <w:sz w:val="32"/>
          <w:szCs w:val="32"/>
        </w:rPr>
        <w:t>公务用车燃油费、车辆维修维护费、保险费、过路费等</w:t>
      </w:r>
      <w:bookmarkEnd w:id="24"/>
      <w:r>
        <w:rPr>
          <w:rFonts w:hint="eastAsia" w:ascii="仿宋_GB2312" w:eastAsia="仿宋_GB2312"/>
          <w:sz w:val="32"/>
          <w:szCs w:val="32"/>
          <w:lang w:val="zh-CN"/>
        </w:rPr>
        <w:t>。公务用车购置数0辆，公务用车保有量4辆。国有资产占用情况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4辆，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w:t>
      </w:r>
      <w:bookmarkStart w:id="25" w:name="_Hlk181961318"/>
      <w:r>
        <w:rPr>
          <w:rFonts w:hint="eastAsia" w:ascii="仿宋_GB2312" w:eastAsia="仿宋_GB2312"/>
          <w:sz w:val="32"/>
          <w:szCs w:val="32"/>
          <w:lang w:val="zh-CN"/>
        </w:rPr>
        <w:t>国有资产车辆与公务用车保有量无差异</w:t>
      </w:r>
      <w:bookmarkEnd w:id="25"/>
      <w:r>
        <w:rPr>
          <w:rFonts w:hint="eastAsia" w:ascii="仿宋_GB2312" w:eastAsia="仿宋_GB2312"/>
          <w:sz w:val="32"/>
          <w:szCs w:val="32"/>
          <w:lang w:val="zh-CN"/>
        </w:rPr>
        <w:t>。</w:t>
      </w:r>
    </w:p>
    <w:p w14:paraId="3BE1F19B">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公务接待费0.00万元，开支内容包括本年无此项经费。单位全年安排的国内公务接待0批次，0人次。</w:t>
      </w:r>
    </w:p>
    <w:p w14:paraId="65FE9010">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预算数6.90万元，决算数6.90万元，预决算差异率0.00%，主要原因是：</w:t>
      </w:r>
      <w:bookmarkStart w:id="26" w:name="_Hlk176443013"/>
      <w:r>
        <w:rPr>
          <w:rFonts w:hint="eastAsia" w:ascii="仿宋_GB2312" w:eastAsia="仿宋_GB2312"/>
          <w:sz w:val="32"/>
          <w:szCs w:val="32"/>
          <w:lang w:val="zh-CN"/>
        </w:rPr>
        <w:t>本年严格按年初预算执行“三公”经费，预决算对比无差异</w:t>
      </w:r>
      <w:bookmarkEnd w:id="26"/>
      <w:r>
        <w:rPr>
          <w:rFonts w:hint="eastAsia" w:ascii="仿宋_GB2312" w:eastAsia="仿宋_GB2312"/>
          <w:sz w:val="32"/>
          <w:szCs w:val="32"/>
          <w:lang w:val="zh-CN"/>
        </w:rPr>
        <w:t>。其中：因公出国（境）费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预算数6.90万元，决算数6.90万元，预决算差异率0.00%，主要原因是：本年严格按年初预算执行“三公”经费，预决算对比无差异；公务接待费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预算数0.00万元，决算数0.00万元，预决算差异率0.00%，主要原因是：本年无此项经费。</w:t>
      </w:r>
    </w:p>
    <w:p w14:paraId="71E99DF6">
      <w:pPr>
        <w:ind w:firstLine="640" w:firstLineChars="200"/>
        <w:jc w:val="left"/>
        <w:outlineLvl w:val="1"/>
        <w:rPr>
          <w:rFonts w:hint="eastAsia" w:ascii="黑体" w:hAnsi="黑体" w:eastAsia="黑体" w:cs="宋体"/>
          <w:bCs/>
          <w:kern w:val="0"/>
          <w:sz w:val="32"/>
          <w:szCs w:val="32"/>
        </w:rPr>
      </w:pPr>
      <w:bookmarkStart w:id="27" w:name="_Toc7927"/>
      <w:bookmarkStart w:id="28" w:name="_Toc5810"/>
      <w:r>
        <w:rPr>
          <w:rFonts w:hint="eastAsia" w:ascii="黑体" w:hAnsi="黑体" w:eastAsia="黑体" w:cs="宋体"/>
          <w:bCs/>
          <w:kern w:val="0"/>
          <w:sz w:val="32"/>
          <w:szCs w:val="32"/>
        </w:rPr>
        <w:t>八、政府性基金预算财政拨款收入支出决算情况说明</w:t>
      </w:r>
      <w:bookmarkEnd w:id="27"/>
      <w:bookmarkEnd w:id="28"/>
    </w:p>
    <w:p w14:paraId="2A5DD2A4">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6C66A32F">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388F3876">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6975E067">
      <w:pPr>
        <w:ind w:firstLine="640" w:firstLineChars="200"/>
        <w:jc w:val="left"/>
        <w:outlineLvl w:val="1"/>
        <w:rPr>
          <w:rFonts w:hint="eastAsia" w:ascii="黑体" w:hAnsi="黑体" w:eastAsia="黑体" w:cs="宋体"/>
          <w:bCs/>
          <w:kern w:val="0"/>
          <w:sz w:val="32"/>
          <w:szCs w:val="32"/>
        </w:rPr>
      </w:pPr>
      <w:bookmarkStart w:id="29" w:name="_Toc7314"/>
      <w:bookmarkStart w:id="30" w:name="_Toc1235"/>
      <w:r>
        <w:rPr>
          <w:rFonts w:hint="eastAsia" w:ascii="黑体" w:hAnsi="黑体" w:eastAsia="黑体" w:cs="宋体"/>
          <w:bCs/>
          <w:kern w:val="0"/>
          <w:sz w:val="32"/>
          <w:szCs w:val="32"/>
        </w:rPr>
        <w:t>十、其他重要事项的情况说明</w:t>
      </w:r>
      <w:bookmarkEnd w:id="29"/>
      <w:bookmarkEnd w:id="30"/>
    </w:p>
    <w:p w14:paraId="6A2ED1F1">
      <w:pPr>
        <w:ind w:firstLine="640" w:firstLineChars="200"/>
        <w:jc w:val="left"/>
        <w:outlineLvl w:val="2"/>
        <w:rPr>
          <w:rFonts w:hint="eastAsia" w:ascii="黑体" w:hAnsi="黑体" w:eastAsia="黑体"/>
          <w:sz w:val="32"/>
          <w:szCs w:val="32"/>
        </w:rPr>
      </w:pPr>
      <w:bookmarkStart w:id="31" w:name="_Toc13105"/>
      <w:bookmarkStart w:id="32" w:name="_Toc14519"/>
      <w:r>
        <w:rPr>
          <w:rFonts w:hint="eastAsia" w:ascii="黑体" w:hAnsi="黑体" w:eastAsia="黑体"/>
          <w:sz w:val="32"/>
          <w:szCs w:val="32"/>
        </w:rPr>
        <w:t>（一）机关运行经费支出情况</w:t>
      </w:r>
      <w:bookmarkEnd w:id="31"/>
      <w:bookmarkEnd w:id="32"/>
    </w:p>
    <w:p w14:paraId="2138F46D">
      <w:pPr>
        <w:ind w:firstLine="640" w:firstLineChars="200"/>
        <w:rPr>
          <w:rFonts w:hint="eastAsia" w:ascii="仿宋_GB2312" w:hAnsi="仿宋_GB2312" w:eastAsia="仿宋_GB2312" w:cs="仿宋_GB2312"/>
          <w:sz w:val="32"/>
          <w:szCs w:val="32"/>
          <w:lang w:val="zh-CN"/>
        </w:rPr>
      </w:pPr>
      <w:bookmarkStart w:id="33" w:name="_Toc26704"/>
      <w:bookmarkStart w:id="34"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中国人民政治协商会议奇台县委员会（行政单位和参照公务员法管理事业单位）机关运行经费支出39.02万元，</w:t>
      </w:r>
      <w:r>
        <w:rPr>
          <w:rFonts w:hint="eastAsia" w:ascii="仿宋_GB2312" w:hAnsi="仿宋_GB2312" w:eastAsia="仿宋_GB2312" w:cs="仿宋_GB2312"/>
          <w:sz w:val="32"/>
          <w:szCs w:val="32"/>
          <w:lang w:val="zh-CN"/>
        </w:rPr>
        <w:t>比上年增加24.68万元，增长172.11%，主要原因是：本年单位办公费、租赁费、会议费、劳务费等较上年增加。</w:t>
      </w:r>
    </w:p>
    <w:p w14:paraId="2105C654">
      <w:pPr>
        <w:ind w:firstLine="640" w:firstLineChars="200"/>
        <w:jc w:val="left"/>
        <w:rPr>
          <w:rFonts w:eastAsia="黑体"/>
          <w:sz w:val="32"/>
          <w:szCs w:val="30"/>
          <w:lang w:val="zh-CN"/>
        </w:rPr>
      </w:pPr>
      <w:r>
        <w:rPr>
          <w:rFonts w:hint="eastAsia" w:eastAsia="黑体"/>
          <w:sz w:val="32"/>
          <w:szCs w:val="30"/>
          <w:lang w:val="zh-CN"/>
        </w:rPr>
        <w:t>（二）政府采购情况</w:t>
      </w:r>
      <w:bookmarkEnd w:id="33"/>
      <w:bookmarkEnd w:id="34"/>
    </w:p>
    <w:p w14:paraId="759637FD">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2023年度政府采购支出总额38.89万元，其中：政府采购货物支出16.37万元、政府采购工程支出0.00万元、政府采购服务支出22.52万元。</w:t>
      </w:r>
    </w:p>
    <w:p w14:paraId="1EEEDCF3">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授予中小企业合同金额36.23万元，占政府采购支出总额的93.16%，其中：授予小微企业合同金额36.23万元，占政府采购支出总额的93.16%</w:t>
      </w:r>
      <w:r>
        <w:rPr>
          <w:rFonts w:hint="eastAsia" w:ascii="仿宋_GB2312" w:hAnsi="仿宋_GB2312" w:eastAsia="仿宋_GB2312" w:cs="仿宋_GB2312"/>
          <w:sz w:val="32"/>
          <w:szCs w:val="32"/>
        </w:rPr>
        <w:t>。</w:t>
      </w:r>
    </w:p>
    <w:p w14:paraId="4C9F0974">
      <w:pPr>
        <w:ind w:firstLine="640" w:firstLineChars="200"/>
        <w:jc w:val="left"/>
        <w:rPr>
          <w:rFonts w:hint="eastAsia" w:ascii="仿宋_GB2312" w:hAnsi="仿宋_GB2312" w:eastAsia="仿宋_GB2312" w:cs="仿宋_GB2312"/>
          <w:sz w:val="32"/>
          <w:szCs w:val="30"/>
          <w:lang w:val="zh-CN"/>
        </w:rPr>
      </w:pPr>
      <w:bookmarkStart w:id="35" w:name="_Toc4591"/>
      <w:bookmarkStart w:id="36" w:name="_Toc8391"/>
      <w:r>
        <w:rPr>
          <w:rFonts w:hint="eastAsia" w:eastAsia="黑体"/>
          <w:sz w:val="32"/>
          <w:szCs w:val="30"/>
          <w:lang w:val="zh-CN"/>
        </w:rPr>
        <w:t>（三）国有资产占用情况说明</w:t>
      </w:r>
      <w:bookmarkEnd w:id="35"/>
      <w:bookmarkEnd w:id="36"/>
    </w:p>
    <w:p w14:paraId="0C3A834E">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174.18</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屋1,700.00平方米，价值19.70万元。车辆4辆，价值99.94万元，其中：副部（省）级及以上领导用车0辆、主要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用车0辆、其他用车4辆，其他用车主要是：单位业务用车；单价100万元（含）以上设备（不含车辆）0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3BCC0AD9">
      <w:pPr>
        <w:ind w:firstLine="640" w:firstLineChars="200"/>
        <w:jc w:val="left"/>
        <w:outlineLvl w:val="1"/>
        <w:rPr>
          <w:rFonts w:hint="eastAsia" w:ascii="黑体" w:hAnsi="黑体" w:eastAsia="黑体" w:cs="宋体"/>
          <w:bCs/>
          <w:kern w:val="0"/>
          <w:sz w:val="32"/>
          <w:szCs w:val="32"/>
        </w:rPr>
      </w:pPr>
      <w:bookmarkStart w:id="37" w:name="_Toc11283"/>
      <w:bookmarkStart w:id="38" w:name="_Toc435"/>
      <w:r>
        <w:rPr>
          <w:rFonts w:hint="eastAsia" w:ascii="黑体" w:hAnsi="黑体" w:eastAsia="黑体" w:cs="宋体"/>
          <w:bCs/>
          <w:kern w:val="0"/>
          <w:sz w:val="32"/>
          <w:szCs w:val="32"/>
        </w:rPr>
        <w:t>十一、预算绩效的情况说明</w:t>
      </w:r>
      <w:bookmarkEnd w:id="37"/>
      <w:bookmarkEnd w:id="38"/>
    </w:p>
    <w:p w14:paraId="1DC8F390">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381.54</w:t>
      </w:r>
      <w:r>
        <w:rPr>
          <w:rFonts w:hint="eastAsia" w:ascii="仿宋_GB2312" w:eastAsia="仿宋_GB2312"/>
          <w:sz w:val="32"/>
          <w:szCs w:val="32"/>
        </w:rPr>
        <w:t>万元，实际执行总额</w:t>
      </w:r>
      <w:r>
        <w:rPr>
          <w:rFonts w:ascii="仿宋_GB2312" w:eastAsia="仿宋_GB2312"/>
          <w:sz w:val="32"/>
          <w:szCs w:val="32"/>
        </w:rPr>
        <w:t>381.54</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w:t>
      </w:r>
      <w:r>
        <w:rPr>
          <w:rFonts w:ascii="仿宋_GB2312" w:eastAsia="仿宋_GB2312"/>
          <w:sz w:val="32"/>
          <w:szCs w:val="32"/>
        </w:rPr>
        <w:t>2</w:t>
      </w:r>
      <w:r>
        <w:rPr>
          <w:rFonts w:hint="eastAsia" w:ascii="仿宋_GB2312" w:eastAsia="仿宋_GB2312"/>
          <w:sz w:val="32"/>
          <w:szCs w:val="32"/>
        </w:rPr>
        <w:t>个，全年预算数</w:t>
      </w:r>
      <w:r>
        <w:rPr>
          <w:rFonts w:ascii="仿宋_GB2312" w:eastAsia="仿宋_GB2312"/>
          <w:sz w:val="32"/>
          <w:szCs w:val="32"/>
        </w:rPr>
        <w:t>15.9</w:t>
      </w:r>
      <w:r>
        <w:rPr>
          <w:rFonts w:hint="eastAsia" w:ascii="仿宋_GB2312" w:eastAsia="仿宋_GB2312"/>
          <w:sz w:val="32"/>
          <w:szCs w:val="32"/>
        </w:rPr>
        <w:t>0万元，全年执行数</w:t>
      </w:r>
      <w:r>
        <w:rPr>
          <w:rFonts w:ascii="仿宋_GB2312" w:eastAsia="仿宋_GB2312"/>
          <w:sz w:val="32"/>
          <w:szCs w:val="32"/>
        </w:rPr>
        <w:t>15.9</w:t>
      </w:r>
      <w:r>
        <w:rPr>
          <w:rFonts w:hint="eastAsia" w:ascii="仿宋_GB2312" w:eastAsia="仿宋_GB2312"/>
          <w:sz w:val="32"/>
          <w:szCs w:val="32"/>
        </w:rPr>
        <w:t>0万元。预算绩效管理取得的成效：一是政协奇台县委员会建立健全了预算管理规章制度，各部门严格按预算编制的原则和要求做好当年预算编制工作，在预算绩效管理工作中，做到合理安排各项资金，重点保障基本支出，按轻重缓急顺序原则，优先安排了政协奇台县委员会事业发展中关系民生与稳定的项目，切实优化资源配置，提高了资金使用的效率和效果；二是严格坚持先做事、后验收、再拨付的原则，基本杜绝了资金被挤占和挪用现象的发生，跟踪检查到位。发现的问题及原因：一是相关绩效管理方面专业知识的系统性学习有待加强；二是受各种客观原因限制，预算资金支出进度与计划不符，整体绩效管理不强，预算绩效管理主体责任意识有待提高，绩效管理工作还存在被动情况。下一步改进措施：一是增强部门绩效管理意识，强化绩效管理工作队伍建设；二是对本单位当年度的各项工作做到心中有数，统筹安排，合理配置不断完善支出结构，提高资金使用率，进一步完善预算管理体制，加强项目开展进度的跟踪，开展项目进行评价，确保项目进行目标完成。具体项目自评情况附绩效自评表及自评报告。</w:t>
      </w:r>
    </w:p>
    <w:p w14:paraId="41348ECA">
      <w:pPr>
        <w:jc w:val="center"/>
        <w:rPr>
          <w:rFonts w:hint="eastAsia" w:ascii="宋体" w:hAnsi="宋体" w:cs="宋体"/>
          <w:b/>
          <w:bCs/>
          <w:kern w:val="0"/>
          <w:sz w:val="28"/>
          <w:szCs w:val="28"/>
        </w:rPr>
      </w:pPr>
      <w:bookmarkStart w:id="39" w:name="_Hlk174962300"/>
      <w:r>
        <w:rPr>
          <w:rFonts w:hint="eastAsia" w:ascii="宋体" w:hAnsi="宋体" w:cs="宋体"/>
          <w:b/>
          <w:bCs/>
          <w:kern w:val="0"/>
          <w:sz w:val="28"/>
          <w:szCs w:val="28"/>
        </w:rPr>
        <w:t>部门（单位）整体支出绩效目标自评表</w:t>
      </w:r>
    </w:p>
    <w:p w14:paraId="1856AD0F">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2B2C7E04">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039CB7A">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543FD58B">
            <w:pPr>
              <w:jc w:val="center"/>
            </w:pPr>
            <w:r>
              <w:rPr>
                <w:rFonts w:ascii="宋体" w:hAnsi="宋体"/>
                <w:sz w:val="18"/>
              </w:rPr>
              <w:t>中国人民政治协商会议奇台县委员会</w:t>
            </w:r>
          </w:p>
        </w:tc>
        <w:tc>
          <w:tcPr>
            <w:tcW w:w="284" w:type="dxa"/>
            <w:tcBorders>
              <w:top w:val="nil"/>
              <w:left w:val="nil"/>
              <w:bottom w:val="nil"/>
              <w:right w:val="nil"/>
            </w:tcBorders>
            <w:shd w:val="clear" w:color="auto" w:fill="auto"/>
            <w:noWrap/>
            <w:vAlign w:val="center"/>
          </w:tcPr>
          <w:p w14:paraId="2FF0279D">
            <w:pPr>
              <w:widowControl/>
              <w:jc w:val="left"/>
              <w:rPr>
                <w:rFonts w:hint="eastAsia" w:ascii="宋体" w:hAnsi="宋体" w:cs="宋体"/>
                <w:b/>
                <w:bCs/>
                <w:kern w:val="0"/>
                <w:sz w:val="18"/>
                <w:szCs w:val="18"/>
              </w:rPr>
            </w:pPr>
          </w:p>
        </w:tc>
      </w:tr>
      <w:tr w14:paraId="3A33CEF2">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4EB19F8">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2A5039FA">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62CD0176">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14:paraId="6DBDFD4E">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701" w:type="dxa"/>
            <w:tcBorders>
              <w:top w:val="nil"/>
              <w:left w:val="nil"/>
              <w:bottom w:val="single" w:color="auto" w:sz="4" w:space="0"/>
              <w:right w:val="single" w:color="auto" w:sz="4" w:space="0"/>
            </w:tcBorders>
            <w:shd w:val="clear" w:color="auto" w:fill="auto"/>
            <w:vAlign w:val="center"/>
          </w:tcPr>
          <w:p w14:paraId="2CAB99B1">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134" w:type="dxa"/>
            <w:tcBorders>
              <w:top w:val="nil"/>
              <w:left w:val="nil"/>
              <w:bottom w:val="single" w:color="auto" w:sz="4" w:space="0"/>
              <w:right w:val="single" w:color="auto" w:sz="4" w:space="0"/>
            </w:tcBorders>
            <w:shd w:val="clear" w:color="auto" w:fill="auto"/>
            <w:vAlign w:val="center"/>
          </w:tcPr>
          <w:p w14:paraId="4E33D49F">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3570AFE1">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3F181598">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1A012D4E">
            <w:pPr>
              <w:widowControl/>
              <w:jc w:val="center"/>
              <w:rPr>
                <w:rFonts w:hint="eastAsia" w:ascii="宋体" w:hAnsi="宋体" w:cs="宋体"/>
                <w:b/>
                <w:bCs/>
                <w:kern w:val="0"/>
                <w:sz w:val="18"/>
                <w:szCs w:val="18"/>
              </w:rPr>
            </w:pPr>
          </w:p>
        </w:tc>
      </w:tr>
      <w:tr w14:paraId="7D2EFC8E">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096E9EF">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689975BA">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14:paraId="62463CCE">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3B979BAE">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423C2AD1">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19436E24">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14:paraId="4AE5293A">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vAlign w:val="center"/>
          </w:tcPr>
          <w:p w14:paraId="546B8138">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3B491171">
            <w:pPr>
              <w:widowControl/>
              <w:jc w:val="center"/>
              <w:rPr>
                <w:rFonts w:hint="eastAsia" w:ascii="宋体" w:hAnsi="宋体" w:cs="宋体"/>
                <w:b/>
                <w:bCs/>
                <w:kern w:val="0"/>
                <w:sz w:val="18"/>
                <w:szCs w:val="18"/>
              </w:rPr>
            </w:pPr>
          </w:p>
        </w:tc>
      </w:tr>
      <w:tr w14:paraId="3D1B2A0E">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E9BD1FE">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AD3C13D">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14:paraId="78A8EAF8">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034B1393">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723A9C08">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4D80D080">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61CB9723">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5A721558">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65A9C5EE">
            <w:pPr>
              <w:widowControl/>
              <w:jc w:val="center"/>
              <w:rPr>
                <w:rFonts w:hint="eastAsia" w:ascii="宋体" w:hAnsi="宋体" w:cs="宋体"/>
                <w:kern w:val="0"/>
                <w:sz w:val="18"/>
                <w:szCs w:val="18"/>
              </w:rPr>
            </w:pPr>
          </w:p>
        </w:tc>
      </w:tr>
      <w:tr w14:paraId="3D3E6D1F">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62938D2">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675B30C">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nil"/>
              <w:left w:val="nil"/>
              <w:bottom w:val="single" w:color="auto" w:sz="4" w:space="0"/>
              <w:right w:val="single" w:color="auto" w:sz="4" w:space="0"/>
            </w:tcBorders>
            <w:shd w:val="clear" w:color="auto" w:fill="auto"/>
            <w:vAlign w:val="center"/>
          </w:tcPr>
          <w:p w14:paraId="6C629645">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1D2BB6C6">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310F9E60">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3F3B978D">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6C31CB6B">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4D55C7D9">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6EE0B2F6">
            <w:pPr>
              <w:widowControl/>
              <w:jc w:val="center"/>
              <w:rPr>
                <w:rFonts w:hint="eastAsia" w:ascii="宋体" w:hAnsi="宋体" w:cs="宋体"/>
                <w:kern w:val="0"/>
                <w:sz w:val="18"/>
                <w:szCs w:val="18"/>
              </w:rPr>
            </w:pPr>
          </w:p>
        </w:tc>
      </w:tr>
      <w:tr w14:paraId="732AF9E8">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EED0B84">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6DF84D9">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nil"/>
              <w:left w:val="nil"/>
              <w:bottom w:val="single" w:color="auto" w:sz="4" w:space="0"/>
              <w:right w:val="single" w:color="auto" w:sz="4" w:space="0"/>
            </w:tcBorders>
            <w:shd w:val="clear" w:color="auto" w:fill="auto"/>
            <w:vAlign w:val="center"/>
          </w:tcPr>
          <w:p w14:paraId="47F82DA8">
            <w:pPr>
              <w:jc w:val="center"/>
            </w:pPr>
            <w:r>
              <w:rPr>
                <w:rFonts w:ascii="宋体" w:hAnsi="宋体"/>
                <w:sz w:val="18"/>
              </w:rPr>
              <w:t>418.77</w:t>
            </w:r>
          </w:p>
        </w:tc>
        <w:tc>
          <w:tcPr>
            <w:tcW w:w="1276" w:type="dxa"/>
            <w:tcBorders>
              <w:top w:val="nil"/>
              <w:left w:val="nil"/>
              <w:bottom w:val="single" w:color="auto" w:sz="4" w:space="0"/>
              <w:right w:val="single" w:color="auto" w:sz="4" w:space="0"/>
            </w:tcBorders>
            <w:shd w:val="clear" w:color="auto" w:fill="auto"/>
            <w:vAlign w:val="center"/>
          </w:tcPr>
          <w:p w14:paraId="16FC620C">
            <w:pPr>
              <w:jc w:val="center"/>
            </w:pPr>
            <w:r>
              <w:rPr>
                <w:rFonts w:ascii="宋体" w:hAnsi="宋体"/>
                <w:sz w:val="18"/>
              </w:rPr>
              <w:t>381.54</w:t>
            </w:r>
          </w:p>
        </w:tc>
        <w:tc>
          <w:tcPr>
            <w:tcW w:w="1701" w:type="dxa"/>
            <w:tcBorders>
              <w:top w:val="nil"/>
              <w:left w:val="nil"/>
              <w:bottom w:val="single" w:color="auto" w:sz="4" w:space="0"/>
              <w:right w:val="single" w:color="auto" w:sz="4" w:space="0"/>
            </w:tcBorders>
            <w:shd w:val="clear" w:color="auto" w:fill="auto"/>
            <w:vAlign w:val="center"/>
          </w:tcPr>
          <w:p w14:paraId="6B4A1BEE">
            <w:pPr>
              <w:jc w:val="center"/>
            </w:pPr>
            <w:r>
              <w:rPr>
                <w:rFonts w:ascii="宋体" w:hAnsi="宋体"/>
                <w:sz w:val="18"/>
              </w:rPr>
              <w:t>381.54</w:t>
            </w:r>
          </w:p>
        </w:tc>
        <w:tc>
          <w:tcPr>
            <w:tcW w:w="1134" w:type="dxa"/>
            <w:tcBorders>
              <w:top w:val="nil"/>
              <w:left w:val="nil"/>
              <w:bottom w:val="single" w:color="auto" w:sz="4" w:space="0"/>
              <w:right w:val="single" w:color="auto" w:sz="4" w:space="0"/>
            </w:tcBorders>
            <w:shd w:val="clear" w:color="auto" w:fill="auto"/>
            <w:vAlign w:val="center"/>
          </w:tcPr>
          <w:p w14:paraId="151E74CC">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4C7368FC">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28F7234">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541CE285">
            <w:pPr>
              <w:widowControl/>
              <w:jc w:val="center"/>
              <w:rPr>
                <w:rFonts w:hint="eastAsia" w:ascii="宋体" w:hAnsi="宋体" w:cs="宋体"/>
                <w:kern w:val="0"/>
                <w:sz w:val="18"/>
                <w:szCs w:val="18"/>
              </w:rPr>
            </w:pPr>
          </w:p>
        </w:tc>
      </w:tr>
      <w:tr w14:paraId="63010E3F">
        <w:tblPrEx>
          <w:tblCellMar>
            <w:top w:w="0" w:type="dxa"/>
            <w:left w:w="108" w:type="dxa"/>
            <w:bottom w:w="0" w:type="dxa"/>
            <w:right w:w="108" w:type="dxa"/>
          </w:tblCellMar>
        </w:tblPrEx>
        <w:trPr>
          <w:cantSplit/>
          <w:trHeight w:val="458"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2C23835">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7FF33E10">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nil"/>
              <w:left w:val="nil"/>
              <w:bottom w:val="single" w:color="auto" w:sz="4" w:space="0"/>
              <w:right w:val="single" w:color="auto" w:sz="4" w:space="0"/>
            </w:tcBorders>
            <w:shd w:val="clear" w:color="auto" w:fill="auto"/>
            <w:vAlign w:val="center"/>
          </w:tcPr>
          <w:p w14:paraId="31A0F2D6">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0690BB83">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797633CE">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46AE4DE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27EFC906">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34FFBBCE">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51D49265">
            <w:pPr>
              <w:widowControl/>
              <w:jc w:val="center"/>
              <w:rPr>
                <w:rFonts w:hint="eastAsia" w:ascii="宋体" w:hAnsi="宋体" w:cs="宋体"/>
                <w:kern w:val="0"/>
                <w:sz w:val="18"/>
                <w:szCs w:val="18"/>
              </w:rPr>
            </w:pPr>
          </w:p>
        </w:tc>
      </w:tr>
      <w:tr w14:paraId="3DF14A24">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A8C73C2">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941B065">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nil"/>
              <w:left w:val="nil"/>
              <w:bottom w:val="single" w:color="auto" w:sz="4" w:space="0"/>
              <w:right w:val="single" w:color="auto" w:sz="4" w:space="0"/>
            </w:tcBorders>
            <w:shd w:val="clear" w:color="auto" w:fill="auto"/>
            <w:vAlign w:val="center"/>
          </w:tcPr>
          <w:p w14:paraId="2818E125">
            <w:pPr>
              <w:jc w:val="center"/>
            </w:pPr>
            <w:r>
              <w:rPr>
                <w:rFonts w:ascii="宋体" w:hAnsi="宋体"/>
                <w:sz w:val="18"/>
              </w:rPr>
              <w:t>418.77</w:t>
            </w:r>
          </w:p>
        </w:tc>
        <w:tc>
          <w:tcPr>
            <w:tcW w:w="1276" w:type="dxa"/>
            <w:tcBorders>
              <w:top w:val="nil"/>
              <w:left w:val="nil"/>
              <w:bottom w:val="single" w:color="auto" w:sz="4" w:space="0"/>
              <w:right w:val="single" w:color="auto" w:sz="4" w:space="0"/>
            </w:tcBorders>
            <w:shd w:val="clear" w:color="auto" w:fill="auto"/>
            <w:vAlign w:val="center"/>
          </w:tcPr>
          <w:p w14:paraId="5D8202BC">
            <w:pPr>
              <w:jc w:val="center"/>
            </w:pPr>
            <w:r>
              <w:rPr>
                <w:rFonts w:ascii="宋体" w:hAnsi="宋体"/>
                <w:sz w:val="18"/>
              </w:rPr>
              <w:t>381.54</w:t>
            </w:r>
          </w:p>
        </w:tc>
        <w:tc>
          <w:tcPr>
            <w:tcW w:w="1701" w:type="dxa"/>
            <w:tcBorders>
              <w:top w:val="nil"/>
              <w:left w:val="nil"/>
              <w:bottom w:val="single" w:color="auto" w:sz="4" w:space="0"/>
              <w:right w:val="single" w:color="auto" w:sz="4" w:space="0"/>
            </w:tcBorders>
            <w:shd w:val="clear" w:color="auto" w:fill="auto"/>
            <w:vAlign w:val="center"/>
          </w:tcPr>
          <w:p w14:paraId="5FAFCC46">
            <w:pPr>
              <w:jc w:val="center"/>
            </w:pPr>
            <w:r>
              <w:rPr>
                <w:rFonts w:ascii="宋体" w:hAnsi="宋体"/>
                <w:sz w:val="18"/>
              </w:rPr>
              <w:t>381.54</w:t>
            </w:r>
          </w:p>
        </w:tc>
        <w:tc>
          <w:tcPr>
            <w:tcW w:w="1134" w:type="dxa"/>
            <w:tcBorders>
              <w:top w:val="nil"/>
              <w:left w:val="nil"/>
              <w:bottom w:val="single" w:color="auto" w:sz="4" w:space="0"/>
              <w:right w:val="single" w:color="auto" w:sz="4" w:space="0"/>
            </w:tcBorders>
            <w:shd w:val="clear" w:color="auto" w:fill="auto"/>
            <w:vAlign w:val="center"/>
          </w:tcPr>
          <w:p w14:paraId="763C7B6F">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095841A5">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19DB1536">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04C969ED">
            <w:pPr>
              <w:widowControl/>
              <w:jc w:val="center"/>
              <w:rPr>
                <w:rFonts w:hint="eastAsia" w:ascii="宋体" w:hAnsi="宋体" w:cs="宋体"/>
                <w:kern w:val="0"/>
                <w:sz w:val="18"/>
                <w:szCs w:val="18"/>
              </w:rPr>
            </w:pPr>
          </w:p>
        </w:tc>
      </w:tr>
      <w:tr w14:paraId="10B6BC01">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CB624E3">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14:paraId="22B20231">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14:paraId="220AD0AB">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13F3F2CF">
            <w:pPr>
              <w:widowControl/>
              <w:jc w:val="left"/>
              <w:rPr>
                <w:rFonts w:hint="eastAsia" w:ascii="宋体" w:hAnsi="宋体" w:cs="宋体"/>
                <w:b/>
                <w:bCs/>
                <w:kern w:val="0"/>
                <w:sz w:val="18"/>
                <w:szCs w:val="18"/>
              </w:rPr>
            </w:pPr>
          </w:p>
        </w:tc>
      </w:tr>
      <w:tr w14:paraId="0B81F18C">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D572CCF">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14:paraId="245ECEC1">
            <w:pPr>
              <w:jc w:val="left"/>
            </w:pPr>
            <w:r>
              <w:rPr>
                <w:rFonts w:ascii="宋体" w:hAnsi="宋体"/>
                <w:sz w:val="18"/>
              </w:rPr>
              <w:t>召开奇台县政协十五届三次全体会议一次，落实协商建言，形成协商意见；召开四次常委会会议，共商奇台县发展大计和提高人民群众生活质量。召集二次协商会议，十次视察调研，充分履行政协职能。</w:t>
            </w:r>
          </w:p>
        </w:tc>
        <w:tc>
          <w:tcPr>
            <w:tcW w:w="4547" w:type="dxa"/>
            <w:gridSpan w:val="4"/>
            <w:tcBorders>
              <w:top w:val="single" w:color="auto" w:sz="4" w:space="0"/>
              <w:left w:val="nil"/>
              <w:bottom w:val="single" w:color="auto" w:sz="4" w:space="0"/>
              <w:right w:val="single" w:color="auto" w:sz="4" w:space="0"/>
            </w:tcBorders>
            <w:shd w:val="clear" w:color="auto" w:fill="auto"/>
          </w:tcPr>
          <w:p w14:paraId="642E7583">
            <w:pPr>
              <w:jc w:val="left"/>
            </w:pPr>
            <w:r>
              <w:rPr>
                <w:rFonts w:ascii="宋体" w:hAnsi="宋体"/>
                <w:sz w:val="18"/>
              </w:rPr>
              <w:t>本年度共召开奇台县政协十五届三次全体会议1次；政协第十五届常委会议4次，政协委员视察调研活动10次，协商政府工作报告1个，完成政协委员视察调研报告5个。</w:t>
            </w:r>
          </w:p>
        </w:tc>
        <w:tc>
          <w:tcPr>
            <w:tcW w:w="284" w:type="dxa"/>
            <w:tcBorders>
              <w:top w:val="nil"/>
              <w:left w:val="nil"/>
              <w:bottom w:val="nil"/>
              <w:right w:val="nil"/>
            </w:tcBorders>
            <w:shd w:val="clear" w:color="auto" w:fill="auto"/>
            <w:noWrap/>
            <w:vAlign w:val="center"/>
          </w:tcPr>
          <w:p w14:paraId="655F13A8">
            <w:pPr>
              <w:widowControl/>
              <w:jc w:val="left"/>
              <w:rPr>
                <w:rFonts w:hint="eastAsia" w:ascii="宋体" w:hAnsi="宋体" w:cs="宋体"/>
                <w:kern w:val="0"/>
                <w:sz w:val="18"/>
                <w:szCs w:val="18"/>
              </w:rPr>
            </w:pPr>
          </w:p>
        </w:tc>
      </w:tr>
      <w:tr w14:paraId="0FF4919B">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131C2F5A">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3B51389B">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35F572E4">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14:paraId="244573D7">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701" w:type="dxa"/>
            <w:tcBorders>
              <w:top w:val="nil"/>
              <w:left w:val="nil"/>
              <w:bottom w:val="single" w:color="auto" w:sz="4" w:space="0"/>
              <w:right w:val="single" w:color="auto" w:sz="4" w:space="0"/>
            </w:tcBorders>
            <w:shd w:val="clear" w:color="auto" w:fill="auto"/>
            <w:vAlign w:val="center"/>
          </w:tcPr>
          <w:p w14:paraId="1779BEDF">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134" w:type="dxa"/>
            <w:tcBorders>
              <w:top w:val="nil"/>
              <w:left w:val="nil"/>
              <w:bottom w:val="single" w:color="auto" w:sz="4" w:space="0"/>
              <w:right w:val="single" w:color="auto" w:sz="4" w:space="0"/>
            </w:tcBorders>
            <w:shd w:val="clear" w:color="auto" w:fill="auto"/>
            <w:vAlign w:val="center"/>
          </w:tcPr>
          <w:p w14:paraId="349C3A98">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68809AEE">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14:paraId="28C481C4">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15B305DC">
            <w:pPr>
              <w:widowControl/>
              <w:jc w:val="left"/>
              <w:rPr>
                <w:rFonts w:hint="eastAsia" w:ascii="宋体" w:hAnsi="宋体" w:cs="宋体"/>
                <w:b/>
                <w:bCs/>
                <w:kern w:val="0"/>
                <w:sz w:val="18"/>
                <w:szCs w:val="18"/>
              </w:rPr>
            </w:pPr>
          </w:p>
        </w:tc>
      </w:tr>
      <w:tr w14:paraId="1652876A">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3482A221">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12929605">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1C9202FA">
            <w:pPr>
              <w:jc w:val="center"/>
            </w:pPr>
            <w:r>
              <w:rPr>
                <w:rFonts w:ascii="宋体" w:hAnsi="宋体"/>
                <w:sz w:val="18"/>
              </w:rPr>
              <w:t>政协第十五届三次全体会议次数</w:t>
            </w:r>
          </w:p>
        </w:tc>
        <w:tc>
          <w:tcPr>
            <w:tcW w:w="1276" w:type="dxa"/>
            <w:tcBorders>
              <w:top w:val="nil"/>
              <w:left w:val="nil"/>
              <w:bottom w:val="single" w:color="auto" w:sz="4" w:space="0"/>
              <w:right w:val="single" w:color="auto" w:sz="4" w:space="0"/>
            </w:tcBorders>
            <w:shd w:val="clear" w:color="auto" w:fill="auto"/>
            <w:noWrap/>
            <w:vAlign w:val="center"/>
          </w:tcPr>
          <w:p w14:paraId="2888FD66">
            <w:pPr>
              <w:jc w:val="center"/>
            </w:pPr>
            <w:r>
              <w:rPr>
                <w:rFonts w:ascii="宋体" w:hAnsi="宋体"/>
                <w:sz w:val="18"/>
              </w:rPr>
              <w:t>≥1次</w:t>
            </w:r>
          </w:p>
        </w:tc>
        <w:tc>
          <w:tcPr>
            <w:tcW w:w="1701" w:type="dxa"/>
            <w:tcBorders>
              <w:top w:val="nil"/>
              <w:left w:val="nil"/>
              <w:bottom w:val="single" w:color="auto" w:sz="4" w:space="0"/>
              <w:right w:val="single" w:color="auto" w:sz="4" w:space="0"/>
            </w:tcBorders>
            <w:shd w:val="clear" w:color="auto" w:fill="auto"/>
            <w:noWrap/>
            <w:vAlign w:val="center"/>
          </w:tcPr>
          <w:p w14:paraId="2A6DFDF5">
            <w:pPr>
              <w:jc w:val="center"/>
            </w:pPr>
            <w:r>
              <w:rPr>
                <w:rFonts w:ascii="宋体" w:hAnsi="宋体"/>
                <w:sz w:val="18"/>
              </w:rPr>
              <w:t>政协奇台县委员会2023年协商计划</w:t>
            </w:r>
          </w:p>
        </w:tc>
        <w:tc>
          <w:tcPr>
            <w:tcW w:w="1134" w:type="dxa"/>
            <w:tcBorders>
              <w:top w:val="nil"/>
              <w:left w:val="nil"/>
              <w:bottom w:val="single" w:color="auto" w:sz="4" w:space="0"/>
              <w:right w:val="single" w:color="auto" w:sz="4" w:space="0"/>
            </w:tcBorders>
            <w:shd w:val="clear" w:color="auto" w:fill="auto"/>
            <w:noWrap/>
            <w:vAlign w:val="center"/>
          </w:tcPr>
          <w:p w14:paraId="58B479EB">
            <w:pPr>
              <w:jc w:val="center"/>
            </w:pPr>
            <w:r>
              <w:rPr>
                <w:rFonts w:ascii="宋体" w:hAnsi="宋体"/>
                <w:sz w:val="18"/>
              </w:rPr>
              <w:t>30</w:t>
            </w:r>
          </w:p>
        </w:tc>
        <w:tc>
          <w:tcPr>
            <w:tcW w:w="992" w:type="dxa"/>
            <w:tcBorders>
              <w:top w:val="nil"/>
              <w:left w:val="nil"/>
              <w:bottom w:val="single" w:color="auto" w:sz="4" w:space="0"/>
              <w:right w:val="single" w:color="auto" w:sz="4" w:space="0"/>
            </w:tcBorders>
            <w:shd w:val="clear" w:color="auto" w:fill="auto"/>
            <w:noWrap/>
            <w:vAlign w:val="center"/>
          </w:tcPr>
          <w:p w14:paraId="1EB60503">
            <w:pPr>
              <w:jc w:val="center"/>
            </w:pPr>
            <w:r>
              <w:rPr>
                <w:rFonts w:ascii="宋体" w:hAnsi="宋体"/>
                <w:sz w:val="18"/>
              </w:rPr>
              <w:t>1次</w:t>
            </w:r>
          </w:p>
        </w:tc>
        <w:tc>
          <w:tcPr>
            <w:tcW w:w="720" w:type="dxa"/>
            <w:tcBorders>
              <w:top w:val="nil"/>
              <w:left w:val="nil"/>
              <w:bottom w:val="single" w:color="auto" w:sz="4" w:space="0"/>
              <w:right w:val="single" w:color="auto" w:sz="4" w:space="0"/>
            </w:tcBorders>
            <w:shd w:val="clear" w:color="auto" w:fill="auto"/>
            <w:noWrap/>
            <w:vAlign w:val="center"/>
          </w:tcPr>
          <w:p w14:paraId="47EB195C">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2138AD06">
            <w:pPr>
              <w:widowControl/>
              <w:jc w:val="center"/>
              <w:rPr>
                <w:rFonts w:hint="eastAsia" w:ascii="宋体" w:hAnsi="宋体" w:cs="宋体"/>
                <w:kern w:val="0"/>
                <w:sz w:val="18"/>
                <w:szCs w:val="18"/>
              </w:rPr>
            </w:pPr>
          </w:p>
        </w:tc>
      </w:tr>
      <w:tr w14:paraId="61FEDC2E">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721A4E0">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60BF2E7E">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21678133">
            <w:pPr>
              <w:jc w:val="center"/>
            </w:pPr>
            <w:r>
              <w:rPr>
                <w:rFonts w:ascii="宋体" w:hAnsi="宋体"/>
                <w:sz w:val="18"/>
              </w:rPr>
              <w:t>政协第十五届常委会议次数</w:t>
            </w:r>
          </w:p>
        </w:tc>
        <w:tc>
          <w:tcPr>
            <w:tcW w:w="1276" w:type="dxa"/>
            <w:tcBorders>
              <w:top w:val="nil"/>
              <w:left w:val="nil"/>
              <w:bottom w:val="single" w:color="auto" w:sz="4" w:space="0"/>
              <w:right w:val="single" w:color="auto" w:sz="4" w:space="0"/>
            </w:tcBorders>
            <w:shd w:val="clear" w:color="auto" w:fill="auto"/>
            <w:noWrap/>
            <w:vAlign w:val="center"/>
          </w:tcPr>
          <w:p w14:paraId="1AD44ACF">
            <w:pPr>
              <w:jc w:val="center"/>
            </w:pPr>
            <w:r>
              <w:rPr>
                <w:rFonts w:ascii="宋体" w:hAnsi="宋体"/>
                <w:sz w:val="18"/>
              </w:rPr>
              <w:t>≥4次</w:t>
            </w:r>
          </w:p>
        </w:tc>
        <w:tc>
          <w:tcPr>
            <w:tcW w:w="1701" w:type="dxa"/>
            <w:tcBorders>
              <w:top w:val="nil"/>
              <w:left w:val="nil"/>
              <w:bottom w:val="single" w:color="auto" w:sz="4" w:space="0"/>
              <w:right w:val="single" w:color="auto" w:sz="4" w:space="0"/>
            </w:tcBorders>
            <w:shd w:val="clear" w:color="auto" w:fill="auto"/>
            <w:noWrap/>
            <w:vAlign w:val="center"/>
          </w:tcPr>
          <w:p w14:paraId="5D46B366">
            <w:pPr>
              <w:jc w:val="center"/>
            </w:pPr>
            <w:r>
              <w:rPr>
                <w:rFonts w:ascii="宋体" w:hAnsi="宋体"/>
                <w:sz w:val="18"/>
              </w:rPr>
              <w:t>政协奇台县委员会2023年协商计划</w:t>
            </w:r>
          </w:p>
        </w:tc>
        <w:tc>
          <w:tcPr>
            <w:tcW w:w="1134" w:type="dxa"/>
            <w:tcBorders>
              <w:top w:val="nil"/>
              <w:left w:val="nil"/>
              <w:bottom w:val="single" w:color="auto" w:sz="4" w:space="0"/>
              <w:right w:val="single" w:color="auto" w:sz="4" w:space="0"/>
            </w:tcBorders>
            <w:shd w:val="clear" w:color="auto" w:fill="auto"/>
            <w:noWrap/>
            <w:vAlign w:val="center"/>
          </w:tcPr>
          <w:p w14:paraId="7C5D45D7">
            <w:pPr>
              <w:jc w:val="center"/>
            </w:pPr>
            <w:r>
              <w:rPr>
                <w:rFonts w:ascii="宋体" w:hAnsi="宋体"/>
                <w:sz w:val="18"/>
              </w:rPr>
              <w:t>30</w:t>
            </w:r>
          </w:p>
        </w:tc>
        <w:tc>
          <w:tcPr>
            <w:tcW w:w="992" w:type="dxa"/>
            <w:tcBorders>
              <w:top w:val="nil"/>
              <w:left w:val="nil"/>
              <w:bottom w:val="single" w:color="auto" w:sz="4" w:space="0"/>
              <w:right w:val="single" w:color="auto" w:sz="4" w:space="0"/>
            </w:tcBorders>
            <w:shd w:val="clear" w:color="auto" w:fill="auto"/>
            <w:noWrap/>
            <w:vAlign w:val="center"/>
          </w:tcPr>
          <w:p w14:paraId="214D37A0">
            <w:pPr>
              <w:jc w:val="center"/>
            </w:pPr>
            <w:r>
              <w:rPr>
                <w:rFonts w:ascii="宋体" w:hAnsi="宋体"/>
                <w:sz w:val="18"/>
              </w:rPr>
              <w:t>4次</w:t>
            </w:r>
          </w:p>
        </w:tc>
        <w:tc>
          <w:tcPr>
            <w:tcW w:w="720" w:type="dxa"/>
            <w:tcBorders>
              <w:top w:val="nil"/>
              <w:left w:val="nil"/>
              <w:bottom w:val="single" w:color="auto" w:sz="4" w:space="0"/>
              <w:right w:val="single" w:color="auto" w:sz="4" w:space="0"/>
            </w:tcBorders>
            <w:shd w:val="clear" w:color="auto" w:fill="auto"/>
            <w:noWrap/>
            <w:vAlign w:val="center"/>
          </w:tcPr>
          <w:p w14:paraId="2A5BCBF8">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1EACB094">
            <w:pPr>
              <w:widowControl/>
              <w:jc w:val="center"/>
              <w:rPr>
                <w:rFonts w:hint="eastAsia" w:ascii="宋体" w:hAnsi="宋体" w:cs="宋体"/>
                <w:kern w:val="0"/>
                <w:sz w:val="18"/>
                <w:szCs w:val="18"/>
              </w:rPr>
            </w:pPr>
          </w:p>
        </w:tc>
      </w:tr>
      <w:tr w14:paraId="5C2A0A5D">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951B651">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1ECC0098">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133F7F6B">
            <w:pPr>
              <w:jc w:val="center"/>
            </w:pPr>
            <w:r>
              <w:rPr>
                <w:rFonts w:ascii="宋体" w:hAnsi="宋体"/>
                <w:sz w:val="18"/>
              </w:rPr>
              <w:t>政协委员视察调研活动次数</w:t>
            </w:r>
          </w:p>
        </w:tc>
        <w:tc>
          <w:tcPr>
            <w:tcW w:w="1276" w:type="dxa"/>
            <w:tcBorders>
              <w:top w:val="nil"/>
              <w:left w:val="nil"/>
              <w:bottom w:val="single" w:color="auto" w:sz="4" w:space="0"/>
              <w:right w:val="single" w:color="auto" w:sz="4" w:space="0"/>
            </w:tcBorders>
            <w:shd w:val="clear" w:color="auto" w:fill="auto"/>
            <w:noWrap/>
            <w:vAlign w:val="center"/>
          </w:tcPr>
          <w:p w14:paraId="0607E831">
            <w:pPr>
              <w:jc w:val="center"/>
            </w:pPr>
            <w:r>
              <w:rPr>
                <w:rFonts w:ascii="宋体" w:hAnsi="宋体"/>
                <w:sz w:val="18"/>
              </w:rPr>
              <w:t>≥10次</w:t>
            </w:r>
          </w:p>
        </w:tc>
        <w:tc>
          <w:tcPr>
            <w:tcW w:w="1701" w:type="dxa"/>
            <w:tcBorders>
              <w:top w:val="nil"/>
              <w:left w:val="nil"/>
              <w:bottom w:val="single" w:color="auto" w:sz="4" w:space="0"/>
              <w:right w:val="single" w:color="auto" w:sz="4" w:space="0"/>
            </w:tcBorders>
            <w:shd w:val="clear" w:color="auto" w:fill="auto"/>
            <w:noWrap/>
            <w:vAlign w:val="center"/>
          </w:tcPr>
          <w:p w14:paraId="78635BBE">
            <w:pPr>
              <w:jc w:val="center"/>
            </w:pPr>
            <w:r>
              <w:rPr>
                <w:rFonts w:ascii="宋体" w:hAnsi="宋体"/>
                <w:sz w:val="18"/>
              </w:rPr>
              <w:t>政协奇台县委员会2023年协商计划</w:t>
            </w:r>
          </w:p>
        </w:tc>
        <w:tc>
          <w:tcPr>
            <w:tcW w:w="1134" w:type="dxa"/>
            <w:tcBorders>
              <w:top w:val="nil"/>
              <w:left w:val="nil"/>
              <w:bottom w:val="single" w:color="auto" w:sz="4" w:space="0"/>
              <w:right w:val="single" w:color="auto" w:sz="4" w:space="0"/>
            </w:tcBorders>
            <w:shd w:val="clear" w:color="auto" w:fill="auto"/>
            <w:noWrap/>
            <w:vAlign w:val="center"/>
          </w:tcPr>
          <w:p w14:paraId="16C36DDB">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noWrap/>
            <w:vAlign w:val="center"/>
          </w:tcPr>
          <w:p w14:paraId="625A1857">
            <w:pPr>
              <w:jc w:val="center"/>
            </w:pPr>
            <w:r>
              <w:rPr>
                <w:rFonts w:ascii="宋体" w:hAnsi="宋体"/>
                <w:sz w:val="18"/>
              </w:rPr>
              <w:t>10次</w:t>
            </w:r>
          </w:p>
        </w:tc>
        <w:tc>
          <w:tcPr>
            <w:tcW w:w="720" w:type="dxa"/>
            <w:tcBorders>
              <w:top w:val="nil"/>
              <w:left w:val="nil"/>
              <w:bottom w:val="single" w:color="auto" w:sz="4" w:space="0"/>
              <w:right w:val="single" w:color="auto" w:sz="4" w:space="0"/>
            </w:tcBorders>
            <w:shd w:val="clear" w:color="auto" w:fill="auto"/>
            <w:noWrap/>
            <w:vAlign w:val="center"/>
          </w:tcPr>
          <w:p w14:paraId="35649AC5">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6F92573F">
            <w:pPr>
              <w:widowControl/>
              <w:jc w:val="center"/>
              <w:rPr>
                <w:rFonts w:hint="eastAsia" w:ascii="宋体" w:hAnsi="宋体" w:cs="宋体"/>
                <w:kern w:val="0"/>
                <w:sz w:val="18"/>
                <w:szCs w:val="18"/>
              </w:rPr>
            </w:pPr>
          </w:p>
        </w:tc>
      </w:tr>
      <w:tr w14:paraId="2C671621">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3DC8300">
            <w:pPr>
              <w:widowControl/>
              <w:jc w:val="center"/>
              <w:rPr>
                <w:rFonts w:hint="eastAsia" w:ascii="宋体" w:hAnsi="宋体" w:cs="宋体"/>
                <w:kern w:val="0"/>
                <w:sz w:val="18"/>
                <w:szCs w:val="18"/>
              </w:rPr>
            </w:pPr>
          </w:p>
        </w:tc>
        <w:tc>
          <w:tcPr>
            <w:tcW w:w="1417" w:type="dxa"/>
            <w:vMerge w:val="restart"/>
            <w:tcBorders>
              <w:top w:val="nil"/>
              <w:left w:val="nil"/>
              <w:bottom w:val="single" w:color="auto" w:sz="4" w:space="0"/>
              <w:right w:val="single" w:color="auto" w:sz="4" w:space="0"/>
            </w:tcBorders>
            <w:shd w:val="clear" w:color="auto" w:fill="auto"/>
            <w:noWrap/>
            <w:vAlign w:val="center"/>
          </w:tcPr>
          <w:p w14:paraId="4D9A8272">
            <w:pPr>
              <w:jc w:val="center"/>
            </w:pPr>
            <w:r>
              <w:rPr>
                <w:rFonts w:ascii="宋体" w:hAnsi="宋体"/>
                <w:sz w:val="18"/>
              </w:rPr>
              <w:t>质量指标</w:t>
            </w:r>
          </w:p>
        </w:tc>
        <w:tc>
          <w:tcPr>
            <w:tcW w:w="1418" w:type="dxa"/>
            <w:tcBorders>
              <w:top w:val="nil"/>
              <w:left w:val="nil"/>
              <w:bottom w:val="single" w:color="auto" w:sz="4" w:space="0"/>
              <w:right w:val="single" w:color="auto" w:sz="4" w:space="0"/>
            </w:tcBorders>
            <w:shd w:val="clear" w:color="auto" w:fill="auto"/>
            <w:noWrap/>
            <w:vAlign w:val="center"/>
          </w:tcPr>
          <w:p w14:paraId="3B8B3B63">
            <w:pPr>
              <w:jc w:val="center"/>
            </w:pPr>
            <w:r>
              <w:rPr>
                <w:rFonts w:ascii="宋体" w:hAnsi="宋体"/>
                <w:sz w:val="18"/>
              </w:rPr>
              <w:t>协商政府工作报告数量</w:t>
            </w:r>
          </w:p>
        </w:tc>
        <w:tc>
          <w:tcPr>
            <w:tcW w:w="1276" w:type="dxa"/>
            <w:tcBorders>
              <w:top w:val="nil"/>
              <w:left w:val="nil"/>
              <w:bottom w:val="single" w:color="auto" w:sz="4" w:space="0"/>
              <w:right w:val="single" w:color="auto" w:sz="4" w:space="0"/>
            </w:tcBorders>
            <w:shd w:val="clear" w:color="auto" w:fill="auto"/>
            <w:noWrap/>
            <w:vAlign w:val="center"/>
          </w:tcPr>
          <w:p w14:paraId="677214FC">
            <w:pPr>
              <w:jc w:val="center"/>
            </w:pPr>
            <w:r>
              <w:rPr>
                <w:rFonts w:ascii="宋体" w:hAnsi="宋体"/>
                <w:sz w:val="18"/>
              </w:rPr>
              <w:t>≥1个</w:t>
            </w:r>
          </w:p>
        </w:tc>
        <w:tc>
          <w:tcPr>
            <w:tcW w:w="1701" w:type="dxa"/>
            <w:tcBorders>
              <w:top w:val="nil"/>
              <w:left w:val="nil"/>
              <w:bottom w:val="single" w:color="auto" w:sz="4" w:space="0"/>
              <w:right w:val="single" w:color="auto" w:sz="4" w:space="0"/>
            </w:tcBorders>
            <w:shd w:val="clear" w:color="auto" w:fill="auto"/>
            <w:noWrap/>
            <w:vAlign w:val="center"/>
          </w:tcPr>
          <w:p w14:paraId="1E9C0774">
            <w:pPr>
              <w:jc w:val="center"/>
            </w:pPr>
            <w:r>
              <w:rPr>
                <w:rFonts w:ascii="宋体" w:hAnsi="宋体"/>
                <w:sz w:val="18"/>
              </w:rPr>
              <w:t>政协奇台县委员会2023年协商计划</w:t>
            </w:r>
          </w:p>
        </w:tc>
        <w:tc>
          <w:tcPr>
            <w:tcW w:w="1134" w:type="dxa"/>
            <w:tcBorders>
              <w:top w:val="nil"/>
              <w:left w:val="nil"/>
              <w:bottom w:val="single" w:color="auto" w:sz="4" w:space="0"/>
              <w:right w:val="single" w:color="auto" w:sz="4" w:space="0"/>
            </w:tcBorders>
            <w:shd w:val="clear" w:color="auto" w:fill="auto"/>
            <w:noWrap/>
            <w:vAlign w:val="center"/>
          </w:tcPr>
          <w:p w14:paraId="62D6A2F0">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noWrap/>
            <w:vAlign w:val="center"/>
          </w:tcPr>
          <w:p w14:paraId="5F35BB0F">
            <w:pPr>
              <w:jc w:val="center"/>
            </w:pPr>
            <w:r>
              <w:rPr>
                <w:rFonts w:ascii="宋体" w:hAnsi="宋体"/>
                <w:sz w:val="18"/>
              </w:rPr>
              <w:t>1个</w:t>
            </w:r>
          </w:p>
        </w:tc>
        <w:tc>
          <w:tcPr>
            <w:tcW w:w="720" w:type="dxa"/>
            <w:tcBorders>
              <w:top w:val="nil"/>
              <w:left w:val="nil"/>
              <w:bottom w:val="single" w:color="auto" w:sz="4" w:space="0"/>
              <w:right w:val="single" w:color="auto" w:sz="4" w:space="0"/>
            </w:tcBorders>
            <w:shd w:val="clear" w:color="auto" w:fill="auto"/>
            <w:noWrap/>
            <w:vAlign w:val="center"/>
          </w:tcPr>
          <w:p w14:paraId="2B56218A">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225184F9">
            <w:pPr>
              <w:widowControl/>
              <w:jc w:val="center"/>
              <w:rPr>
                <w:rFonts w:hint="eastAsia" w:ascii="宋体" w:hAnsi="宋体" w:cs="宋体"/>
                <w:kern w:val="0"/>
                <w:sz w:val="18"/>
                <w:szCs w:val="18"/>
              </w:rPr>
            </w:pPr>
          </w:p>
        </w:tc>
      </w:tr>
      <w:tr w14:paraId="1008B67F">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9C8C962">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76E25C76">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65020CFB">
            <w:pPr>
              <w:jc w:val="center"/>
            </w:pPr>
            <w:r>
              <w:rPr>
                <w:rFonts w:ascii="宋体" w:hAnsi="宋体"/>
                <w:sz w:val="18"/>
              </w:rPr>
              <w:t>完成政协委员视察调研报告数量</w:t>
            </w:r>
          </w:p>
        </w:tc>
        <w:tc>
          <w:tcPr>
            <w:tcW w:w="1276" w:type="dxa"/>
            <w:tcBorders>
              <w:top w:val="nil"/>
              <w:left w:val="nil"/>
              <w:bottom w:val="single" w:color="auto" w:sz="4" w:space="0"/>
              <w:right w:val="single" w:color="auto" w:sz="4" w:space="0"/>
            </w:tcBorders>
            <w:shd w:val="clear" w:color="auto" w:fill="auto"/>
            <w:noWrap/>
            <w:vAlign w:val="center"/>
          </w:tcPr>
          <w:p w14:paraId="1AB8EB9A">
            <w:pPr>
              <w:jc w:val="center"/>
            </w:pPr>
            <w:r>
              <w:rPr>
                <w:rFonts w:ascii="宋体" w:hAnsi="宋体"/>
                <w:sz w:val="18"/>
              </w:rPr>
              <w:t>≥5个</w:t>
            </w:r>
          </w:p>
        </w:tc>
        <w:tc>
          <w:tcPr>
            <w:tcW w:w="1701" w:type="dxa"/>
            <w:tcBorders>
              <w:top w:val="nil"/>
              <w:left w:val="nil"/>
              <w:bottom w:val="single" w:color="auto" w:sz="4" w:space="0"/>
              <w:right w:val="single" w:color="auto" w:sz="4" w:space="0"/>
            </w:tcBorders>
            <w:shd w:val="clear" w:color="auto" w:fill="auto"/>
            <w:noWrap/>
            <w:vAlign w:val="center"/>
          </w:tcPr>
          <w:p w14:paraId="4333346F">
            <w:pPr>
              <w:jc w:val="center"/>
            </w:pPr>
            <w:r>
              <w:rPr>
                <w:rFonts w:ascii="宋体" w:hAnsi="宋体"/>
                <w:sz w:val="18"/>
              </w:rPr>
              <w:t>政协奇台县委员会2023年协商计划</w:t>
            </w:r>
          </w:p>
        </w:tc>
        <w:tc>
          <w:tcPr>
            <w:tcW w:w="1134" w:type="dxa"/>
            <w:tcBorders>
              <w:top w:val="nil"/>
              <w:left w:val="nil"/>
              <w:bottom w:val="single" w:color="auto" w:sz="4" w:space="0"/>
              <w:right w:val="single" w:color="auto" w:sz="4" w:space="0"/>
            </w:tcBorders>
            <w:shd w:val="clear" w:color="auto" w:fill="auto"/>
            <w:noWrap/>
            <w:vAlign w:val="center"/>
          </w:tcPr>
          <w:p w14:paraId="1E6F56BA">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noWrap/>
            <w:vAlign w:val="center"/>
          </w:tcPr>
          <w:p w14:paraId="305ECD3A">
            <w:pPr>
              <w:jc w:val="center"/>
            </w:pPr>
            <w:r>
              <w:rPr>
                <w:rFonts w:ascii="宋体" w:hAnsi="宋体"/>
                <w:sz w:val="18"/>
              </w:rPr>
              <w:t>5个</w:t>
            </w:r>
          </w:p>
        </w:tc>
        <w:tc>
          <w:tcPr>
            <w:tcW w:w="720" w:type="dxa"/>
            <w:tcBorders>
              <w:top w:val="nil"/>
              <w:left w:val="nil"/>
              <w:bottom w:val="single" w:color="auto" w:sz="4" w:space="0"/>
              <w:right w:val="single" w:color="auto" w:sz="4" w:space="0"/>
            </w:tcBorders>
            <w:shd w:val="clear" w:color="auto" w:fill="auto"/>
            <w:noWrap/>
            <w:vAlign w:val="center"/>
          </w:tcPr>
          <w:p w14:paraId="3FF3F1A1">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0C8972E0">
            <w:pPr>
              <w:widowControl/>
              <w:jc w:val="center"/>
              <w:rPr>
                <w:rFonts w:hint="eastAsia" w:ascii="宋体" w:hAnsi="宋体" w:cs="宋体"/>
                <w:kern w:val="0"/>
                <w:sz w:val="18"/>
                <w:szCs w:val="18"/>
              </w:rPr>
            </w:pPr>
          </w:p>
        </w:tc>
      </w:tr>
    </w:tbl>
    <w:p w14:paraId="394DE5AD">
      <w:pPr>
        <w:jc w:val="center"/>
        <w:rPr>
          <w:rFonts w:hint="eastAsia" w:ascii="宋体" w:hAnsi="宋体" w:cs="宋体"/>
          <w:b/>
          <w:bCs/>
          <w:kern w:val="0"/>
          <w:sz w:val="28"/>
          <w:szCs w:val="28"/>
        </w:rPr>
      </w:pPr>
    </w:p>
    <w:p w14:paraId="7C70F8E2">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1508EA8B">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40D09F1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1A947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0BE5507">
            <w:pPr>
              <w:jc w:val="center"/>
            </w:pPr>
            <w:r>
              <w:rPr>
                <w:rFonts w:ascii="宋体" w:hAnsi="宋体"/>
                <w:sz w:val="18"/>
              </w:rPr>
              <w:t>政协历年欠款</w:t>
            </w:r>
          </w:p>
        </w:tc>
      </w:tr>
      <w:tr w14:paraId="70C3E71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7351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4917E9A4">
            <w:pPr>
              <w:jc w:val="center"/>
            </w:pPr>
            <w:r>
              <w:rPr>
                <w:rFonts w:ascii="宋体" w:hAnsi="宋体"/>
                <w:sz w:val="18"/>
              </w:rPr>
              <w:t>中国人民政治协商会议奇台县委员会</w:t>
            </w:r>
          </w:p>
        </w:tc>
        <w:tc>
          <w:tcPr>
            <w:tcW w:w="1275" w:type="dxa"/>
            <w:gridSpan w:val="2"/>
            <w:tcBorders>
              <w:top w:val="nil"/>
              <w:left w:val="nil"/>
              <w:bottom w:val="single" w:color="auto" w:sz="4" w:space="0"/>
              <w:right w:val="single" w:color="000000" w:sz="4" w:space="0"/>
            </w:tcBorders>
            <w:shd w:val="clear" w:color="auto" w:fill="auto"/>
            <w:vAlign w:val="center"/>
          </w:tcPr>
          <w:p w14:paraId="356B236D">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6A3AE72F">
            <w:pPr>
              <w:jc w:val="center"/>
            </w:pPr>
            <w:r>
              <w:rPr>
                <w:rFonts w:ascii="宋体" w:hAnsi="宋体"/>
                <w:sz w:val="18"/>
              </w:rPr>
              <w:t>中国人民政治协商会议奇台县委员会</w:t>
            </w:r>
          </w:p>
        </w:tc>
      </w:tr>
      <w:tr w14:paraId="0D1945C3">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6844DB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CA65DE4">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56CC9B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498291A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311A5AE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B1F3D3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87B6DB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122E164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1A1A98F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D96048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F37D1A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B73F3FA">
            <w:pPr>
              <w:jc w:val="center"/>
            </w:pPr>
            <w:r>
              <w:rPr>
                <w:rFonts w:ascii="宋体" w:hAnsi="宋体"/>
                <w:sz w:val="18"/>
              </w:rPr>
              <w:t>10.00</w:t>
            </w:r>
          </w:p>
        </w:tc>
        <w:tc>
          <w:tcPr>
            <w:tcW w:w="1125" w:type="dxa"/>
            <w:tcBorders>
              <w:top w:val="nil"/>
              <w:left w:val="nil"/>
              <w:bottom w:val="single" w:color="auto" w:sz="4" w:space="0"/>
              <w:right w:val="single" w:color="auto" w:sz="4" w:space="0"/>
            </w:tcBorders>
            <w:shd w:val="clear" w:color="auto" w:fill="auto"/>
            <w:noWrap/>
            <w:vAlign w:val="center"/>
          </w:tcPr>
          <w:p w14:paraId="6A6389A5">
            <w:pPr>
              <w:jc w:val="center"/>
            </w:pPr>
            <w:r>
              <w:rPr>
                <w:rFonts w:ascii="宋体" w:hAnsi="宋体"/>
                <w:sz w:val="18"/>
              </w:rPr>
              <w:t>10.00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07A47841">
            <w:pPr>
              <w:jc w:val="center"/>
            </w:pPr>
            <w:r>
              <w:rPr>
                <w:rFonts w:ascii="宋体" w:hAnsi="宋体"/>
                <w:sz w:val="18"/>
              </w:rPr>
              <w:t>10.00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BA60C03">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C27A3FC">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57CACCAB">
            <w:pPr>
              <w:jc w:val="center"/>
            </w:pPr>
            <w:r>
              <w:rPr>
                <w:rFonts w:ascii="宋体" w:hAnsi="宋体"/>
                <w:sz w:val="18"/>
              </w:rPr>
              <w:t>10.00</w:t>
            </w:r>
          </w:p>
        </w:tc>
      </w:tr>
      <w:tr w14:paraId="072BF0F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96ACAD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0F574A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388E184">
            <w:pPr>
              <w:jc w:val="center"/>
            </w:pPr>
            <w:r>
              <w:rPr>
                <w:rFonts w:ascii="宋体" w:hAnsi="宋体"/>
                <w:sz w:val="18"/>
              </w:rPr>
              <w:t>10.00</w:t>
            </w:r>
          </w:p>
        </w:tc>
        <w:tc>
          <w:tcPr>
            <w:tcW w:w="1125" w:type="dxa"/>
            <w:tcBorders>
              <w:top w:val="nil"/>
              <w:left w:val="nil"/>
              <w:bottom w:val="single" w:color="auto" w:sz="4" w:space="0"/>
              <w:right w:val="single" w:color="auto" w:sz="4" w:space="0"/>
            </w:tcBorders>
            <w:shd w:val="clear" w:color="auto" w:fill="auto"/>
            <w:noWrap/>
            <w:vAlign w:val="center"/>
          </w:tcPr>
          <w:p w14:paraId="75405D4A">
            <w:pPr>
              <w:jc w:val="center"/>
            </w:pPr>
            <w:r>
              <w:rPr>
                <w:rFonts w:ascii="宋体" w:hAnsi="宋体"/>
                <w:sz w:val="18"/>
              </w:rPr>
              <w:t>10.00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4147E601">
            <w:pPr>
              <w:jc w:val="center"/>
            </w:pPr>
            <w:r>
              <w:rPr>
                <w:rFonts w:ascii="宋体" w:hAnsi="宋体"/>
                <w:sz w:val="18"/>
              </w:rPr>
              <w:t>10.00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E4F939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DDE294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EE15FF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94F96F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BC7B98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8243CD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13DE52F">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5E8E0C05">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0A7014C1">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8D8EA0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4971E6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4764C0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3BA892E">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D6037B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2F4605C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2C577F4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CEB4E75">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62D8101">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6ABACE4A">
            <w:pPr>
              <w:jc w:val="left"/>
            </w:pPr>
            <w:r>
              <w:rPr>
                <w:rFonts w:ascii="宋体" w:hAnsi="宋体"/>
                <w:sz w:val="18"/>
              </w:rPr>
              <w:t>进行偿还以前年度债务，债务支付笔数4笔，债务资金支付完成率达到100%，债务还款准确率达到100%，债务资金按期支付率达到100%保障单位良好信用</w:t>
            </w:r>
          </w:p>
        </w:tc>
        <w:tc>
          <w:tcPr>
            <w:tcW w:w="4677" w:type="dxa"/>
            <w:gridSpan w:val="7"/>
            <w:tcBorders>
              <w:top w:val="single" w:color="auto" w:sz="4" w:space="0"/>
              <w:left w:val="nil"/>
              <w:bottom w:val="single" w:color="auto" w:sz="4" w:space="0"/>
              <w:right w:val="single" w:color="000000" w:sz="4" w:space="0"/>
            </w:tcBorders>
            <w:shd w:val="clear" w:color="auto" w:fill="auto"/>
          </w:tcPr>
          <w:p w14:paraId="1B88DF4D">
            <w:pPr>
              <w:jc w:val="left"/>
            </w:pPr>
            <w:r>
              <w:rPr>
                <w:rFonts w:ascii="宋体" w:hAnsi="宋体"/>
                <w:sz w:val="18"/>
              </w:rPr>
              <w:t>债务支付笔数：4；债务资金支付完成率：100；债务还款准确率：100；债务资金按期支付率：100；债务资金支付率：100；保障单位良好信用：有效保障；支付对象满意度：95</w:t>
            </w:r>
          </w:p>
        </w:tc>
      </w:tr>
      <w:tr w14:paraId="0EE74540">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A2DD545">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B5B67C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2CA9CBA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8F5ED7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5DA4432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01B1F7B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379875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84AF11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E1035A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3C1B4716">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9586C35">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03C23CB">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0E35E3DD">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47342D7">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14D81CBB">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41D2F79E">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55723F64">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1AF6B4C0">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0580DFED">
            <w:pPr>
              <w:widowControl/>
              <w:jc w:val="left"/>
              <w:rPr>
                <w:rFonts w:hint="eastAsia" w:ascii="宋体" w:hAnsi="宋体" w:cs="宋体"/>
                <w:color w:val="000000"/>
                <w:kern w:val="0"/>
                <w:sz w:val="18"/>
                <w:szCs w:val="18"/>
              </w:rPr>
            </w:pPr>
          </w:p>
        </w:tc>
      </w:tr>
      <w:tr w14:paraId="4B34A9E5">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D82F579">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24102509">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1A698A56">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DECC455">
            <w:pPr>
              <w:jc w:val="center"/>
            </w:pPr>
            <w:r>
              <w:rPr>
                <w:rFonts w:ascii="宋体" w:hAnsi="宋体"/>
                <w:sz w:val="18"/>
              </w:rPr>
              <w:t>债务支付笔数</w:t>
            </w:r>
          </w:p>
        </w:tc>
        <w:tc>
          <w:tcPr>
            <w:tcW w:w="1125" w:type="dxa"/>
            <w:tcBorders>
              <w:top w:val="nil"/>
              <w:left w:val="nil"/>
              <w:bottom w:val="single" w:color="auto" w:sz="4" w:space="0"/>
              <w:right w:val="single" w:color="auto" w:sz="4" w:space="0"/>
            </w:tcBorders>
            <w:shd w:val="clear" w:color="auto" w:fill="auto"/>
            <w:vAlign w:val="center"/>
          </w:tcPr>
          <w:p w14:paraId="5F34C878">
            <w:pPr>
              <w:jc w:val="center"/>
            </w:pPr>
            <w:r>
              <w:rPr>
                <w:rFonts w:ascii="宋体" w:hAnsi="宋体"/>
                <w:sz w:val="18"/>
              </w:rPr>
              <w:t>=4笔</w:t>
            </w:r>
          </w:p>
        </w:tc>
        <w:tc>
          <w:tcPr>
            <w:tcW w:w="1229" w:type="dxa"/>
            <w:tcBorders>
              <w:top w:val="nil"/>
              <w:left w:val="nil"/>
              <w:bottom w:val="single" w:color="auto" w:sz="4" w:space="0"/>
              <w:right w:val="single" w:color="auto" w:sz="4" w:space="0"/>
            </w:tcBorders>
            <w:shd w:val="clear" w:color="auto" w:fill="auto"/>
            <w:vAlign w:val="center"/>
          </w:tcPr>
          <w:p w14:paraId="06FB8A66">
            <w:pPr>
              <w:jc w:val="center"/>
            </w:pPr>
            <w:r>
              <w:rPr>
                <w:rFonts w:ascii="宋体" w:hAnsi="宋体"/>
                <w:sz w:val="18"/>
              </w:rPr>
              <w:t>=4笔</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AF9269F">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34B8B1C">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42499FF">
            <w:pPr>
              <w:jc w:val="center"/>
            </w:pPr>
          </w:p>
        </w:tc>
      </w:tr>
      <w:tr w14:paraId="0035B78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E66A35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295F33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DA042F2">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8352013">
            <w:pPr>
              <w:jc w:val="center"/>
            </w:pPr>
            <w:r>
              <w:rPr>
                <w:rFonts w:ascii="宋体" w:hAnsi="宋体"/>
                <w:sz w:val="18"/>
              </w:rPr>
              <w:t>债务资金支付完成率</w:t>
            </w:r>
          </w:p>
        </w:tc>
        <w:tc>
          <w:tcPr>
            <w:tcW w:w="1125" w:type="dxa"/>
            <w:tcBorders>
              <w:top w:val="nil"/>
              <w:left w:val="nil"/>
              <w:bottom w:val="single" w:color="auto" w:sz="4" w:space="0"/>
              <w:right w:val="single" w:color="auto" w:sz="4" w:space="0"/>
            </w:tcBorders>
            <w:shd w:val="clear" w:color="auto" w:fill="auto"/>
            <w:vAlign w:val="center"/>
          </w:tcPr>
          <w:p w14:paraId="491C416F">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5C071291">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6603D50">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51CEA7A">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15BF794">
            <w:pPr>
              <w:jc w:val="center"/>
            </w:pPr>
          </w:p>
        </w:tc>
      </w:tr>
      <w:tr w14:paraId="758379B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7CE191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8A68FC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8E5D102">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38FF0CD">
            <w:pPr>
              <w:jc w:val="center"/>
            </w:pPr>
            <w:r>
              <w:rPr>
                <w:rFonts w:ascii="宋体" w:hAnsi="宋体"/>
                <w:sz w:val="18"/>
              </w:rPr>
              <w:t>债务还款准确率</w:t>
            </w:r>
          </w:p>
        </w:tc>
        <w:tc>
          <w:tcPr>
            <w:tcW w:w="1125" w:type="dxa"/>
            <w:tcBorders>
              <w:top w:val="nil"/>
              <w:left w:val="nil"/>
              <w:bottom w:val="single" w:color="auto" w:sz="4" w:space="0"/>
              <w:right w:val="single" w:color="auto" w:sz="4" w:space="0"/>
            </w:tcBorders>
            <w:shd w:val="clear" w:color="auto" w:fill="auto"/>
            <w:vAlign w:val="center"/>
          </w:tcPr>
          <w:p w14:paraId="0415AF5C">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4EF50974">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978875A">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FED43DE">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C5149A8">
            <w:pPr>
              <w:jc w:val="center"/>
            </w:pPr>
          </w:p>
        </w:tc>
      </w:tr>
      <w:tr w14:paraId="04E14E2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FE21AF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031E86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5AE5DE4">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D54A176">
            <w:pPr>
              <w:jc w:val="center"/>
            </w:pPr>
            <w:r>
              <w:rPr>
                <w:rFonts w:ascii="宋体" w:hAnsi="宋体"/>
                <w:sz w:val="18"/>
              </w:rPr>
              <w:t>债务资金按期支付率</w:t>
            </w:r>
          </w:p>
        </w:tc>
        <w:tc>
          <w:tcPr>
            <w:tcW w:w="1125" w:type="dxa"/>
            <w:tcBorders>
              <w:top w:val="nil"/>
              <w:left w:val="nil"/>
              <w:bottom w:val="single" w:color="auto" w:sz="4" w:space="0"/>
              <w:right w:val="single" w:color="auto" w:sz="4" w:space="0"/>
            </w:tcBorders>
            <w:shd w:val="clear" w:color="auto" w:fill="auto"/>
            <w:vAlign w:val="center"/>
          </w:tcPr>
          <w:p w14:paraId="02C2F719">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0C8E3BA6">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793004F">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D7FBF96">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8E5D9CC">
            <w:pPr>
              <w:jc w:val="center"/>
            </w:pPr>
          </w:p>
        </w:tc>
      </w:tr>
      <w:tr w14:paraId="698F18C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27F6530">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C59BF6C">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1A117C09">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BD02B08">
            <w:pPr>
              <w:jc w:val="center"/>
            </w:pPr>
            <w:r>
              <w:rPr>
                <w:rFonts w:ascii="宋体" w:hAnsi="宋体"/>
                <w:sz w:val="18"/>
              </w:rPr>
              <w:t>债务资金支付率</w:t>
            </w:r>
          </w:p>
        </w:tc>
        <w:tc>
          <w:tcPr>
            <w:tcW w:w="1125" w:type="dxa"/>
            <w:tcBorders>
              <w:top w:val="nil"/>
              <w:left w:val="nil"/>
              <w:bottom w:val="single" w:color="auto" w:sz="4" w:space="0"/>
              <w:right w:val="single" w:color="auto" w:sz="4" w:space="0"/>
            </w:tcBorders>
            <w:shd w:val="clear" w:color="auto" w:fill="auto"/>
            <w:vAlign w:val="center"/>
          </w:tcPr>
          <w:p w14:paraId="6C0F8980">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2B1AEB29">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2BC60E1">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FDD8189">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FBF50E3">
            <w:pPr>
              <w:jc w:val="center"/>
            </w:pPr>
          </w:p>
        </w:tc>
      </w:tr>
      <w:tr w14:paraId="2F38CE4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B6CED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D2985DD">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4D0149DF">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57BE101">
            <w:pPr>
              <w:jc w:val="center"/>
            </w:pPr>
            <w:r>
              <w:rPr>
                <w:rFonts w:ascii="宋体" w:hAnsi="宋体"/>
                <w:sz w:val="18"/>
              </w:rPr>
              <w:t>保障单位良好信用</w:t>
            </w:r>
          </w:p>
        </w:tc>
        <w:tc>
          <w:tcPr>
            <w:tcW w:w="1125" w:type="dxa"/>
            <w:tcBorders>
              <w:top w:val="nil"/>
              <w:left w:val="nil"/>
              <w:bottom w:val="single" w:color="auto" w:sz="4" w:space="0"/>
              <w:right w:val="single" w:color="auto" w:sz="4" w:space="0"/>
            </w:tcBorders>
            <w:shd w:val="clear" w:color="auto" w:fill="auto"/>
            <w:vAlign w:val="center"/>
          </w:tcPr>
          <w:p w14:paraId="3C73B9E8">
            <w:pPr>
              <w:jc w:val="center"/>
            </w:pPr>
            <w:r>
              <w:rPr>
                <w:rFonts w:ascii="宋体" w:hAnsi="宋体"/>
                <w:sz w:val="18"/>
              </w:rPr>
              <w:t>有效保障</w:t>
            </w:r>
          </w:p>
        </w:tc>
        <w:tc>
          <w:tcPr>
            <w:tcW w:w="1229" w:type="dxa"/>
            <w:tcBorders>
              <w:top w:val="nil"/>
              <w:left w:val="nil"/>
              <w:bottom w:val="single" w:color="auto" w:sz="4" w:space="0"/>
              <w:right w:val="single" w:color="auto" w:sz="4" w:space="0"/>
            </w:tcBorders>
            <w:shd w:val="clear" w:color="auto" w:fill="auto"/>
            <w:vAlign w:val="center"/>
          </w:tcPr>
          <w:p w14:paraId="3EAFCB41">
            <w:pPr>
              <w:jc w:val="center"/>
            </w:pPr>
            <w:r>
              <w:rPr>
                <w:rFonts w:ascii="宋体" w:hAnsi="宋体"/>
                <w:sz w:val="18"/>
              </w:rPr>
              <w:t>有效保障</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9154B82">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0FEC4B2">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8CCADEB">
            <w:pPr>
              <w:jc w:val="center"/>
            </w:pPr>
          </w:p>
        </w:tc>
      </w:tr>
      <w:tr w14:paraId="5E58738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4DBB8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E20060F">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7D952305">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D6D7226">
            <w:pPr>
              <w:jc w:val="center"/>
            </w:pPr>
            <w:r>
              <w:rPr>
                <w:rFonts w:ascii="宋体" w:hAnsi="宋体"/>
                <w:sz w:val="18"/>
              </w:rPr>
              <w:t>支付对象满意度</w:t>
            </w:r>
          </w:p>
        </w:tc>
        <w:tc>
          <w:tcPr>
            <w:tcW w:w="1125" w:type="dxa"/>
            <w:tcBorders>
              <w:top w:val="nil"/>
              <w:left w:val="nil"/>
              <w:bottom w:val="single" w:color="auto" w:sz="4" w:space="0"/>
              <w:right w:val="single" w:color="auto" w:sz="4" w:space="0"/>
            </w:tcBorders>
            <w:shd w:val="clear" w:color="auto" w:fill="auto"/>
            <w:vAlign w:val="center"/>
          </w:tcPr>
          <w:p w14:paraId="4AC0F50B">
            <w:pPr>
              <w:jc w:val="center"/>
            </w:pPr>
            <w:r>
              <w:rPr>
                <w:rFonts w:ascii="宋体" w:hAnsi="宋体"/>
                <w:sz w:val="18"/>
              </w:rPr>
              <w:t>=95%</w:t>
            </w:r>
          </w:p>
        </w:tc>
        <w:tc>
          <w:tcPr>
            <w:tcW w:w="1229" w:type="dxa"/>
            <w:tcBorders>
              <w:top w:val="nil"/>
              <w:left w:val="nil"/>
              <w:bottom w:val="single" w:color="auto" w:sz="4" w:space="0"/>
              <w:right w:val="single" w:color="auto" w:sz="4" w:space="0"/>
            </w:tcBorders>
            <w:shd w:val="clear" w:color="auto" w:fill="auto"/>
            <w:vAlign w:val="center"/>
          </w:tcPr>
          <w:p w14:paraId="67858DA5">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997ED4E">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4776E34">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4CB8275">
            <w:pPr>
              <w:jc w:val="center"/>
            </w:pPr>
          </w:p>
        </w:tc>
      </w:tr>
      <w:tr w14:paraId="45C35AC3">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2541421">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6E94D78E">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5F1E4AD0">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828F172">
            <w:pPr>
              <w:jc w:val="center"/>
            </w:pPr>
          </w:p>
        </w:tc>
      </w:tr>
      <w:bookmarkEnd w:id="39"/>
    </w:tbl>
    <w:p w14:paraId="727DB517">
      <w:pPr>
        <w:jc w:val="center"/>
        <w:rPr>
          <w:rFonts w:hint="eastAsia" w:ascii="宋体" w:hAnsi="宋体" w:cs="宋体"/>
          <w:b/>
          <w:bCs/>
          <w:kern w:val="0"/>
          <w:sz w:val="28"/>
          <w:szCs w:val="28"/>
        </w:rPr>
      </w:pPr>
    </w:p>
    <w:p w14:paraId="5B9933C8">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1F646663">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480115F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B8989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69C1B9C8">
            <w:pPr>
              <w:jc w:val="center"/>
            </w:pPr>
            <w:r>
              <w:rPr>
                <w:rFonts w:ascii="宋体" w:hAnsi="宋体"/>
                <w:sz w:val="18"/>
              </w:rPr>
              <w:t>自治区基层政协补助经费</w:t>
            </w:r>
          </w:p>
        </w:tc>
      </w:tr>
      <w:tr w14:paraId="10C86E4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CB42BD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5703077C">
            <w:pPr>
              <w:jc w:val="center"/>
            </w:pPr>
            <w:r>
              <w:rPr>
                <w:rFonts w:ascii="宋体" w:hAnsi="宋体"/>
                <w:sz w:val="18"/>
              </w:rPr>
              <w:t>中国人民政治协商会议奇台县委员会</w:t>
            </w:r>
          </w:p>
        </w:tc>
        <w:tc>
          <w:tcPr>
            <w:tcW w:w="1276" w:type="dxa"/>
            <w:gridSpan w:val="2"/>
            <w:tcBorders>
              <w:top w:val="nil"/>
              <w:left w:val="nil"/>
              <w:bottom w:val="single" w:color="auto" w:sz="4" w:space="0"/>
              <w:right w:val="single" w:color="000000" w:sz="4" w:space="0"/>
            </w:tcBorders>
            <w:shd w:val="clear" w:color="auto" w:fill="auto"/>
            <w:vAlign w:val="center"/>
          </w:tcPr>
          <w:p w14:paraId="2A43105E">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69D7A456">
            <w:pPr>
              <w:jc w:val="center"/>
            </w:pPr>
            <w:r>
              <w:rPr>
                <w:rFonts w:ascii="宋体" w:hAnsi="宋体"/>
                <w:sz w:val="18"/>
              </w:rPr>
              <w:t>中国人民政治协商会议奇台县委员会</w:t>
            </w:r>
          </w:p>
        </w:tc>
      </w:tr>
      <w:tr w14:paraId="43842AAD">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43C71D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DE908B8">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000682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2AA8ED9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2DB0C8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2161D8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5777EB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6444EEA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52E9800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065F68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2B078E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71B3585">
            <w:pPr>
              <w:jc w:val="center"/>
            </w:pPr>
            <w:r>
              <w:rPr>
                <w:rFonts w:ascii="宋体" w:hAnsi="宋体"/>
                <w:sz w:val="18"/>
              </w:rPr>
              <w:t>5.00</w:t>
            </w:r>
          </w:p>
        </w:tc>
        <w:tc>
          <w:tcPr>
            <w:tcW w:w="1266" w:type="dxa"/>
            <w:tcBorders>
              <w:top w:val="nil"/>
              <w:left w:val="nil"/>
              <w:bottom w:val="single" w:color="auto" w:sz="4" w:space="0"/>
              <w:right w:val="single" w:color="auto" w:sz="4" w:space="0"/>
            </w:tcBorders>
            <w:shd w:val="clear" w:color="auto" w:fill="auto"/>
            <w:noWrap/>
            <w:vAlign w:val="center"/>
          </w:tcPr>
          <w:p w14:paraId="19E115F9">
            <w:pPr>
              <w:jc w:val="center"/>
            </w:pPr>
            <w:r>
              <w:rPr>
                <w:rFonts w:ascii="宋体" w:hAnsi="宋体"/>
                <w:sz w:val="18"/>
              </w:rPr>
              <w:t>5.90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6B149F16">
            <w:pPr>
              <w:jc w:val="center"/>
            </w:pPr>
            <w:r>
              <w:rPr>
                <w:rFonts w:ascii="宋体" w:hAnsi="宋体"/>
                <w:sz w:val="18"/>
              </w:rPr>
              <w:t>5.90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1280096">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6AB3C0E">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322BBC74">
            <w:pPr>
              <w:jc w:val="center"/>
            </w:pPr>
            <w:r>
              <w:rPr>
                <w:rFonts w:ascii="宋体" w:hAnsi="宋体"/>
                <w:sz w:val="18"/>
              </w:rPr>
              <w:t>10.00</w:t>
            </w:r>
          </w:p>
        </w:tc>
      </w:tr>
      <w:tr w14:paraId="30E917D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2E1C79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AB1C78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140C602">
            <w:pPr>
              <w:jc w:val="center"/>
            </w:pPr>
            <w:r>
              <w:rPr>
                <w:rFonts w:ascii="宋体" w:hAnsi="宋体"/>
                <w:sz w:val="18"/>
              </w:rPr>
              <w:t>5.00</w:t>
            </w:r>
          </w:p>
        </w:tc>
        <w:tc>
          <w:tcPr>
            <w:tcW w:w="1266" w:type="dxa"/>
            <w:tcBorders>
              <w:top w:val="nil"/>
              <w:left w:val="nil"/>
              <w:bottom w:val="single" w:color="auto" w:sz="4" w:space="0"/>
              <w:right w:val="single" w:color="auto" w:sz="4" w:space="0"/>
            </w:tcBorders>
            <w:shd w:val="clear" w:color="auto" w:fill="auto"/>
            <w:noWrap/>
            <w:vAlign w:val="center"/>
          </w:tcPr>
          <w:p w14:paraId="0CF92281">
            <w:pPr>
              <w:jc w:val="center"/>
            </w:pPr>
            <w:r>
              <w:rPr>
                <w:rFonts w:ascii="宋体" w:hAnsi="宋体"/>
                <w:sz w:val="18"/>
              </w:rPr>
              <w:t>5.90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4CAD784B">
            <w:pPr>
              <w:jc w:val="center"/>
            </w:pPr>
            <w:r>
              <w:rPr>
                <w:rFonts w:ascii="宋体" w:hAnsi="宋体"/>
                <w:sz w:val="18"/>
              </w:rPr>
              <w:t>5.90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5ECAF6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411302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3270EAB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3A50D9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944772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29B3FF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8F3022A">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0DA6C7A6">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5245DC3B">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D1EB4B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E080F9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164C2E9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C6AA9B1">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E06F11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1B5B984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23EED4E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13721B5A">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2FCA3DF">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7127812B">
            <w:pPr>
              <w:jc w:val="left"/>
            </w:pPr>
            <w:r>
              <w:rPr>
                <w:rFonts w:ascii="宋体" w:hAnsi="宋体"/>
                <w:sz w:val="18"/>
              </w:rPr>
              <w:t>2023年召开奇台县政协十五届三次全体会议，召开2次专题议政性常委会会议，召开3次专题协商会，会议参会人员出勤率达到100%，会议按期完成及时率达到100%，充分体现政协参政议政民主监督政治协商职能。</w:t>
            </w:r>
          </w:p>
        </w:tc>
        <w:tc>
          <w:tcPr>
            <w:tcW w:w="4536" w:type="dxa"/>
            <w:gridSpan w:val="7"/>
            <w:tcBorders>
              <w:top w:val="single" w:color="auto" w:sz="4" w:space="0"/>
              <w:left w:val="nil"/>
              <w:bottom w:val="single" w:color="auto" w:sz="4" w:space="0"/>
              <w:right w:val="single" w:color="000000" w:sz="4" w:space="0"/>
            </w:tcBorders>
            <w:shd w:val="clear" w:color="auto" w:fill="auto"/>
          </w:tcPr>
          <w:p w14:paraId="139342B0">
            <w:pPr>
              <w:jc w:val="left"/>
            </w:pPr>
            <w:r>
              <w:rPr>
                <w:rFonts w:ascii="宋体" w:hAnsi="宋体"/>
                <w:sz w:val="18"/>
              </w:rPr>
              <w:t>实现政协协商与基层协商相互衔接的认识，实现基层治理的有效途径，强化协商成果，更深层次深入基层调研，确保政协履责贴近社会贴近人民群众，使政协履责灵活化，灵活选择会议协商、沟通协商、对话协商、书面协商，保证学生成果落实快，成效显著，加强协商成果的宣传和社会认知度，有效的支持了基层政协工作。</w:t>
            </w:r>
          </w:p>
        </w:tc>
      </w:tr>
      <w:tr w14:paraId="16831125">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B901521">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18746C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3DB2946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6F362E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4224E03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1BB9E08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4E7EA1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00B898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5A7195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2B1A1DA3">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D356E51">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5D5E3E8">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99503E3">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4C2F5AE">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6657E25C">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5493CE92">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45688723">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56152A39">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0501A4C0">
            <w:pPr>
              <w:widowControl/>
              <w:jc w:val="left"/>
              <w:rPr>
                <w:rFonts w:hint="eastAsia" w:ascii="宋体" w:hAnsi="宋体" w:cs="宋体"/>
                <w:color w:val="000000"/>
                <w:kern w:val="0"/>
                <w:sz w:val="18"/>
                <w:szCs w:val="18"/>
              </w:rPr>
            </w:pPr>
          </w:p>
        </w:tc>
      </w:tr>
      <w:tr w14:paraId="1D50D9AE">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3EFBF6C">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3F8F5778">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791B6A23">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BC3AEDC">
            <w:pPr>
              <w:jc w:val="center"/>
            </w:pPr>
            <w:r>
              <w:rPr>
                <w:rFonts w:ascii="宋体" w:hAnsi="宋体"/>
                <w:sz w:val="18"/>
              </w:rPr>
              <w:t>召开奇台县政协十五届三次全体会议</w:t>
            </w:r>
          </w:p>
        </w:tc>
        <w:tc>
          <w:tcPr>
            <w:tcW w:w="1266" w:type="dxa"/>
            <w:tcBorders>
              <w:top w:val="nil"/>
              <w:left w:val="nil"/>
              <w:bottom w:val="single" w:color="auto" w:sz="4" w:space="0"/>
              <w:right w:val="single" w:color="auto" w:sz="4" w:space="0"/>
            </w:tcBorders>
            <w:shd w:val="clear" w:color="auto" w:fill="auto"/>
            <w:vAlign w:val="center"/>
          </w:tcPr>
          <w:p w14:paraId="0D18085D">
            <w:pPr>
              <w:jc w:val="center"/>
            </w:pPr>
            <w:r>
              <w:rPr>
                <w:rFonts w:ascii="宋体" w:hAnsi="宋体"/>
                <w:sz w:val="18"/>
              </w:rPr>
              <w:t>=1次</w:t>
            </w:r>
          </w:p>
        </w:tc>
        <w:tc>
          <w:tcPr>
            <w:tcW w:w="1088" w:type="dxa"/>
            <w:tcBorders>
              <w:top w:val="nil"/>
              <w:left w:val="nil"/>
              <w:bottom w:val="single" w:color="auto" w:sz="4" w:space="0"/>
              <w:right w:val="single" w:color="auto" w:sz="4" w:space="0"/>
            </w:tcBorders>
            <w:shd w:val="clear" w:color="auto" w:fill="auto"/>
            <w:vAlign w:val="center"/>
          </w:tcPr>
          <w:p w14:paraId="6E059479">
            <w:pPr>
              <w:jc w:val="center"/>
            </w:pPr>
            <w:r>
              <w:rPr>
                <w:rFonts w:ascii="宋体" w:hAnsi="宋体"/>
                <w:sz w:val="18"/>
              </w:rPr>
              <w:t>=1次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71DEB1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1D13C1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2FBB4B8">
            <w:pPr>
              <w:jc w:val="center"/>
            </w:pPr>
          </w:p>
        </w:tc>
      </w:tr>
      <w:tr w14:paraId="3F80C21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1BBA2B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65EB47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A3D9BCA">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88E3918">
            <w:pPr>
              <w:jc w:val="center"/>
            </w:pPr>
            <w:r>
              <w:rPr>
                <w:rFonts w:ascii="宋体" w:hAnsi="宋体"/>
                <w:sz w:val="18"/>
              </w:rPr>
              <w:t>召开专题议政性常委会会议</w:t>
            </w:r>
          </w:p>
        </w:tc>
        <w:tc>
          <w:tcPr>
            <w:tcW w:w="1266" w:type="dxa"/>
            <w:tcBorders>
              <w:top w:val="nil"/>
              <w:left w:val="nil"/>
              <w:bottom w:val="single" w:color="auto" w:sz="4" w:space="0"/>
              <w:right w:val="single" w:color="auto" w:sz="4" w:space="0"/>
            </w:tcBorders>
            <w:shd w:val="clear" w:color="auto" w:fill="auto"/>
            <w:vAlign w:val="center"/>
          </w:tcPr>
          <w:p w14:paraId="03314E13">
            <w:pPr>
              <w:jc w:val="center"/>
            </w:pPr>
            <w:r>
              <w:rPr>
                <w:rFonts w:ascii="宋体" w:hAnsi="宋体"/>
                <w:sz w:val="18"/>
              </w:rPr>
              <w:t>=4次</w:t>
            </w:r>
          </w:p>
        </w:tc>
        <w:tc>
          <w:tcPr>
            <w:tcW w:w="1088" w:type="dxa"/>
            <w:tcBorders>
              <w:top w:val="nil"/>
              <w:left w:val="nil"/>
              <w:bottom w:val="single" w:color="auto" w:sz="4" w:space="0"/>
              <w:right w:val="single" w:color="auto" w:sz="4" w:space="0"/>
            </w:tcBorders>
            <w:shd w:val="clear" w:color="auto" w:fill="auto"/>
            <w:vAlign w:val="center"/>
          </w:tcPr>
          <w:p w14:paraId="158CE83A">
            <w:pPr>
              <w:jc w:val="center"/>
            </w:pPr>
            <w:r>
              <w:rPr>
                <w:rFonts w:ascii="宋体" w:hAnsi="宋体"/>
                <w:sz w:val="18"/>
              </w:rPr>
              <w:t>=4次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9B5AAD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967428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96F579B">
            <w:pPr>
              <w:jc w:val="center"/>
            </w:pPr>
          </w:p>
        </w:tc>
      </w:tr>
      <w:tr w14:paraId="67DD704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9A355C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A1DC60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3439AA5">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3906F14">
            <w:pPr>
              <w:jc w:val="center"/>
            </w:pPr>
            <w:r>
              <w:rPr>
                <w:rFonts w:ascii="宋体" w:hAnsi="宋体"/>
                <w:sz w:val="18"/>
              </w:rPr>
              <w:t>召开专题协商会</w:t>
            </w:r>
          </w:p>
        </w:tc>
        <w:tc>
          <w:tcPr>
            <w:tcW w:w="1266" w:type="dxa"/>
            <w:tcBorders>
              <w:top w:val="nil"/>
              <w:left w:val="nil"/>
              <w:bottom w:val="single" w:color="auto" w:sz="4" w:space="0"/>
              <w:right w:val="single" w:color="auto" w:sz="4" w:space="0"/>
            </w:tcBorders>
            <w:shd w:val="clear" w:color="auto" w:fill="auto"/>
            <w:vAlign w:val="center"/>
          </w:tcPr>
          <w:p w14:paraId="67022284">
            <w:pPr>
              <w:jc w:val="center"/>
            </w:pPr>
            <w:r>
              <w:rPr>
                <w:rFonts w:ascii="宋体" w:hAnsi="宋体"/>
                <w:sz w:val="18"/>
              </w:rPr>
              <w:t>=3次</w:t>
            </w:r>
          </w:p>
        </w:tc>
        <w:tc>
          <w:tcPr>
            <w:tcW w:w="1088" w:type="dxa"/>
            <w:tcBorders>
              <w:top w:val="nil"/>
              <w:left w:val="nil"/>
              <w:bottom w:val="single" w:color="auto" w:sz="4" w:space="0"/>
              <w:right w:val="single" w:color="auto" w:sz="4" w:space="0"/>
            </w:tcBorders>
            <w:shd w:val="clear" w:color="auto" w:fill="auto"/>
            <w:vAlign w:val="center"/>
          </w:tcPr>
          <w:p w14:paraId="57F30109">
            <w:pPr>
              <w:jc w:val="center"/>
            </w:pPr>
            <w:r>
              <w:rPr>
                <w:rFonts w:ascii="宋体" w:hAnsi="宋体"/>
                <w:sz w:val="18"/>
              </w:rPr>
              <w:t>=3次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07BA35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237129B">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5D1ACC2">
            <w:pPr>
              <w:jc w:val="center"/>
            </w:pPr>
          </w:p>
        </w:tc>
      </w:tr>
      <w:tr w14:paraId="716294E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5286F6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B4619E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B5BC2AC">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A483D18">
            <w:pPr>
              <w:jc w:val="center"/>
            </w:pPr>
            <w:r>
              <w:rPr>
                <w:rFonts w:ascii="宋体" w:hAnsi="宋体"/>
                <w:sz w:val="18"/>
              </w:rPr>
              <w:t>会议参会人员出勤率</w:t>
            </w:r>
          </w:p>
        </w:tc>
        <w:tc>
          <w:tcPr>
            <w:tcW w:w="1266" w:type="dxa"/>
            <w:tcBorders>
              <w:top w:val="nil"/>
              <w:left w:val="nil"/>
              <w:bottom w:val="single" w:color="auto" w:sz="4" w:space="0"/>
              <w:right w:val="single" w:color="auto" w:sz="4" w:space="0"/>
            </w:tcBorders>
            <w:shd w:val="clear" w:color="auto" w:fill="auto"/>
            <w:vAlign w:val="center"/>
          </w:tcPr>
          <w:p w14:paraId="105C77E5">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46704C2E">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D275F32">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A7BDCE0">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CD563CE">
            <w:pPr>
              <w:jc w:val="center"/>
            </w:pPr>
          </w:p>
        </w:tc>
      </w:tr>
      <w:tr w14:paraId="2BAE6D3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DF81FB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2E489D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487D989">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AB148F8">
            <w:pPr>
              <w:jc w:val="center"/>
            </w:pPr>
            <w:r>
              <w:rPr>
                <w:rFonts w:ascii="宋体" w:hAnsi="宋体"/>
                <w:sz w:val="18"/>
              </w:rPr>
              <w:t>会议按期完成及时率</w:t>
            </w:r>
          </w:p>
        </w:tc>
        <w:tc>
          <w:tcPr>
            <w:tcW w:w="1266" w:type="dxa"/>
            <w:tcBorders>
              <w:top w:val="nil"/>
              <w:left w:val="nil"/>
              <w:bottom w:val="single" w:color="auto" w:sz="4" w:space="0"/>
              <w:right w:val="single" w:color="auto" w:sz="4" w:space="0"/>
            </w:tcBorders>
            <w:shd w:val="clear" w:color="auto" w:fill="auto"/>
            <w:vAlign w:val="center"/>
          </w:tcPr>
          <w:p w14:paraId="1E4910A9">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7410F091">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8E9EE53">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168C589">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B6EFB60">
            <w:pPr>
              <w:jc w:val="center"/>
            </w:pPr>
          </w:p>
        </w:tc>
      </w:tr>
      <w:tr w14:paraId="3A58D0C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DA09A90">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556805E">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1287923C">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601B37A">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3A4F4B8D">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0F12405C">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A3BBE9F">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10CB240">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F1F2EF3">
            <w:pPr>
              <w:jc w:val="center"/>
            </w:pPr>
          </w:p>
        </w:tc>
      </w:tr>
      <w:tr w14:paraId="78B41CA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C4D69F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0E6C0C8">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6F7E9E55">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78D0F5F">
            <w:pPr>
              <w:jc w:val="center"/>
            </w:pPr>
            <w:r>
              <w:rPr>
                <w:rFonts w:ascii="宋体" w:hAnsi="宋体"/>
                <w:sz w:val="18"/>
              </w:rPr>
              <w:t>保障政协参政议政民主监督政治协商职能</w:t>
            </w:r>
          </w:p>
        </w:tc>
        <w:tc>
          <w:tcPr>
            <w:tcW w:w="1266" w:type="dxa"/>
            <w:tcBorders>
              <w:top w:val="nil"/>
              <w:left w:val="nil"/>
              <w:bottom w:val="single" w:color="auto" w:sz="4" w:space="0"/>
              <w:right w:val="single" w:color="auto" w:sz="4" w:space="0"/>
            </w:tcBorders>
            <w:shd w:val="clear" w:color="auto" w:fill="auto"/>
            <w:vAlign w:val="center"/>
          </w:tcPr>
          <w:p w14:paraId="2993B051">
            <w:pPr>
              <w:jc w:val="center"/>
            </w:pPr>
            <w:r>
              <w:rPr>
                <w:rFonts w:ascii="宋体" w:hAnsi="宋体"/>
                <w:sz w:val="18"/>
              </w:rPr>
              <w:t>有效保障</w:t>
            </w:r>
          </w:p>
        </w:tc>
        <w:tc>
          <w:tcPr>
            <w:tcW w:w="1088" w:type="dxa"/>
            <w:tcBorders>
              <w:top w:val="nil"/>
              <w:left w:val="nil"/>
              <w:bottom w:val="single" w:color="auto" w:sz="4" w:space="0"/>
              <w:right w:val="single" w:color="auto" w:sz="4" w:space="0"/>
            </w:tcBorders>
            <w:shd w:val="clear" w:color="auto" w:fill="auto"/>
            <w:vAlign w:val="center"/>
          </w:tcPr>
          <w:p w14:paraId="21DFD01F">
            <w:pPr>
              <w:jc w:val="center"/>
            </w:pPr>
            <w:r>
              <w:rPr>
                <w:rFonts w:ascii="宋体" w:hAnsi="宋体"/>
                <w:sz w:val="18"/>
              </w:rPr>
              <w:t>有效保障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23FEDAF">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98E23CD">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D001F0E">
            <w:pPr>
              <w:jc w:val="center"/>
            </w:pPr>
          </w:p>
        </w:tc>
      </w:tr>
      <w:tr w14:paraId="5E866AF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0BCE25B">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594477E0">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32B7BCC5">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DD196BA">
            <w:pPr>
              <w:jc w:val="center"/>
            </w:pPr>
            <w:r>
              <w:rPr>
                <w:rFonts w:ascii="宋体" w:hAnsi="宋体"/>
                <w:sz w:val="18"/>
              </w:rPr>
              <w:t>委员满意度</w:t>
            </w:r>
          </w:p>
        </w:tc>
        <w:tc>
          <w:tcPr>
            <w:tcW w:w="1266" w:type="dxa"/>
            <w:tcBorders>
              <w:top w:val="nil"/>
              <w:left w:val="nil"/>
              <w:bottom w:val="single" w:color="auto" w:sz="4" w:space="0"/>
              <w:right w:val="single" w:color="auto" w:sz="4" w:space="0"/>
            </w:tcBorders>
            <w:shd w:val="clear" w:color="auto" w:fill="auto"/>
            <w:vAlign w:val="center"/>
          </w:tcPr>
          <w:p w14:paraId="7C902A25">
            <w:pPr>
              <w:jc w:val="center"/>
            </w:pPr>
            <w:r>
              <w:rPr>
                <w:rFonts w:ascii="宋体" w:hAnsi="宋体"/>
                <w:sz w:val="18"/>
              </w:rPr>
              <w:t>&gt;=96%</w:t>
            </w:r>
          </w:p>
        </w:tc>
        <w:tc>
          <w:tcPr>
            <w:tcW w:w="1088" w:type="dxa"/>
            <w:tcBorders>
              <w:top w:val="nil"/>
              <w:left w:val="nil"/>
              <w:bottom w:val="single" w:color="auto" w:sz="4" w:space="0"/>
              <w:right w:val="single" w:color="auto" w:sz="4" w:space="0"/>
            </w:tcBorders>
            <w:shd w:val="clear" w:color="auto" w:fill="auto"/>
            <w:vAlign w:val="center"/>
          </w:tcPr>
          <w:p w14:paraId="41ADBFB5">
            <w:pPr>
              <w:jc w:val="center"/>
            </w:pPr>
            <w:r>
              <w:rPr>
                <w:rFonts w:ascii="宋体" w:hAnsi="宋体"/>
                <w:sz w:val="18"/>
              </w:rPr>
              <w:t>=96.55%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1A05CBE">
            <w:pPr>
              <w:jc w:val="center"/>
            </w:pPr>
            <w:r>
              <w:rPr>
                <w:rFonts w:ascii="宋体" w:hAnsi="宋体"/>
                <w:sz w:val="18"/>
              </w:rPr>
              <w:t>3</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012C4A2">
            <w:pPr>
              <w:jc w:val="center"/>
            </w:pPr>
            <w:r>
              <w:rPr>
                <w:rFonts w:ascii="宋体" w:hAnsi="宋体"/>
                <w:sz w:val="18"/>
              </w:rPr>
              <w:t>3</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B0E4C00">
            <w:pPr>
              <w:jc w:val="center"/>
            </w:pPr>
          </w:p>
        </w:tc>
      </w:tr>
      <w:tr w14:paraId="1D1D6DC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5C2BD8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AEDD38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0D91367">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2CA07CB">
            <w:pPr>
              <w:jc w:val="center"/>
            </w:pPr>
            <w:r>
              <w:rPr>
                <w:rFonts w:ascii="宋体" w:hAnsi="宋体"/>
                <w:sz w:val="18"/>
              </w:rPr>
              <w:t>干部满意度</w:t>
            </w:r>
          </w:p>
        </w:tc>
        <w:tc>
          <w:tcPr>
            <w:tcW w:w="1266" w:type="dxa"/>
            <w:tcBorders>
              <w:top w:val="nil"/>
              <w:left w:val="nil"/>
              <w:bottom w:val="single" w:color="auto" w:sz="4" w:space="0"/>
              <w:right w:val="single" w:color="auto" w:sz="4" w:space="0"/>
            </w:tcBorders>
            <w:shd w:val="clear" w:color="auto" w:fill="auto"/>
            <w:vAlign w:val="center"/>
          </w:tcPr>
          <w:p w14:paraId="4B99EB7C">
            <w:pPr>
              <w:jc w:val="center"/>
            </w:pPr>
            <w:r>
              <w:rPr>
                <w:rFonts w:ascii="宋体" w:hAnsi="宋体"/>
                <w:sz w:val="18"/>
              </w:rPr>
              <w:t>&gt;=96%</w:t>
            </w:r>
          </w:p>
        </w:tc>
        <w:tc>
          <w:tcPr>
            <w:tcW w:w="1088" w:type="dxa"/>
            <w:tcBorders>
              <w:top w:val="nil"/>
              <w:left w:val="nil"/>
              <w:bottom w:val="single" w:color="auto" w:sz="4" w:space="0"/>
              <w:right w:val="single" w:color="auto" w:sz="4" w:space="0"/>
            </w:tcBorders>
            <w:shd w:val="clear" w:color="auto" w:fill="auto"/>
            <w:vAlign w:val="center"/>
          </w:tcPr>
          <w:p w14:paraId="6AEBCDE2">
            <w:pPr>
              <w:jc w:val="center"/>
            </w:pPr>
            <w:r>
              <w:rPr>
                <w:rFonts w:ascii="宋体" w:hAnsi="宋体"/>
                <w:sz w:val="18"/>
              </w:rPr>
              <w:t>=96.55%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3464F22">
            <w:pPr>
              <w:jc w:val="center"/>
            </w:pPr>
            <w:r>
              <w:rPr>
                <w:rFonts w:ascii="宋体" w:hAnsi="宋体"/>
                <w:sz w:val="18"/>
              </w:rPr>
              <w:t>3</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B56CB40">
            <w:pPr>
              <w:jc w:val="center"/>
            </w:pPr>
            <w:r>
              <w:rPr>
                <w:rFonts w:ascii="宋体" w:hAnsi="宋体"/>
                <w:sz w:val="18"/>
              </w:rPr>
              <w:t>3</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BC058D9">
            <w:pPr>
              <w:jc w:val="center"/>
            </w:pPr>
          </w:p>
        </w:tc>
      </w:tr>
      <w:tr w14:paraId="6557B51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D082E6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DE8DC1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951354E">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B76B2F8">
            <w:pPr>
              <w:jc w:val="center"/>
            </w:pPr>
            <w:r>
              <w:rPr>
                <w:rFonts w:ascii="宋体" w:hAnsi="宋体"/>
                <w:sz w:val="18"/>
              </w:rPr>
              <w:t>群众满意度</w:t>
            </w:r>
          </w:p>
        </w:tc>
        <w:tc>
          <w:tcPr>
            <w:tcW w:w="1266" w:type="dxa"/>
            <w:tcBorders>
              <w:top w:val="nil"/>
              <w:left w:val="nil"/>
              <w:bottom w:val="single" w:color="auto" w:sz="4" w:space="0"/>
              <w:right w:val="single" w:color="auto" w:sz="4" w:space="0"/>
            </w:tcBorders>
            <w:shd w:val="clear" w:color="auto" w:fill="auto"/>
            <w:vAlign w:val="center"/>
          </w:tcPr>
          <w:p w14:paraId="13BCD8CB">
            <w:pPr>
              <w:jc w:val="center"/>
            </w:pPr>
            <w:r>
              <w:rPr>
                <w:rFonts w:ascii="宋体" w:hAnsi="宋体"/>
                <w:sz w:val="18"/>
              </w:rPr>
              <w:t>&gt;=96%</w:t>
            </w:r>
          </w:p>
        </w:tc>
        <w:tc>
          <w:tcPr>
            <w:tcW w:w="1088" w:type="dxa"/>
            <w:tcBorders>
              <w:top w:val="nil"/>
              <w:left w:val="nil"/>
              <w:bottom w:val="single" w:color="auto" w:sz="4" w:space="0"/>
              <w:right w:val="single" w:color="auto" w:sz="4" w:space="0"/>
            </w:tcBorders>
            <w:shd w:val="clear" w:color="auto" w:fill="auto"/>
            <w:vAlign w:val="center"/>
          </w:tcPr>
          <w:p w14:paraId="4ED5B199">
            <w:pPr>
              <w:jc w:val="center"/>
            </w:pPr>
            <w:r>
              <w:rPr>
                <w:rFonts w:ascii="宋体" w:hAnsi="宋体"/>
                <w:sz w:val="18"/>
              </w:rPr>
              <w:t>=96.55%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70B09DA">
            <w:pPr>
              <w:jc w:val="center"/>
            </w:pPr>
            <w:r>
              <w:rPr>
                <w:rFonts w:ascii="宋体" w:hAnsi="宋体"/>
                <w:sz w:val="18"/>
              </w:rPr>
              <w:t>4</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D85F723">
            <w:pPr>
              <w:jc w:val="center"/>
            </w:pPr>
            <w:r>
              <w:rPr>
                <w:rFonts w:ascii="宋体" w:hAnsi="宋体"/>
                <w:sz w:val="18"/>
              </w:rPr>
              <w:t>4</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766FF2A">
            <w:pPr>
              <w:jc w:val="center"/>
            </w:pPr>
          </w:p>
        </w:tc>
      </w:tr>
      <w:tr w14:paraId="196097CE">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0CA199A">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14450D47">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381B18A9">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28DEA42">
            <w:pPr>
              <w:jc w:val="center"/>
            </w:pPr>
          </w:p>
        </w:tc>
      </w:tr>
    </w:tbl>
    <w:p w14:paraId="29AC8BA9">
      <w:pPr>
        <w:ind w:firstLine="640" w:firstLineChars="200"/>
        <w:jc w:val="left"/>
        <w:rPr>
          <w:rFonts w:hint="eastAsia" w:ascii="黑体" w:hAnsi="黑体" w:eastAsia="黑体" w:cs="宋体"/>
          <w:bCs/>
          <w:kern w:val="0"/>
          <w:sz w:val="32"/>
          <w:szCs w:val="32"/>
        </w:rPr>
      </w:pPr>
    </w:p>
    <w:p w14:paraId="5B76AA5C">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72726EB3">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14:paraId="2B0DBCB8">
      <w:pPr>
        <w:jc w:val="center"/>
        <w:outlineLvl w:val="0"/>
        <w:rPr>
          <w:rFonts w:hint="eastAsia" w:ascii="黑体" w:hAnsi="黑体" w:eastAsia="黑体"/>
          <w:sz w:val="32"/>
          <w:szCs w:val="32"/>
        </w:rPr>
      </w:pPr>
      <w:bookmarkStart w:id="40" w:name="_Toc24143"/>
      <w:bookmarkStart w:id="41" w:name="_Toc3250"/>
      <w:r>
        <w:rPr>
          <w:rFonts w:hint="eastAsia" w:ascii="黑体" w:hAnsi="黑体" w:eastAsia="黑体"/>
          <w:sz w:val="32"/>
          <w:szCs w:val="32"/>
        </w:rPr>
        <w:br w:type="page"/>
      </w:r>
      <w:r>
        <w:rPr>
          <w:rFonts w:hint="eastAsia" w:ascii="黑体" w:hAnsi="黑体" w:eastAsia="黑体"/>
          <w:sz w:val="32"/>
          <w:szCs w:val="32"/>
        </w:rPr>
        <w:t>第三部分 专业名词解释</w:t>
      </w:r>
      <w:bookmarkEnd w:id="40"/>
      <w:bookmarkEnd w:id="41"/>
    </w:p>
    <w:p w14:paraId="490DA3B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2B4E077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6B80EFE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4C7FD63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5F4AEF4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58C9453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3C71161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5969324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3BB3B18">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30D6C50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3A50CDE5">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48F7A0CF">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5EE0FE23">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88275DA">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3FF0370A">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7D7C446F">
      <w:pPr>
        <w:ind w:firstLine="640" w:firstLineChars="200"/>
        <w:outlineLvl w:val="1"/>
        <w:rPr>
          <w:rFonts w:hint="eastAsia" w:ascii="黑体" w:hAnsi="黑体" w:eastAsia="仿宋_GB2312" w:cs="宋体"/>
          <w:bCs/>
          <w:kern w:val="0"/>
          <w:sz w:val="32"/>
          <w:szCs w:val="32"/>
        </w:rPr>
      </w:pPr>
      <w:bookmarkStart w:id="42" w:name="_Toc6062"/>
      <w:bookmarkStart w:id="43" w:name="_Toc2183"/>
      <w:r>
        <w:rPr>
          <w:rFonts w:hint="eastAsia" w:ascii="黑体" w:hAnsi="黑体" w:eastAsia="仿宋_GB2312" w:cs="宋体"/>
          <w:bCs/>
          <w:kern w:val="0"/>
          <w:sz w:val="32"/>
          <w:szCs w:val="32"/>
        </w:rPr>
        <w:t>一、《收入支出决算总表》</w:t>
      </w:r>
      <w:bookmarkEnd w:id="42"/>
      <w:bookmarkEnd w:id="43"/>
    </w:p>
    <w:p w14:paraId="235A534F">
      <w:pPr>
        <w:ind w:firstLine="640" w:firstLineChars="200"/>
        <w:outlineLvl w:val="1"/>
        <w:rPr>
          <w:rFonts w:hint="eastAsia" w:ascii="黑体" w:hAnsi="黑体" w:eastAsia="仿宋_GB2312" w:cs="宋体"/>
          <w:bCs/>
          <w:kern w:val="0"/>
          <w:sz w:val="32"/>
          <w:szCs w:val="32"/>
        </w:rPr>
      </w:pPr>
      <w:bookmarkStart w:id="44" w:name="_Toc24532"/>
      <w:bookmarkStart w:id="45" w:name="_Toc30364"/>
      <w:r>
        <w:rPr>
          <w:rFonts w:hint="eastAsia" w:ascii="黑体" w:hAnsi="黑体" w:eastAsia="仿宋_GB2312" w:cs="宋体"/>
          <w:bCs/>
          <w:kern w:val="0"/>
          <w:sz w:val="32"/>
          <w:szCs w:val="32"/>
        </w:rPr>
        <w:t>二、《收入决算表》</w:t>
      </w:r>
      <w:bookmarkEnd w:id="44"/>
      <w:bookmarkEnd w:id="45"/>
    </w:p>
    <w:p w14:paraId="5B3AB046">
      <w:pPr>
        <w:ind w:firstLine="640" w:firstLineChars="200"/>
        <w:outlineLvl w:val="1"/>
        <w:rPr>
          <w:rFonts w:hint="eastAsia" w:ascii="黑体" w:hAnsi="黑体" w:eastAsia="仿宋_GB2312" w:cs="宋体"/>
          <w:bCs/>
          <w:kern w:val="0"/>
          <w:sz w:val="32"/>
          <w:szCs w:val="32"/>
        </w:rPr>
      </w:pPr>
      <w:bookmarkStart w:id="46" w:name="_Toc32434"/>
      <w:bookmarkStart w:id="47" w:name="_Toc21304"/>
      <w:r>
        <w:rPr>
          <w:rFonts w:hint="eastAsia" w:ascii="黑体" w:hAnsi="黑体" w:eastAsia="仿宋_GB2312" w:cs="宋体"/>
          <w:bCs/>
          <w:kern w:val="0"/>
          <w:sz w:val="32"/>
          <w:szCs w:val="32"/>
        </w:rPr>
        <w:t>三、《支出决算表》</w:t>
      </w:r>
      <w:bookmarkEnd w:id="46"/>
      <w:bookmarkEnd w:id="47"/>
    </w:p>
    <w:p w14:paraId="75895E92">
      <w:pPr>
        <w:ind w:firstLine="640" w:firstLineChars="200"/>
        <w:outlineLvl w:val="1"/>
        <w:rPr>
          <w:rFonts w:hint="eastAsia" w:ascii="黑体" w:hAnsi="黑体" w:eastAsia="仿宋_GB2312" w:cs="宋体"/>
          <w:bCs/>
          <w:kern w:val="0"/>
          <w:sz w:val="32"/>
          <w:szCs w:val="32"/>
        </w:rPr>
      </w:pPr>
      <w:bookmarkStart w:id="48" w:name="_Toc28786"/>
      <w:bookmarkStart w:id="49" w:name="_Toc14238"/>
      <w:r>
        <w:rPr>
          <w:rFonts w:hint="eastAsia" w:ascii="黑体" w:hAnsi="黑体" w:eastAsia="仿宋_GB2312" w:cs="宋体"/>
          <w:bCs/>
          <w:kern w:val="0"/>
          <w:sz w:val="32"/>
          <w:szCs w:val="32"/>
        </w:rPr>
        <w:t>四、《财政拨款收入支出决算总表》</w:t>
      </w:r>
      <w:bookmarkEnd w:id="48"/>
      <w:bookmarkEnd w:id="49"/>
    </w:p>
    <w:p w14:paraId="31FDEB85">
      <w:pPr>
        <w:ind w:firstLine="640" w:firstLineChars="200"/>
        <w:outlineLvl w:val="1"/>
        <w:rPr>
          <w:rFonts w:hint="eastAsia" w:ascii="黑体" w:hAnsi="黑体" w:eastAsia="仿宋_GB2312" w:cs="宋体"/>
          <w:bCs/>
          <w:kern w:val="0"/>
          <w:sz w:val="32"/>
          <w:szCs w:val="32"/>
        </w:rPr>
      </w:pPr>
      <w:bookmarkStart w:id="50" w:name="_Toc10347"/>
      <w:bookmarkStart w:id="51" w:name="_Toc14869"/>
      <w:r>
        <w:rPr>
          <w:rFonts w:hint="eastAsia" w:ascii="黑体" w:hAnsi="黑体" w:eastAsia="仿宋_GB2312" w:cs="宋体"/>
          <w:bCs/>
          <w:kern w:val="0"/>
          <w:sz w:val="32"/>
          <w:szCs w:val="32"/>
        </w:rPr>
        <w:t>五、《一般公共预算财政拨款支出决算表》</w:t>
      </w:r>
      <w:bookmarkEnd w:id="50"/>
      <w:bookmarkEnd w:id="51"/>
    </w:p>
    <w:p w14:paraId="7541171E">
      <w:pPr>
        <w:ind w:firstLine="640" w:firstLineChars="200"/>
        <w:outlineLvl w:val="1"/>
        <w:rPr>
          <w:rFonts w:hint="eastAsia" w:ascii="黑体" w:hAnsi="黑体" w:eastAsia="仿宋_GB2312" w:cs="宋体"/>
          <w:bCs/>
          <w:kern w:val="0"/>
          <w:sz w:val="32"/>
          <w:szCs w:val="32"/>
        </w:rPr>
      </w:pPr>
      <w:bookmarkStart w:id="52" w:name="_Toc8884"/>
      <w:bookmarkStart w:id="53" w:name="_Toc5626"/>
      <w:r>
        <w:rPr>
          <w:rFonts w:hint="eastAsia" w:ascii="黑体" w:hAnsi="黑体" w:eastAsia="仿宋_GB2312" w:cs="宋体"/>
          <w:bCs/>
          <w:kern w:val="0"/>
          <w:sz w:val="32"/>
          <w:szCs w:val="32"/>
        </w:rPr>
        <w:t>六、《一般公共预算财政拨款基本支出决算表》</w:t>
      </w:r>
      <w:bookmarkEnd w:id="52"/>
      <w:bookmarkEnd w:id="53"/>
    </w:p>
    <w:p w14:paraId="5D20D6E1">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54" w:name="_Toc32663"/>
      <w:bookmarkStart w:id="55" w:name="_Toc29106"/>
      <w:r>
        <w:rPr>
          <w:rFonts w:hint="eastAsia" w:ascii="黑体" w:hAnsi="黑体" w:eastAsia="仿宋_GB2312" w:cs="宋体"/>
          <w:bCs/>
          <w:kern w:val="0"/>
          <w:sz w:val="32"/>
          <w:szCs w:val="32"/>
        </w:rPr>
        <w:t>《财政拨款“三公”经费支出决算表》</w:t>
      </w:r>
      <w:bookmarkEnd w:id="54"/>
      <w:bookmarkEnd w:id="55"/>
    </w:p>
    <w:p w14:paraId="4FE04EAD">
      <w:pPr>
        <w:ind w:firstLine="640" w:firstLineChars="200"/>
        <w:outlineLvl w:val="1"/>
        <w:rPr>
          <w:rFonts w:hint="eastAsia" w:ascii="黑体" w:hAnsi="黑体" w:eastAsia="仿宋_GB2312" w:cs="宋体"/>
          <w:bCs/>
          <w:kern w:val="0"/>
          <w:sz w:val="32"/>
          <w:szCs w:val="32"/>
        </w:rPr>
      </w:pPr>
      <w:bookmarkStart w:id="56" w:name="_Toc7643"/>
      <w:bookmarkStart w:id="57" w:name="_Toc5453"/>
      <w:r>
        <w:rPr>
          <w:rFonts w:hint="eastAsia" w:ascii="黑体" w:hAnsi="黑体" w:eastAsia="仿宋_GB2312" w:cs="宋体"/>
          <w:bCs/>
          <w:kern w:val="0"/>
          <w:sz w:val="32"/>
          <w:szCs w:val="32"/>
        </w:rPr>
        <w:t>八、《政府性基金预算财政拨款收入支出决算表》</w:t>
      </w:r>
      <w:bookmarkEnd w:id="56"/>
      <w:bookmarkEnd w:id="57"/>
    </w:p>
    <w:p w14:paraId="6B3733FD">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3FD25564">
      <w:pPr>
        <w:ind w:firstLine="640" w:firstLineChars="200"/>
        <w:rPr>
          <w:rFonts w:ascii="仿宋_GB2312" w:eastAsia="仿宋_GB2312"/>
          <w:sz w:val="32"/>
          <w:szCs w:val="32"/>
        </w:rPr>
      </w:pPr>
    </w:p>
    <w:p w14:paraId="0322A723">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26348D">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546A2B2">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6546A2B2">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wYmJhZjc0NGViYWI2MzA4ODc2NzVjMTUwODc4MTAifQ=="/>
    <w:docVar w:name="KSO_WPS_MARK_KEY" w:val="41ee2a61-2d54-4f93-83be-afdb9a40d732"/>
  </w:docVars>
  <w:rsids>
    <w:rsidRoot w:val="00565B08"/>
    <w:rsid w:val="00137877"/>
    <w:rsid w:val="0019100F"/>
    <w:rsid w:val="00213C59"/>
    <w:rsid w:val="00286DD0"/>
    <w:rsid w:val="003210CE"/>
    <w:rsid w:val="0033350A"/>
    <w:rsid w:val="0035164B"/>
    <w:rsid w:val="00565B08"/>
    <w:rsid w:val="006C709C"/>
    <w:rsid w:val="008B7EF0"/>
    <w:rsid w:val="00A055B0"/>
    <w:rsid w:val="00B70D59"/>
    <w:rsid w:val="00C03EF2"/>
    <w:rsid w:val="00D33065"/>
    <w:rsid w:val="00D90482"/>
    <w:rsid w:val="00DA1ADB"/>
    <w:rsid w:val="00F52A8D"/>
    <w:rsid w:val="00F81385"/>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A97F7A"/>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DE325EB"/>
    <w:rsid w:val="0E640559"/>
    <w:rsid w:val="0F1113DA"/>
    <w:rsid w:val="0F78534A"/>
    <w:rsid w:val="0F89358A"/>
    <w:rsid w:val="0F8C6D51"/>
    <w:rsid w:val="105B0B5E"/>
    <w:rsid w:val="112E58D0"/>
    <w:rsid w:val="11731CAC"/>
    <w:rsid w:val="119500A0"/>
    <w:rsid w:val="11A2456B"/>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32031A"/>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4D7016"/>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993BFF"/>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7630</Words>
  <Characters>8634</Characters>
  <Lines>71</Lines>
  <Paragraphs>20</Paragraphs>
  <TotalTime>63</TotalTime>
  <ScaleCrop>false</ScaleCrop>
  <LinksUpToDate>false</LinksUpToDate>
  <CharactersWithSpaces>8644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仰～</cp:lastModifiedBy>
  <dcterms:modified xsi:type="dcterms:W3CDTF">2024-12-27T06:41:40Z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