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bookmarkStart w:id="9" w:name="_GoBack"/>
      <w:bookmarkEnd w:id="9"/>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2023年县妇联活动经费</w:t>
      </w:r>
      <w:r>
        <w:rPr>
          <w:rFonts w:eastAsia="方正小标宋_GBK"/>
          <w:kern w:val="0"/>
          <w:sz w:val="48"/>
          <w:szCs w:val="48"/>
        </w:rPr>
        <w:t>项目支出</w:t>
      </w:r>
    </w:p>
    <w:p>
      <w:pPr>
        <w:spacing w:line="540" w:lineRule="exact"/>
        <w:jc w:val="center"/>
        <w:rPr>
          <w:rFonts w:eastAsia="方正小标宋_GBK"/>
          <w:kern w:val="0"/>
          <w:sz w:val="48"/>
          <w:szCs w:val="48"/>
        </w:rPr>
      </w:pPr>
      <w:r>
        <w:rPr>
          <w:rFonts w:eastAsia="方正小标宋_GBK"/>
          <w:kern w:val="0"/>
          <w:sz w:val="48"/>
          <w:szCs w:val="48"/>
        </w:rPr>
        <w:t>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2023年县妇联活动经费</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奇台县妇女联合会</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奇台县妇女联合会</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香玲萍</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4</w:t>
      </w:r>
      <w:r>
        <w:rPr>
          <w:rFonts w:eastAsia="仿宋_GB2312"/>
          <w:kern w:val="0"/>
          <w:sz w:val="36"/>
          <w:szCs w:val="36"/>
        </w:rPr>
        <w:t>月</w:t>
      </w:r>
      <w:r>
        <w:rPr>
          <w:rFonts w:hint="eastAsia" w:eastAsia="仿宋_GB2312"/>
          <w:kern w:val="0"/>
          <w:sz w:val="36"/>
          <w:szCs w:val="36"/>
        </w:rPr>
        <w:t>16</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40" w:lineRule="exact"/>
        <w:ind w:firstLine="640"/>
        <w:rPr>
          <w:rStyle w:val="15"/>
          <w:rFonts w:eastAsia="黑体"/>
          <w:b w:val="0"/>
          <w:spacing w:val="-4"/>
          <w:sz w:val="32"/>
          <w:szCs w:val="32"/>
        </w:rPr>
      </w:pPr>
    </w:p>
    <w:p>
      <w:pPr>
        <w:spacing w:line="540" w:lineRule="exact"/>
        <w:rPr>
          <w:rStyle w:val="15"/>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2023年是全面贯彻落实党的二十大精神的开局之年、实施 ‘十四五’规划的关键之年。县妇联在</w:t>
      </w:r>
      <w:r>
        <w:rPr>
          <w:rFonts w:hint="eastAsia" w:ascii="仿宋_GB2312" w:hAnsi="仿宋_GB2312" w:eastAsia="仿宋_GB2312" w:cs="仿宋_GB2312"/>
          <w:sz w:val="30"/>
          <w:szCs w:val="30"/>
          <w:lang w:eastAsia="zh-CN"/>
        </w:rPr>
        <w:t>县委、县政府</w:t>
      </w:r>
      <w:r>
        <w:rPr>
          <w:rFonts w:hint="eastAsia" w:ascii="仿宋_GB2312" w:hAnsi="仿宋_GB2312" w:eastAsia="仿宋_GB2312" w:cs="仿宋_GB2312"/>
          <w:sz w:val="30"/>
          <w:szCs w:val="30"/>
        </w:rPr>
        <w:t>以及上级妇联的领导下，立足本职，当好党联系妇女群众的桥梁纽带，发挥好妇联组织的“半边天”作用，引领新时代女性在新时代新征程上汇聚巾帼力量、展现巾帼作为、创造巾帼业绩。为了进一步提振妇女干部群众发展信心、传递社会正能量，最广泛地把各族妇女群众更加紧密地团结在党的周围。</w:t>
      </w:r>
    </w:p>
    <w:p>
      <w:pPr>
        <w:pStyle w:val="2"/>
        <w:spacing w:before="0" w:after="0" w:line="560" w:lineRule="exact"/>
        <w:ind w:firstLine="643" w:firstLineChars="200"/>
        <w:jc w:val="both"/>
        <w:rPr>
          <w:rFonts w:ascii="Times New Roman" w:hAnsi="Times New Roman" w:eastAsia="仿宋_GB2312"/>
          <w:kern w:val="2"/>
        </w:rPr>
      </w:pPr>
      <w:r>
        <w:rPr>
          <w:rFonts w:hint="eastAsia" w:ascii="Times New Roman" w:hAnsi="Times New Roman" w:eastAsia="仿宋_GB2312"/>
          <w:kern w:val="2"/>
        </w:rPr>
        <w:t>2</w:t>
      </w:r>
      <w:r>
        <w:rPr>
          <w:rFonts w:ascii="Times New Roman" w:hAnsi="Times New Roman" w:eastAsia="仿宋_GB2312"/>
          <w:kern w:val="2"/>
        </w:rPr>
        <w:t>项目主要内容：</w:t>
      </w:r>
    </w:p>
    <w:p>
      <w:pPr>
        <w:spacing w:line="560" w:lineRule="exact"/>
        <w:ind w:firstLine="60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项目主要内容：</w:t>
      </w:r>
      <w:r>
        <w:rPr>
          <w:rFonts w:hint="eastAsia" w:ascii="仿宋_GB2312" w:hAnsi="仿宋_GB2312" w:eastAsia="仿宋_GB2312" w:cs="仿宋_GB2312"/>
          <w:sz w:val="32"/>
          <w:szCs w:val="32"/>
        </w:rPr>
        <w:t>2023年计划做到周周有宣传，月月有互动的宣传模式，广泛开展各类文体联谊活动。全县15个乡镇妇联，86个村（社区）妇联，组织基层妇女群众参加每月一主题的活动，参与人数达到500多人次。</w:t>
      </w:r>
    </w:p>
    <w:p>
      <w:pPr>
        <w:spacing w:line="560" w:lineRule="exact"/>
        <w:ind w:firstLine="640" w:firstLineChars="200"/>
      </w:pPr>
      <w:r>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hint="eastAsia" w:eastAsia="仿宋_GB2312"/>
          <w:sz w:val="32"/>
          <w:szCs w:val="32"/>
        </w:rPr>
        <w:t>全年开展各类活动12场次，基层妇女参与人数达500多人。</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该项目年初预算数5万元，全年预算数6.5万元实际总投入6.5万元，该项目资金已全部落实到位，资金来源为财政拨款。</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5万元，全年预算数6.5万元,全年执行数6.5万元，预算执行率为100%，主要用于：主要用于基层文化活动开展，乡镇妇联组织参与数15个，村（社区）妇联组织参与数86个，组织活动场次12场次，于2023年12月31日前实施完成，通过项目的实施，极力满足基层妇女群众的文化生活需要，使满意度达到95%以上。</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为了进一步提振妇女干部群众发展信息、传递社会政能力，最广泛地把各族妇女群众更加紧密地团结在党的周围。本年度计划做到周周有宣传 ，月月有互动的宣传模式，广泛开展各类文体联谊活动。主要用于基层文化活动开展，乡镇妇联组织参与数15个， 村（社区）妇联组织参与数86个，组织活动场次12场次，于2023年12月31日前实施完成，通过项目的实施，极力满足基层妇女群众的文化生活需要，使满意度达到95%以上。</w:t>
      </w:r>
    </w:p>
    <w:p>
      <w:pPr>
        <w:numPr>
          <w:ilvl w:val="0"/>
          <w:numId w:val="1"/>
        </w:numPr>
        <w:spacing w:line="560" w:lineRule="exact"/>
        <w:ind w:firstLine="640" w:firstLineChars="200"/>
        <w:rPr>
          <w:rFonts w:eastAsia="仿宋_GB2312"/>
          <w:sz w:val="32"/>
          <w:szCs w:val="32"/>
        </w:rPr>
      </w:pPr>
      <w:r>
        <w:rPr>
          <w:rFonts w:eastAsia="仿宋_GB2312"/>
          <w:sz w:val="32"/>
          <w:szCs w:val="32"/>
        </w:rPr>
        <w:t>阶段性目标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本年度县妇通过周周有宣传，广泛开展各类文体联谊活动，组织妇女群众参与基层文化活动，参与乡镇妇联15个，“三八”“母亲节”期间组织开展各类活动7场次，通过项目的实施极力满足妇女群众文化的需求。</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2023年县妇联活动经费项目所包含的全部项目内容。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2023年县妇联活动经费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sz w:val="32"/>
          <w:szCs w:val="32"/>
        </w:rPr>
      </w:pPr>
      <w:r>
        <w:rPr>
          <w:rFonts w:eastAsia="仿宋_GB2312"/>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spacing w:val="17"/>
          <w:sz w:val="32"/>
          <w:szCs w:val="32"/>
        </w:rPr>
      </w:pPr>
      <w:r>
        <w:rPr>
          <w:rFonts w:eastAsia="仿宋_GB2312"/>
          <w:spacing w:val="17"/>
          <w:sz w:val="32"/>
          <w:szCs w:val="32"/>
        </w:rPr>
        <w:t>（1）确定评价指标</w:t>
      </w:r>
    </w:p>
    <w:p>
      <w:pPr>
        <w:spacing w:line="56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spacing w:val="17"/>
          <w:sz w:val="32"/>
          <w:szCs w:val="32"/>
        </w:rPr>
      </w:pPr>
      <w:r>
        <w:rPr>
          <w:rFonts w:eastAsia="仿宋_GB2312"/>
          <w:spacing w:val="17"/>
          <w:sz w:val="32"/>
          <w:szCs w:val="32"/>
        </w:rPr>
        <w:t>（2）确定权重</w:t>
      </w:r>
    </w:p>
    <w:p>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spacing w:val="17"/>
          <w:sz w:val="32"/>
          <w:szCs w:val="32"/>
        </w:rPr>
      </w:pPr>
      <w:r>
        <w:rPr>
          <w:rFonts w:eastAsia="仿宋_GB2312"/>
          <w:spacing w:val="17"/>
          <w:sz w:val="32"/>
          <w:szCs w:val="32"/>
        </w:rPr>
        <w:t>（3）确定指标标准值</w:t>
      </w:r>
    </w:p>
    <w:p>
      <w:pPr>
        <w:spacing w:line="56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spacing w:val="17"/>
          <w:sz w:val="32"/>
          <w:szCs w:val="32"/>
        </w:rPr>
      </w:pPr>
      <w:r>
        <w:rPr>
          <w:rFonts w:eastAsia="仿宋_GB2312"/>
          <w:spacing w:val="17"/>
          <w:sz w:val="32"/>
          <w:szCs w:val="32"/>
        </w:rPr>
        <w:t>（1）比较法</w:t>
      </w:r>
    </w:p>
    <w:p>
      <w:pPr>
        <w:spacing w:line="56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pPr>
        <w:spacing w:line="560" w:lineRule="exact"/>
        <w:ind w:firstLine="708" w:firstLineChars="200"/>
        <w:rPr>
          <w:rFonts w:eastAsia="仿宋_GB2312"/>
          <w:spacing w:val="17"/>
          <w:sz w:val="32"/>
          <w:szCs w:val="32"/>
        </w:rPr>
      </w:pPr>
      <w:r>
        <w:rPr>
          <w:rFonts w:eastAsia="仿宋_GB2312"/>
          <w:spacing w:val="17"/>
          <w:sz w:val="32"/>
          <w:szCs w:val="32"/>
        </w:rPr>
        <w:t>（2）因素分析法</w:t>
      </w:r>
    </w:p>
    <w:p>
      <w:pPr>
        <w:spacing w:line="56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spacing w:val="17"/>
          <w:sz w:val="32"/>
          <w:szCs w:val="32"/>
        </w:rPr>
      </w:pPr>
      <w:r>
        <w:rPr>
          <w:rFonts w:hint="eastAsia" w:eastAsia="仿宋_GB2312"/>
          <w:spacing w:val="17"/>
          <w:sz w:val="32"/>
          <w:szCs w:val="32"/>
        </w:rPr>
        <w:t>绩效评价标准通常包括计划标准、行业标准、历史标准等，用于对绩效指标完成情况进行比较、分析、评价。本次评价主要采用了计划标准。</w:t>
      </w:r>
    </w:p>
    <w:p>
      <w:pPr>
        <w:spacing w:line="560" w:lineRule="exact"/>
        <w:ind w:firstLine="708" w:firstLineChars="200"/>
        <w:rPr>
          <w:rFonts w:eastAsia="仿宋_GB2312"/>
          <w:spacing w:val="17"/>
          <w:sz w:val="32"/>
          <w:szCs w:val="32"/>
        </w:rPr>
      </w:pPr>
      <w:bookmarkStart w:id="0" w:name="_Toc17882"/>
      <w:bookmarkStart w:id="1" w:name="_Toc31464"/>
      <w:r>
        <w:rPr>
          <w:rFonts w:hint="eastAsia" w:eastAsia="仿宋_GB2312"/>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spacing w:val="17"/>
          <w:sz w:val="32"/>
          <w:szCs w:val="32"/>
        </w:rPr>
      </w:pPr>
      <w:bookmarkStart w:id="2" w:name="_Toc5633"/>
      <w:bookmarkStart w:id="3" w:name="_Toc2318"/>
      <w:r>
        <w:rPr>
          <w:rFonts w:hint="eastAsia" w:eastAsia="仿宋_GB2312"/>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16028"/>
      <w:bookmarkStart w:id="5" w:name="_Toc430"/>
      <w:r>
        <w:rPr>
          <w:rFonts w:hint="eastAsia" w:eastAsia="仿宋_GB2312"/>
          <w:spacing w:val="17"/>
          <w:sz w:val="32"/>
          <w:szCs w:val="32"/>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hint="eastAsia" w:ascii="楷体" w:hAnsi="楷体" w:eastAsia="楷体" w:cs="楷体"/>
          <w:spacing w:val="17"/>
        </w:rPr>
      </w:pPr>
      <w:r>
        <w:rPr>
          <w:rFonts w:hint="eastAsia" w:ascii="楷体" w:hAnsi="楷体" w:eastAsia="楷体" w:cs="楷体"/>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20分，得分率为100%。项目过程类指标权重为20分，得分为20分，得分率为100%。项目产出类指标权重为40分，得分为40分，得分率为100%。项目效益类指标权重为20分，得分为20分，得分率为100%。具体打分情况详见：附件1综合评分表。</w:t>
      </w:r>
    </w:p>
    <w:p>
      <w:pPr>
        <w:pStyle w:val="2"/>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00" w:firstLineChars="200"/>
        <w:outlineLvl w:val="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项目决策类指标包括项目立项、绩效目标和资金投入三方面的内容，由6个三级指标构成，权重分值为20分，实际得分20分，得分率为100%。</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hint="eastAsia"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项目过程类指标包括资金管理和组织实施两方面的内容，由5个三级指标构成，权重分值为20分，实际得分20分，得分率为100%。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本项目总投资6.5万元，财政资金及时足额到位，到位率100%，预算资金按计划进度执行。</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预算编制较为详细，项目资金支出总体能够按照预算执行，预算资金支出6.5万元，预算执行率为100%。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项目产出类指标包括产出数量、产出质量、产出时效、产出成本四方面的内容，由7个三级指标构成，权重分为40分，实际得分40分，得分率为100%。具体产出指标完成情况如下：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指标1：乡镇妇联组织参与数，指标值：=15个，实际完成值：=15个，指标完成率100%；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指标2：村（社区）妇联组织参与数，指标值：=86个，实际完成值：=86个，指标完成率100%；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指标3：组织活动场次，指标值：=12次，实际完成值：=12次，指标完成率100%；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指标4：基层妇女参与数，指标值：&gt;=500人，实际完成值：=500人，指标完成率100%。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指标1：活动举办成功率，指标值：&gt;=95%，实际完成值：=95%，指标完成率100%；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指标2：资金支付及时性，指标值：&lt;=100%，实际完成值：=100%，指标完成率100%。</w:t>
      </w:r>
    </w:p>
    <w:p>
      <w:pPr>
        <w:spacing w:line="600" w:lineRule="exact"/>
        <w:ind w:firstLine="640" w:firstLineChars="200"/>
        <w:outlineLvl w:val="0"/>
        <w:rPr>
          <w:rFonts w:hint="eastAsia" w:ascii="仿宋_GB2312" w:hAnsi="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指标1：资金支付及时率，指标值：=100%，实际完成值：=100%，指标完成率100%。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指标1：项目预算控制率，指标值：≤100%，实际完成值：=100%，指标完成率100%。</w:t>
      </w:r>
    </w:p>
    <w:p>
      <w:pPr>
        <w:pStyle w:val="11"/>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指标1：提升基层妇女文化需求，指标值：有效提升，实际完成值：有效提升，指标完成率100%。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spacing w:line="600" w:lineRule="exact"/>
        <w:ind w:firstLine="640" w:firstLineChars="200"/>
        <w:outlineLvl w:val="0"/>
        <w:rPr>
          <w:rFonts w:eastAsia="黑体"/>
          <w:sz w:val="32"/>
          <w:szCs w:val="32"/>
          <w:lang w:eastAsia="zh-Hans"/>
        </w:rPr>
      </w:pPr>
      <w:r>
        <w:rPr>
          <w:rFonts w:hint="eastAsia" w:ascii="仿宋_GB2312" w:hAnsi="仿宋_GB2312" w:eastAsia="仿宋_GB2312" w:cs="仿宋_GB2312"/>
          <w:sz w:val="32"/>
          <w:szCs w:val="32"/>
        </w:rPr>
        <w:t>满意度指标：基层妇联组织满意度，指标值：&gt;=95%,实际完成值：=95%，指标完成率100%。</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18"/>
        <w:spacing w:line="560" w:lineRule="exact"/>
        <w:ind w:firstLine="640"/>
        <w:rPr>
          <w:rFonts w:eastAsia="仿宋_GB2312"/>
          <w:kern w:val="2"/>
          <w:sz w:val="32"/>
          <w:szCs w:val="32"/>
        </w:rPr>
      </w:pPr>
      <w:r>
        <w:rPr>
          <w:rFonts w:hint="eastAsia" w:eastAsia="仿宋_GB2312"/>
          <w:kern w:val="2"/>
          <w:sz w:val="32"/>
          <w:szCs w:val="32"/>
        </w:rPr>
        <w:t>2023年县妇联活动经费项目年初预算5万元，全年预算6.5万元，实际支出6.5万元，预算执行率为100%，项目绩效指标总体完成率为100%，</w:t>
      </w:r>
      <w:r>
        <w:rPr>
          <w:rFonts w:hint="eastAsia" w:eastAsia="仿宋_GB2312"/>
          <w:kern w:val="2"/>
          <w:sz w:val="32"/>
          <w:szCs w:val="32"/>
          <w:lang w:eastAsia="zh-Hans"/>
        </w:rPr>
        <w:t>总体</w:t>
      </w:r>
      <w:r>
        <w:rPr>
          <w:rFonts w:hint="eastAsia" w:eastAsia="仿宋_GB2312"/>
          <w:kern w:val="2"/>
          <w:sz w:val="32"/>
          <w:szCs w:val="32"/>
        </w:rPr>
        <w:t>偏差率为0%。</w:t>
      </w:r>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对项目支出绩效工作的人事有待于提高，项目资金的支出导致做绩效工作的工作人员对项目流程不够熟悉，项目相关资料收集不够及时。预算执行的约束力不够，受政策非连续性与预算执行率等不协调因素影响，预算项目在执行过程中缺乏有效的监督机制，预算执行审核缺乏常态性。由于部门专业监督人员缺乏，很难做到对财政预算资金进行全覆盖跟踪监督，同时，审核监督独立性不够充分也限制了监督职责的发挥。项目流程过于繁琐，项目人员配置偏少，造成工作强度偏大。</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妇联工作实际，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2"/>
        <w:spacing w:after="0" w:line="560" w:lineRule="exact"/>
        <w:ind w:left="0" w:leftChars="0" w:firstLine="640"/>
        <w:rPr>
          <w:rFonts w:hint="eastAsia" w:ascii="仿宋_GB2312" w:hAnsi="仿宋_GB2312" w:eastAsia="仿宋_GB2312" w:cs="仿宋_GB2312"/>
          <w:sz w:val="32"/>
          <w:szCs w:val="32"/>
        </w:rPr>
      </w:pPr>
    </w:p>
    <w:p>
      <w:pPr>
        <w:pStyle w:val="12"/>
        <w:spacing w:after="0" w:line="560" w:lineRule="exact"/>
        <w:ind w:left="0" w:leftChars="0" w:firstLine="640"/>
        <w:rPr>
          <w:rFonts w:hint="eastAsia" w:ascii="仿宋_GB2312" w:hAnsi="仿宋_GB2312" w:eastAsia="仿宋_GB2312" w:cs="仿宋_GB2312"/>
          <w:sz w:val="32"/>
          <w:szCs w:val="32"/>
        </w:rPr>
      </w:pPr>
    </w:p>
    <w:p>
      <w:pPr>
        <w:pStyle w:val="12"/>
        <w:spacing w:after="0" w:line="560" w:lineRule="exact"/>
        <w:ind w:left="0" w:leftChars="0" w:firstLine="0" w:firstLineChars="0"/>
        <w:rPr>
          <w:rFonts w:hint="eastAsia" w:ascii="仿宋_GB2312" w:hAnsi="仿宋_GB2312" w:eastAsia="仿宋_GB2312" w:cs="仿宋_GB2312"/>
          <w:sz w:val="32"/>
          <w:szCs w:val="32"/>
        </w:rPr>
      </w:pPr>
    </w:p>
    <w:p>
      <w:pPr>
        <w:widowControl/>
        <w:jc w:val="center"/>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3"/>
        <w:tblW w:w="14077" w:type="dxa"/>
        <w:tblInd w:w="98" w:type="dxa"/>
        <w:tblLayout w:type="fixed"/>
        <w:tblCellMar>
          <w:top w:w="0" w:type="dxa"/>
          <w:left w:w="108" w:type="dxa"/>
          <w:bottom w:w="0" w:type="dxa"/>
          <w:right w:w="108" w:type="dxa"/>
        </w:tblCellMar>
      </w:tblPr>
      <w:tblGrid>
        <w:gridCol w:w="1071"/>
        <w:gridCol w:w="1226"/>
        <w:gridCol w:w="2090"/>
        <w:gridCol w:w="167"/>
        <w:gridCol w:w="2610"/>
        <w:gridCol w:w="1262"/>
        <w:gridCol w:w="1293"/>
        <w:gridCol w:w="135"/>
        <w:gridCol w:w="1153"/>
        <w:gridCol w:w="497"/>
        <w:gridCol w:w="743"/>
        <w:gridCol w:w="583"/>
        <w:gridCol w:w="1090"/>
        <w:gridCol w:w="157"/>
      </w:tblGrid>
      <w:tr>
        <w:tblPrEx>
          <w:tblLayout w:type="fixed"/>
          <w:tblCellMar>
            <w:top w:w="0" w:type="dxa"/>
            <w:left w:w="108" w:type="dxa"/>
            <w:bottom w:w="0" w:type="dxa"/>
            <w:right w:w="108" w:type="dxa"/>
          </w:tblCellMar>
        </w:tblPrEx>
        <w:trPr>
          <w:gridAfter w:val="1"/>
          <w:wAfter w:w="157" w:type="dxa"/>
          <w:trHeight w:val="322" w:hRule="atLeast"/>
        </w:trPr>
        <w:tc>
          <w:tcPr>
            <w:tcW w:w="13920" w:type="dxa"/>
            <w:gridSpan w:val="13"/>
            <w:tcBorders>
              <w:top w:val="nil"/>
              <w:left w:val="nil"/>
              <w:bottom w:val="nil"/>
              <w:right w:val="nil"/>
            </w:tcBorders>
            <w:shd w:val="clear" w:color="auto" w:fill="auto"/>
            <w:vAlign w:val="center"/>
          </w:tcPr>
          <w:p>
            <w:pPr>
              <w:widowControl/>
              <w:jc w:val="center"/>
              <w:textAlignment w:val="center"/>
              <w:rPr>
                <w:rFonts w:hint="eastAsia" w:ascii="宋体" w:hAnsi="宋体" w:cs="宋体"/>
                <w:b/>
                <w:bCs/>
                <w:sz w:val="32"/>
                <w:szCs w:val="32"/>
              </w:rPr>
            </w:pPr>
            <w:r>
              <w:rPr>
                <w:rFonts w:hint="eastAsia" w:ascii="宋体" w:hAnsi="宋体" w:cs="宋体"/>
                <w:b/>
                <w:bCs/>
                <w:kern w:val="0"/>
                <w:sz w:val="32"/>
                <w:szCs w:val="32"/>
                <w:lang w:bidi="ar"/>
              </w:rPr>
              <w:t>项目支出绩效自评表</w:t>
            </w:r>
          </w:p>
        </w:tc>
      </w:tr>
      <w:tr>
        <w:tblPrEx>
          <w:tblLayout w:type="fixed"/>
          <w:tblCellMar>
            <w:top w:w="0" w:type="dxa"/>
            <w:left w:w="108" w:type="dxa"/>
            <w:bottom w:w="0" w:type="dxa"/>
            <w:right w:w="108" w:type="dxa"/>
          </w:tblCellMar>
        </w:tblPrEx>
        <w:trPr>
          <w:gridAfter w:val="1"/>
          <w:wAfter w:w="157" w:type="dxa"/>
          <w:trHeight w:val="90" w:hRule="atLeast"/>
        </w:trPr>
        <w:tc>
          <w:tcPr>
            <w:tcW w:w="13920" w:type="dxa"/>
            <w:gridSpan w:val="13"/>
            <w:tcBorders>
              <w:top w:val="nil"/>
              <w:left w:val="nil"/>
              <w:bottom w:val="nil"/>
              <w:right w:val="nil"/>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(2023年度)</w:t>
            </w:r>
          </w:p>
        </w:tc>
      </w:tr>
      <w:tr>
        <w:tblPrEx>
          <w:tblLayout w:type="fixed"/>
          <w:tblCellMar>
            <w:top w:w="0" w:type="dxa"/>
            <w:left w:w="108" w:type="dxa"/>
            <w:bottom w:w="0" w:type="dxa"/>
            <w:right w:w="108" w:type="dxa"/>
          </w:tblCellMar>
        </w:tblPrEx>
        <w:trPr>
          <w:gridAfter w:val="1"/>
          <w:wAfter w:w="157" w:type="dxa"/>
          <w:trHeight w:val="286" w:hRule="atLeast"/>
        </w:trPr>
        <w:tc>
          <w:tcPr>
            <w:tcW w:w="2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项目名称</w:t>
            </w:r>
          </w:p>
        </w:tc>
        <w:tc>
          <w:tcPr>
            <w:tcW w:w="1162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2023年县妇联活动经费</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主管部门</w:t>
            </w:r>
          </w:p>
        </w:tc>
        <w:tc>
          <w:tcPr>
            <w:tcW w:w="612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奇台县妇女联合会</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实施单位</w:t>
            </w:r>
          </w:p>
        </w:tc>
        <w:tc>
          <w:tcPr>
            <w:tcW w:w="406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奇台县妇女联合会</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项目资金</w:t>
            </w:r>
            <w:r>
              <w:rPr>
                <w:rFonts w:hint="eastAsia" w:ascii="宋体" w:hAnsi="宋体" w:cs="宋体"/>
                <w:kern w:val="0"/>
                <w:sz w:val="20"/>
                <w:szCs w:val="20"/>
                <w:lang w:bidi="ar"/>
              </w:rPr>
              <w:br w:type="textWrapping"/>
            </w:r>
            <w:r>
              <w:rPr>
                <w:rFonts w:hint="eastAsia" w:ascii="宋体" w:hAnsi="宋体" w:cs="宋体"/>
                <w:kern w:val="0"/>
                <w:sz w:val="20"/>
                <w:szCs w:val="20"/>
                <w:lang w:bidi="ar"/>
              </w:rPr>
              <w:t>（万元）</w:t>
            </w: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年初预算数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全年预算数</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全年执行数</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分值</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执行率</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得分</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年度资金总额</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5.00</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6.50</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6.50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100.00%</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10.00分</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其中：当年财政拨款</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6.5</w:t>
            </w: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6.5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 xml:space="preserve">      上年结转资金</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 xml:space="preserve">  其他资金</w:t>
            </w:r>
          </w:p>
        </w:tc>
        <w:tc>
          <w:tcPr>
            <w:tcW w:w="261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3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1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年度总体目标</w:t>
            </w:r>
          </w:p>
        </w:tc>
        <w:tc>
          <w:tcPr>
            <w:tcW w:w="735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预期目标</w:t>
            </w:r>
          </w:p>
        </w:tc>
        <w:tc>
          <w:tcPr>
            <w:tcW w:w="549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实际完成情况</w:t>
            </w:r>
          </w:p>
        </w:tc>
      </w:tr>
      <w:tr>
        <w:tblPrEx>
          <w:tblLayout w:type="fixed"/>
          <w:tblCellMar>
            <w:top w:w="0" w:type="dxa"/>
            <w:left w:w="108" w:type="dxa"/>
            <w:bottom w:w="0" w:type="dxa"/>
            <w:right w:w="108" w:type="dxa"/>
          </w:tblCellMar>
        </w:tblPrEx>
        <w:trPr>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7355" w:type="dxa"/>
            <w:gridSpan w:val="5"/>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exact"/>
              <w:jc w:val="left"/>
              <w:textAlignment w:val="top"/>
              <w:rPr>
                <w:rFonts w:hint="eastAsia" w:ascii="宋体" w:hAnsi="宋体" w:cs="宋体"/>
                <w:sz w:val="16"/>
                <w:szCs w:val="16"/>
              </w:rPr>
            </w:pPr>
            <w:r>
              <w:rPr>
                <w:rFonts w:hint="eastAsia" w:ascii="宋体" w:hAnsi="宋体" w:cs="宋体"/>
                <w:kern w:val="0"/>
                <w:sz w:val="16"/>
                <w:szCs w:val="16"/>
                <w:lang w:bidi="ar"/>
              </w:rPr>
              <w:t>为了进一步提振妇女干部群众发展信心、传递社会正能量，最广泛地把各族妇女群众更加紧密地团结在党的周围。本年度计划做到周周有宣传，月月有互动的宣传模式，广泛开展各类文体联谊活动。主要用于基层文化活动开展，乡镇妇联组织参与数15个，村（社区）妇联组织参与数86个，组织活动场次12次，于2023年12月31日前实施完成，通过本项目的实施，极力满足基层妇女群众的文化生活需要，使满意度达到95%以上。</w:t>
            </w:r>
          </w:p>
        </w:tc>
        <w:tc>
          <w:tcPr>
            <w:tcW w:w="5651" w:type="dxa"/>
            <w:gridSpan w:val="8"/>
            <w:tcBorders>
              <w:top w:val="single" w:color="000000" w:sz="4" w:space="0"/>
              <w:left w:val="single" w:color="000000" w:sz="4" w:space="0"/>
              <w:bottom w:val="single" w:color="000000" w:sz="4" w:space="0"/>
              <w:right w:val="single" w:color="000000" w:sz="4" w:space="0"/>
            </w:tcBorders>
            <w:shd w:val="clear" w:color="auto" w:fill="auto"/>
          </w:tcPr>
          <w:p>
            <w:pPr>
              <w:widowControl/>
              <w:spacing w:line="240" w:lineRule="exact"/>
              <w:jc w:val="left"/>
              <w:textAlignment w:val="top"/>
              <w:rPr>
                <w:rFonts w:hint="eastAsia" w:ascii="宋体" w:hAnsi="宋体" w:cs="宋体"/>
                <w:sz w:val="16"/>
                <w:szCs w:val="16"/>
              </w:rPr>
            </w:pPr>
            <w:r>
              <w:rPr>
                <w:rFonts w:hint="eastAsia" w:ascii="宋体" w:hAnsi="宋体" w:cs="宋体"/>
                <w:kern w:val="0"/>
                <w:sz w:val="16"/>
                <w:szCs w:val="16"/>
                <w:lang w:bidi="ar"/>
              </w:rPr>
              <w:t>2023年县妇联按照“一月一主题”活动要求，组织乡镇、村（社区）妇联参与活动，全年共开展各类活动12场次，参与乡镇妇联15个，村（社区）妇联86个，并于2023年12月31日前实施完成，通过本项目的实施，极力满足基层妇女群众的文化生活需要，使满意度达到95%以上，全县各族妇女干部群众发展信心、传递社会正能量的信心逐步增强，能紧密地团结在党的周围。</w:t>
            </w:r>
          </w:p>
        </w:tc>
      </w:tr>
      <w:tr>
        <w:tblPrEx>
          <w:tblLayout w:type="fixed"/>
          <w:tblCellMar>
            <w:top w:w="0" w:type="dxa"/>
            <w:left w:w="108" w:type="dxa"/>
            <w:bottom w:w="0" w:type="dxa"/>
            <w:right w:w="108" w:type="dxa"/>
          </w:tblCellMar>
        </w:tblPrEx>
        <w:trPr>
          <w:gridAfter w:val="1"/>
          <w:wAfter w:w="157" w:type="dxa"/>
          <w:trHeight w:val="316" w:hRule="atLeast"/>
        </w:trPr>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一级指标</w:t>
            </w:r>
          </w:p>
        </w:tc>
        <w:tc>
          <w:tcPr>
            <w:tcW w:w="20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二级指标</w:t>
            </w:r>
          </w:p>
        </w:tc>
        <w:tc>
          <w:tcPr>
            <w:tcW w:w="27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三级指标</w:t>
            </w:r>
          </w:p>
        </w:tc>
        <w:tc>
          <w:tcPr>
            <w:tcW w:w="126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年度指标值</w:t>
            </w:r>
          </w:p>
        </w:tc>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实际完成值</w:t>
            </w:r>
          </w:p>
        </w:tc>
        <w:tc>
          <w:tcPr>
            <w:tcW w:w="12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分值</w:t>
            </w:r>
          </w:p>
        </w:tc>
        <w:tc>
          <w:tcPr>
            <w:tcW w:w="124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得分</w:t>
            </w:r>
          </w:p>
        </w:tc>
        <w:tc>
          <w:tcPr>
            <w:tcW w:w="16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40" w:lineRule="exact"/>
              <w:jc w:val="center"/>
              <w:textAlignment w:val="center"/>
              <w:rPr>
                <w:rFonts w:hint="eastAsia" w:ascii="宋体" w:hAnsi="宋体" w:cs="宋体"/>
                <w:sz w:val="20"/>
                <w:szCs w:val="20"/>
              </w:rPr>
            </w:pPr>
            <w:r>
              <w:rPr>
                <w:rFonts w:hint="eastAsia" w:ascii="宋体" w:hAnsi="宋体" w:cs="宋体"/>
                <w:kern w:val="0"/>
                <w:sz w:val="20"/>
                <w:szCs w:val="20"/>
                <w:lang w:bidi="ar"/>
              </w:rPr>
              <w:t>偏差原因分析及改进措施</w:t>
            </w:r>
          </w:p>
        </w:tc>
      </w:tr>
      <w:tr>
        <w:tblPrEx>
          <w:tblLayout w:type="fixed"/>
          <w:tblCellMar>
            <w:top w:w="0" w:type="dxa"/>
            <w:left w:w="108" w:type="dxa"/>
            <w:bottom w:w="0" w:type="dxa"/>
            <w:right w:w="108" w:type="dxa"/>
          </w:tblCellMar>
        </w:tblPrEx>
        <w:trPr>
          <w:gridAfter w:val="1"/>
          <w:wAfter w:w="157" w:type="dxa"/>
          <w:trHeight w:val="316"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7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6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年度绩效指标完成情况</w:t>
            </w: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产出指标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数量指标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乡镇妇联组织参与数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=15个</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=15个</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数量指标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村（社区）妇联组织参与数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=86个</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=86个</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数量指标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组织活动场次</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=12次</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=12次</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8</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数量指标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基层妇女参与人数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&gt;=500人</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=500人</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质量指标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活动举办成功率（%）</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&gt;=95%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=95%</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6</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6</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时效指标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资金支付及时性（%）</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5</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成本指标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经济成本指标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项目预算控制数</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&lt;=100%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社会成本指标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生态环境成本指标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效益指标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经济效益指标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社会效益指标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提升基层妇女文化需求</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有效提升</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有效提升</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生态效益指标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sz w:val="20"/>
                <w:szCs w:val="20"/>
              </w:rPr>
            </w:pP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10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2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满意度指标</w:t>
            </w:r>
          </w:p>
        </w:tc>
        <w:tc>
          <w:tcPr>
            <w:tcW w:w="20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满意度指标</w:t>
            </w:r>
          </w:p>
        </w:tc>
        <w:tc>
          <w:tcPr>
            <w:tcW w:w="2777"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基层妇联组织满意度（%）</w:t>
            </w:r>
          </w:p>
        </w:tc>
        <w:tc>
          <w:tcPr>
            <w:tcW w:w="126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&gt;=95%</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=95%</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971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总分</w:t>
            </w:r>
          </w:p>
        </w:tc>
        <w:tc>
          <w:tcPr>
            <w:tcW w:w="12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2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100.00分</w:t>
            </w:r>
          </w:p>
        </w:tc>
        <w:tc>
          <w:tcPr>
            <w:tcW w:w="16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gridAfter w:val="1"/>
          <w:wAfter w:w="157" w:type="dxa"/>
          <w:trHeight w:val="90" w:hRule="atLeast"/>
        </w:trPr>
        <w:tc>
          <w:tcPr>
            <w:tcW w:w="2297" w:type="dxa"/>
            <w:gridSpan w:val="2"/>
            <w:tcBorders>
              <w:top w:val="single" w:color="000000" w:sz="4" w:space="0"/>
              <w:left w:val="nil"/>
              <w:bottom w:val="nil"/>
              <w:right w:val="nil"/>
            </w:tcBorders>
            <w:shd w:val="clear" w:color="auto" w:fill="auto"/>
            <w:vAlign w:val="center"/>
          </w:tcPr>
          <w:p>
            <w:pPr>
              <w:jc w:val="right"/>
              <w:rPr>
                <w:rFonts w:hint="eastAsia" w:ascii="宋体" w:hAnsi="宋体" w:cs="宋体"/>
                <w:sz w:val="20"/>
                <w:szCs w:val="20"/>
              </w:rPr>
            </w:pPr>
          </w:p>
        </w:tc>
        <w:tc>
          <w:tcPr>
            <w:tcW w:w="4867" w:type="dxa"/>
            <w:gridSpan w:val="3"/>
            <w:tcBorders>
              <w:top w:val="single" w:color="000000" w:sz="4" w:space="0"/>
              <w:left w:val="nil"/>
              <w:bottom w:val="nil"/>
              <w:right w:val="nil"/>
            </w:tcBorders>
            <w:shd w:val="clear" w:color="auto" w:fill="auto"/>
            <w:vAlign w:val="center"/>
          </w:tcPr>
          <w:p>
            <w:pPr>
              <w:jc w:val="left"/>
              <w:rPr>
                <w:rFonts w:hint="eastAsia" w:ascii="宋体" w:hAnsi="宋体" w:cs="宋体"/>
                <w:sz w:val="20"/>
                <w:szCs w:val="20"/>
              </w:rPr>
            </w:pPr>
          </w:p>
        </w:tc>
        <w:tc>
          <w:tcPr>
            <w:tcW w:w="2690" w:type="dxa"/>
            <w:gridSpan w:val="3"/>
            <w:tcBorders>
              <w:top w:val="single" w:color="000000" w:sz="4" w:space="0"/>
              <w:left w:val="nil"/>
              <w:bottom w:val="nil"/>
              <w:right w:val="nil"/>
            </w:tcBorders>
            <w:shd w:val="clear" w:color="auto" w:fill="auto"/>
            <w:vAlign w:val="center"/>
          </w:tcPr>
          <w:p>
            <w:pPr>
              <w:jc w:val="right"/>
              <w:rPr>
                <w:rFonts w:hint="eastAsia" w:ascii="宋体" w:hAnsi="宋体" w:cs="宋体"/>
                <w:sz w:val="20"/>
                <w:szCs w:val="20"/>
              </w:rPr>
            </w:pPr>
          </w:p>
          <w:p/>
        </w:tc>
        <w:tc>
          <w:tcPr>
            <w:tcW w:w="4066" w:type="dxa"/>
            <w:gridSpan w:val="5"/>
            <w:tcBorders>
              <w:top w:val="single" w:color="000000" w:sz="4" w:space="0"/>
              <w:left w:val="nil"/>
              <w:bottom w:val="nil"/>
              <w:right w:val="nil"/>
            </w:tcBorders>
            <w:shd w:val="clear" w:color="auto" w:fill="auto"/>
            <w:vAlign w:val="center"/>
          </w:tcPr>
          <w:p>
            <w:pPr>
              <w:jc w:val="left"/>
              <w:rPr>
                <w:rFonts w:hint="eastAsia" w:ascii="宋体" w:hAnsi="宋体" w:cs="宋体"/>
                <w:sz w:val="20"/>
                <w:szCs w:val="20"/>
              </w:rPr>
            </w:pPr>
          </w:p>
        </w:tc>
      </w:tr>
    </w:tbl>
    <w:p>
      <w:pPr>
        <w:pStyle w:val="2"/>
        <w:rPr>
          <w:rFonts w:ascii="Times New Roman" w:hAnsi="Times New Roman" w:eastAsia="黑体"/>
          <w:b w:val="0"/>
          <w:bCs w:val="0"/>
        </w:rPr>
      </w:pPr>
    </w:p>
    <w:p>
      <w:pPr>
        <w:pStyle w:val="2"/>
        <w:jc w:val="both"/>
        <w:rPr>
          <w:rFonts w:ascii="Times New Roman" w:hAnsi="Times New Roman"/>
        </w:rPr>
        <w:sectPr>
          <w:pgSz w:w="16838" w:h="11906" w:orient="landscape"/>
          <w:pgMar w:top="1803" w:right="1440" w:bottom="1559" w:left="1440" w:header="851" w:footer="992" w:gutter="0"/>
          <w:cols w:space="0" w:num="1"/>
          <w:docGrid w:type="lines" w:linePitch="316" w:charSpace="0"/>
        </w:sect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rPr>
      </w:pPr>
      <w:bookmarkStart w:id="7" w:name="_Toc30064_WPSOffice_Level1"/>
      <w:bookmarkStart w:id="8" w:name="_Toc26499_WPSOffice_Level2"/>
      <w:r>
        <w:rPr>
          <w:rFonts w:hint="eastAsia"/>
          <w:b/>
          <w:bCs/>
          <w:sz w:val="28"/>
          <w:szCs w:val="40"/>
        </w:rPr>
        <w:t>2023年县福利活动经费项目绩效评价指标体系及综合评分表</w:t>
      </w:r>
      <w:bookmarkEnd w:id="7"/>
      <w:bookmarkEnd w:id="8"/>
    </w:p>
    <w:tbl>
      <w:tblPr>
        <w:tblStyle w:val="13"/>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28"/>
        <w:gridCol w:w="764"/>
        <w:gridCol w:w="873"/>
        <w:gridCol w:w="2354"/>
        <w:gridCol w:w="5203"/>
        <w:gridCol w:w="1299"/>
        <w:gridCol w:w="136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28" w:type="dxa"/>
            <w:shd w:val="clear" w:color="auto" w:fill="FFFFFF"/>
            <w:vAlign w:val="center"/>
          </w:tcPr>
          <w:p>
            <w:pPr>
              <w:widowControl/>
              <w:spacing w:line="0" w:lineRule="atLeast"/>
              <w:jc w:val="center"/>
              <w:rPr>
                <w:b/>
                <w:bCs/>
                <w:kern w:val="0"/>
                <w:sz w:val="22"/>
                <w:szCs w:val="22"/>
              </w:rPr>
            </w:pPr>
            <w:r>
              <w:rPr>
                <w:b/>
                <w:bCs/>
                <w:kern w:val="0"/>
                <w:sz w:val="22"/>
                <w:szCs w:val="22"/>
              </w:rPr>
              <w:t>一级指标</w:t>
            </w:r>
          </w:p>
        </w:tc>
        <w:tc>
          <w:tcPr>
            <w:tcW w:w="764" w:type="dxa"/>
            <w:shd w:val="clear" w:color="auto" w:fill="FFFFFF"/>
            <w:vAlign w:val="center"/>
          </w:tcPr>
          <w:p>
            <w:pPr>
              <w:widowControl/>
              <w:spacing w:line="0" w:lineRule="atLeast"/>
              <w:jc w:val="center"/>
              <w:rPr>
                <w:b/>
                <w:bCs/>
                <w:kern w:val="0"/>
                <w:sz w:val="22"/>
                <w:szCs w:val="22"/>
              </w:rPr>
            </w:pPr>
            <w:r>
              <w:rPr>
                <w:b/>
                <w:bCs/>
                <w:kern w:val="0"/>
                <w:sz w:val="22"/>
                <w:szCs w:val="22"/>
              </w:rPr>
              <w:t>二级指标</w:t>
            </w:r>
          </w:p>
        </w:tc>
        <w:tc>
          <w:tcPr>
            <w:tcW w:w="873" w:type="dxa"/>
            <w:shd w:val="clear" w:color="auto" w:fill="FFFFFF"/>
            <w:vAlign w:val="center"/>
          </w:tcPr>
          <w:p>
            <w:pPr>
              <w:widowControl/>
              <w:spacing w:line="0" w:lineRule="atLeast"/>
              <w:jc w:val="center"/>
              <w:rPr>
                <w:b/>
                <w:bCs/>
                <w:kern w:val="0"/>
                <w:sz w:val="22"/>
                <w:szCs w:val="22"/>
              </w:rPr>
            </w:pPr>
            <w:r>
              <w:rPr>
                <w:b/>
                <w:bCs/>
                <w:kern w:val="0"/>
                <w:sz w:val="22"/>
                <w:szCs w:val="22"/>
              </w:rPr>
              <w:t>三级指标</w:t>
            </w:r>
          </w:p>
        </w:tc>
        <w:tc>
          <w:tcPr>
            <w:tcW w:w="2354" w:type="dxa"/>
            <w:shd w:val="clear" w:color="auto" w:fill="FFFFFF"/>
            <w:vAlign w:val="center"/>
          </w:tcPr>
          <w:p>
            <w:pPr>
              <w:widowControl/>
              <w:spacing w:line="0" w:lineRule="atLeast"/>
              <w:jc w:val="center"/>
              <w:rPr>
                <w:b/>
                <w:bCs/>
                <w:kern w:val="0"/>
                <w:sz w:val="22"/>
                <w:szCs w:val="22"/>
              </w:rPr>
            </w:pPr>
            <w:r>
              <w:rPr>
                <w:b/>
                <w:bCs/>
                <w:kern w:val="0"/>
                <w:sz w:val="22"/>
                <w:szCs w:val="22"/>
              </w:rPr>
              <w:t>指标解释</w:t>
            </w:r>
          </w:p>
        </w:tc>
        <w:tc>
          <w:tcPr>
            <w:tcW w:w="5203" w:type="dxa"/>
            <w:shd w:val="clear" w:color="auto" w:fill="FFFFFF"/>
            <w:vAlign w:val="center"/>
          </w:tcPr>
          <w:p>
            <w:pPr>
              <w:widowControl/>
              <w:spacing w:line="0" w:lineRule="atLeast"/>
              <w:jc w:val="center"/>
              <w:rPr>
                <w:b/>
                <w:bCs/>
                <w:kern w:val="0"/>
                <w:sz w:val="22"/>
                <w:szCs w:val="22"/>
              </w:rPr>
            </w:pPr>
            <w:r>
              <w:rPr>
                <w:b/>
                <w:bCs/>
                <w:kern w:val="0"/>
                <w:sz w:val="22"/>
                <w:szCs w:val="22"/>
              </w:rPr>
              <w:t>指标说明</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权重</w:t>
            </w:r>
          </w:p>
        </w:tc>
        <w:tc>
          <w:tcPr>
            <w:tcW w:w="1362" w:type="dxa"/>
            <w:shd w:val="clear" w:color="auto" w:fill="FFFFFF"/>
            <w:vAlign w:val="center"/>
          </w:tcPr>
          <w:p>
            <w:pPr>
              <w:widowControl/>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28" w:type="dxa"/>
            <w:vMerge w:val="restart"/>
            <w:shd w:val="clear" w:color="auto" w:fill="FFFFFF"/>
            <w:vAlign w:val="center"/>
          </w:tcPr>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r>
              <w:rPr>
                <w:kern w:val="0"/>
                <w:sz w:val="22"/>
                <w:szCs w:val="22"/>
              </w:rPr>
              <w:t>决策　</w:t>
            </w: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2354" w:type="dxa"/>
            <w:shd w:val="clear" w:color="auto" w:fill="FFFFFF"/>
            <w:vAlign w:val="center"/>
          </w:tcPr>
          <w:p>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5203" w:type="dxa"/>
            <w:shd w:val="clear" w:color="auto"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①项目立项是否符合国家法律法规、国民经济发展规划和相关政策；</w:t>
            </w:r>
            <w:r>
              <w:rPr>
                <w:kern w:val="0"/>
                <w:sz w:val="22"/>
                <w:szCs w:val="22"/>
              </w:rPr>
              <w:br w:type="textWrapping"/>
            </w:r>
            <w:r>
              <w:rPr>
                <w:kern w:val="0"/>
                <w:sz w:val="22"/>
                <w:szCs w:val="22"/>
              </w:rPr>
              <w:t>②项目立项是否符合行业发展规划和政策要求；</w:t>
            </w:r>
            <w:r>
              <w:rPr>
                <w:kern w:val="0"/>
                <w:sz w:val="22"/>
                <w:szCs w:val="22"/>
              </w:rPr>
              <w:br w:type="textWrapping"/>
            </w:r>
            <w:r>
              <w:rPr>
                <w:kern w:val="0"/>
                <w:sz w:val="22"/>
                <w:szCs w:val="22"/>
              </w:rPr>
              <w:t>③项目立项是否与部门职责范围相符，属于部门履职所需；</w:t>
            </w:r>
            <w:r>
              <w:rPr>
                <w:kern w:val="0"/>
                <w:sz w:val="22"/>
                <w:szCs w:val="22"/>
              </w:rPr>
              <w:br w:type="textWrapping"/>
            </w:r>
            <w:r>
              <w:rPr>
                <w:kern w:val="0"/>
                <w:sz w:val="22"/>
                <w:szCs w:val="22"/>
              </w:rPr>
              <w:t>④项目是否属于公共财政支持范围，是否符合中央、地方事权支出责任划分原则；</w:t>
            </w:r>
            <w:r>
              <w:rPr>
                <w:kern w:val="0"/>
                <w:sz w:val="22"/>
                <w:szCs w:val="22"/>
              </w:rPr>
              <w:br w:type="textWrapping"/>
            </w:r>
            <w:r>
              <w:rPr>
                <w:kern w:val="0"/>
                <w:sz w:val="22"/>
                <w:szCs w:val="22"/>
              </w:rPr>
              <w:t>⑤项目是否与相关部门同类项目或部门内部相关项目重复。</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28" w:type="dxa"/>
            <w:vMerge w:val="continue"/>
            <w:shd w:val="clear" w:color="auto" w:fill="FFFFFF"/>
            <w:vAlign w:val="center"/>
          </w:tcPr>
          <w:p>
            <w:pPr>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2354" w:type="dxa"/>
            <w:shd w:val="clear" w:color="auto" w:fill="FFFFFF"/>
            <w:vAlign w:val="center"/>
          </w:tcPr>
          <w:p>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5203" w:type="dxa"/>
            <w:shd w:val="clear" w:color="auto"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①项目是否按照规定的程序申请设立；</w:t>
            </w:r>
            <w:r>
              <w:rPr>
                <w:kern w:val="0"/>
                <w:sz w:val="22"/>
                <w:szCs w:val="22"/>
              </w:rPr>
              <w:br w:type="textWrapping"/>
            </w:r>
            <w:r>
              <w:rPr>
                <w:kern w:val="0"/>
                <w:sz w:val="22"/>
                <w:szCs w:val="22"/>
              </w:rPr>
              <w:t>②审批文件、材料是否符合相关要求；</w:t>
            </w:r>
            <w:r>
              <w:rPr>
                <w:kern w:val="0"/>
                <w:sz w:val="22"/>
                <w:szCs w:val="22"/>
              </w:rPr>
              <w:br w:type="textWrapping"/>
            </w:r>
            <w:r>
              <w:rPr>
                <w:kern w:val="0"/>
                <w:sz w:val="22"/>
                <w:szCs w:val="22"/>
              </w:rPr>
              <w:t>③事前是否已经过必要的可行性研究、专家论证、风险评估、绩效评估、集体决策。</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28" w:type="dxa"/>
            <w:vMerge w:val="continue"/>
            <w:shd w:val="clear" w:color="auto" w:fill="FFFFFF"/>
            <w:vAlign w:val="center"/>
          </w:tcPr>
          <w:p>
            <w:pPr>
              <w:spacing w:line="0" w:lineRule="atLeast"/>
              <w:jc w:val="center"/>
              <w:rPr>
                <w:kern w:val="0"/>
                <w:sz w:val="22"/>
                <w:szCs w:val="22"/>
              </w:rPr>
            </w:pP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2354" w:type="dxa"/>
            <w:shd w:val="clear" w:color="000000" w:fill="FFFFFF"/>
            <w:vAlign w:val="center"/>
          </w:tcPr>
          <w:p>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5203" w:type="dxa"/>
            <w:shd w:val="clear" w:color="000000"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（如未设定预算绩效目标，也可考核其他工作任务目标）</w:t>
            </w:r>
            <w:r>
              <w:rPr>
                <w:kern w:val="0"/>
                <w:sz w:val="22"/>
                <w:szCs w:val="22"/>
              </w:rPr>
              <w:br w:type="textWrapping"/>
            </w:r>
            <w:r>
              <w:rPr>
                <w:kern w:val="0"/>
                <w:sz w:val="22"/>
                <w:szCs w:val="22"/>
              </w:rPr>
              <w:t>①项目是否有绩效目标；</w:t>
            </w:r>
            <w:r>
              <w:rPr>
                <w:kern w:val="0"/>
                <w:sz w:val="22"/>
                <w:szCs w:val="22"/>
              </w:rPr>
              <w:br w:type="textWrapping"/>
            </w:r>
            <w:r>
              <w:rPr>
                <w:kern w:val="0"/>
                <w:sz w:val="22"/>
                <w:szCs w:val="22"/>
              </w:rPr>
              <w:t>②项目绩效目标与实际工作内容是否具有相关性；</w:t>
            </w:r>
            <w:r>
              <w:rPr>
                <w:kern w:val="0"/>
                <w:sz w:val="22"/>
                <w:szCs w:val="22"/>
              </w:rPr>
              <w:br w:type="textWrapping"/>
            </w:r>
            <w:r>
              <w:rPr>
                <w:kern w:val="0"/>
                <w:sz w:val="22"/>
                <w:szCs w:val="22"/>
              </w:rPr>
              <w:t>③项目预期产出效益和效果是否符合正常的业绩水平；</w:t>
            </w:r>
          </w:p>
          <w:p>
            <w:pPr>
              <w:widowControl/>
              <w:spacing w:line="0" w:lineRule="atLeast"/>
              <w:jc w:val="left"/>
              <w:rPr>
                <w:kern w:val="0"/>
                <w:sz w:val="22"/>
                <w:szCs w:val="22"/>
              </w:rPr>
            </w:pPr>
            <w:r>
              <w:rPr>
                <w:kern w:val="0"/>
                <w:sz w:val="22"/>
                <w:szCs w:val="22"/>
              </w:rPr>
              <w:t>④是否与预算确定的项目投资额或资金量相匹配。</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28"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2354" w:type="dxa"/>
            <w:shd w:val="clear" w:color="000000" w:fill="FFFFFF"/>
            <w:vAlign w:val="center"/>
          </w:tcPr>
          <w:p>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5203"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①是否将项目绩效目标细化分解为具体的绩效指标；</w:t>
            </w:r>
            <w:r>
              <w:rPr>
                <w:kern w:val="0"/>
                <w:sz w:val="22"/>
                <w:szCs w:val="22"/>
              </w:rPr>
              <w:br w:type="textWrapping"/>
            </w:r>
            <w:r>
              <w:rPr>
                <w:kern w:val="0"/>
                <w:sz w:val="22"/>
                <w:szCs w:val="22"/>
              </w:rPr>
              <w:t>②是否通过清晰、可衡量的指标值予以体现；</w:t>
            </w:r>
            <w:r>
              <w:rPr>
                <w:kern w:val="0"/>
                <w:sz w:val="22"/>
                <w:szCs w:val="22"/>
              </w:rPr>
              <w:br w:type="textWrapping"/>
            </w:r>
            <w:r>
              <w:rPr>
                <w:kern w:val="0"/>
                <w:sz w:val="22"/>
                <w:szCs w:val="22"/>
              </w:rPr>
              <w:t>③是否与项目目标任务数或计划数相对应。</w:t>
            </w:r>
            <w:r>
              <w:rPr>
                <w:kern w:val="0"/>
                <w:sz w:val="22"/>
                <w:szCs w:val="22"/>
              </w:rPr>
              <w:br w:type="textWrapping"/>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28" w:type="dxa"/>
            <w:vMerge w:val="continue"/>
            <w:shd w:val="clear" w:color="auto" w:fill="FFFFFF"/>
            <w:vAlign w:val="center"/>
          </w:tcPr>
          <w:p>
            <w:pPr>
              <w:spacing w:line="0" w:lineRule="atLeast"/>
              <w:jc w:val="center"/>
              <w:rPr>
                <w:kern w:val="0"/>
                <w:sz w:val="22"/>
                <w:szCs w:val="22"/>
              </w:rPr>
            </w:pP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资金投入</w:t>
            </w:r>
          </w:p>
          <w:p>
            <w:pPr>
              <w:spacing w:line="0" w:lineRule="atLeast"/>
              <w:jc w:val="center"/>
              <w:rPr>
                <w:kern w:val="0"/>
                <w:sz w:val="22"/>
                <w:szCs w:val="22"/>
              </w:rPr>
            </w:pPr>
            <w:r>
              <w:rPr>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2354" w:type="dxa"/>
            <w:shd w:val="clear" w:color="auto" w:fill="FFFFFF"/>
            <w:vAlign w:val="center"/>
          </w:tcPr>
          <w:p>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5203" w:type="dxa"/>
            <w:shd w:val="clear" w:color="auto"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①预算编制是否经过科学论证；</w:t>
            </w:r>
            <w:r>
              <w:rPr>
                <w:kern w:val="0"/>
                <w:sz w:val="22"/>
                <w:szCs w:val="22"/>
              </w:rPr>
              <w:br w:type="textWrapping"/>
            </w:r>
            <w:r>
              <w:rPr>
                <w:kern w:val="0"/>
                <w:sz w:val="22"/>
                <w:szCs w:val="22"/>
              </w:rPr>
              <w:t>②预算内容与项目内容是否匹配；</w:t>
            </w:r>
            <w:r>
              <w:rPr>
                <w:kern w:val="0"/>
                <w:sz w:val="22"/>
                <w:szCs w:val="22"/>
              </w:rPr>
              <w:br w:type="textWrapping"/>
            </w:r>
            <w:r>
              <w:rPr>
                <w:kern w:val="0"/>
                <w:sz w:val="22"/>
                <w:szCs w:val="22"/>
              </w:rPr>
              <w:t>③预算额度测算依据是否充分，是否按照标准编制；</w:t>
            </w:r>
            <w:r>
              <w:rPr>
                <w:kern w:val="0"/>
                <w:sz w:val="22"/>
                <w:szCs w:val="22"/>
              </w:rPr>
              <w:br w:type="textWrapping"/>
            </w:r>
            <w:r>
              <w:rPr>
                <w:kern w:val="0"/>
                <w:sz w:val="22"/>
                <w:szCs w:val="22"/>
              </w:rPr>
              <w:t>④预算确定的项目投资额或资金量是否与工作任务相匹配。</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28"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2354" w:type="dxa"/>
            <w:shd w:val="clear" w:color="auto" w:fill="FFFFFF"/>
            <w:vAlign w:val="center"/>
          </w:tcPr>
          <w:p>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5203" w:type="dxa"/>
            <w:shd w:val="clear" w:color="auto"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①预算资金分配依据是否充分；</w:t>
            </w:r>
            <w:r>
              <w:rPr>
                <w:kern w:val="0"/>
                <w:sz w:val="22"/>
                <w:szCs w:val="22"/>
              </w:rPr>
              <w:br w:type="textWrapping"/>
            </w:r>
            <w:r>
              <w:rPr>
                <w:kern w:val="0"/>
                <w:sz w:val="22"/>
                <w:szCs w:val="22"/>
              </w:rPr>
              <w:t>②资金分配额度是否合理，与项目单位或地方实际是否相适应。</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28" w:type="dxa"/>
            <w:vMerge w:val="restart"/>
            <w:shd w:val="clear" w:color="auto" w:fill="FFFFFF"/>
            <w:vAlign w:val="center"/>
          </w:tcPr>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r>
              <w:rPr>
                <w:kern w:val="0"/>
                <w:sz w:val="22"/>
                <w:szCs w:val="22"/>
              </w:rPr>
              <w:t>过程</w:t>
            </w:r>
          </w:p>
          <w:p>
            <w:pPr>
              <w:widowControl/>
              <w:spacing w:line="0" w:lineRule="atLeast"/>
              <w:jc w:val="center"/>
              <w:rPr>
                <w:kern w:val="0"/>
                <w:sz w:val="22"/>
                <w:szCs w:val="22"/>
              </w:rPr>
            </w:pPr>
            <w:r>
              <w:rPr>
                <w:kern w:val="0"/>
                <w:sz w:val="22"/>
                <w:szCs w:val="22"/>
              </w:rPr>
              <w:t>　　</w:t>
            </w: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2354" w:type="dxa"/>
            <w:shd w:val="clear" w:color="000000" w:fill="FFFFFF"/>
            <w:vAlign w:val="center"/>
          </w:tcPr>
          <w:p>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5203" w:type="dxa"/>
            <w:shd w:val="clear" w:color="000000" w:fill="FFFFFF"/>
            <w:vAlign w:val="center"/>
          </w:tcPr>
          <w:p>
            <w:pPr>
              <w:widowControl/>
              <w:spacing w:line="0" w:lineRule="atLeast"/>
              <w:rPr>
                <w:kern w:val="0"/>
                <w:sz w:val="22"/>
                <w:szCs w:val="22"/>
              </w:rPr>
            </w:pPr>
            <w:r>
              <w:rPr>
                <w:kern w:val="0"/>
                <w:sz w:val="22"/>
                <w:szCs w:val="22"/>
              </w:rPr>
              <w:t>资金到位率=（实际到位资金/预算资金）×100%。</w:t>
            </w:r>
          </w:p>
          <w:p>
            <w:pPr>
              <w:widowControl/>
              <w:spacing w:line="0" w:lineRule="atLeast"/>
              <w:rPr>
                <w:kern w:val="0"/>
                <w:sz w:val="22"/>
                <w:szCs w:val="22"/>
              </w:rPr>
            </w:pPr>
            <w:r>
              <w:rPr>
                <w:kern w:val="0"/>
                <w:sz w:val="22"/>
                <w:szCs w:val="22"/>
              </w:rPr>
              <w:t>实际到位资金：一定时期（本年度或项目期）内落实到具体项目的资金。</w:t>
            </w:r>
          </w:p>
          <w:p>
            <w:pPr>
              <w:widowControl/>
              <w:spacing w:line="0" w:lineRule="atLeast"/>
              <w:rPr>
                <w:kern w:val="0"/>
                <w:sz w:val="22"/>
                <w:szCs w:val="22"/>
              </w:rPr>
            </w:pPr>
            <w:r>
              <w:rPr>
                <w:kern w:val="0"/>
                <w:sz w:val="22"/>
                <w:szCs w:val="22"/>
              </w:rPr>
              <w:t>预算资金：一定时期（本年度或项目期）内预算安排到具体项目的资金。</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28" w:type="dxa"/>
            <w:vMerge w:val="continue"/>
            <w:shd w:val="clear" w:color="auto" w:fill="FFFFFF"/>
            <w:vAlign w:val="center"/>
          </w:tcPr>
          <w:p>
            <w:pPr>
              <w:spacing w:line="0" w:lineRule="atLeast"/>
              <w:jc w:val="center"/>
              <w:rPr>
                <w:kern w:val="0"/>
                <w:sz w:val="22"/>
                <w:szCs w:val="22"/>
              </w:rPr>
            </w:pPr>
          </w:p>
        </w:tc>
        <w:tc>
          <w:tcPr>
            <w:tcW w:w="764" w:type="dxa"/>
            <w:vMerge w:val="continue"/>
            <w:shd w:val="clear" w:color="auto" w:fill="FFFFFF"/>
            <w:vAlign w:val="center"/>
          </w:tcPr>
          <w:p>
            <w:pPr>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2354" w:type="dxa"/>
            <w:shd w:val="clear" w:color="auto" w:fill="FFFFFF"/>
            <w:vAlign w:val="center"/>
          </w:tcPr>
          <w:p>
            <w:pPr>
              <w:widowControl/>
              <w:spacing w:line="0" w:lineRule="atLeast"/>
              <w:rPr>
                <w:kern w:val="0"/>
                <w:sz w:val="22"/>
                <w:szCs w:val="22"/>
              </w:rPr>
            </w:pPr>
            <w:r>
              <w:rPr>
                <w:kern w:val="0"/>
                <w:sz w:val="22"/>
                <w:szCs w:val="22"/>
              </w:rPr>
              <w:t>项目预算资金是否按照计划执行，用以反映或考核项目预算执行情况。</w:t>
            </w:r>
          </w:p>
        </w:tc>
        <w:tc>
          <w:tcPr>
            <w:tcW w:w="5203" w:type="dxa"/>
            <w:shd w:val="clear" w:color="auto" w:fill="FFFFFF"/>
            <w:vAlign w:val="center"/>
          </w:tcPr>
          <w:p>
            <w:pPr>
              <w:widowControl/>
              <w:spacing w:line="0" w:lineRule="atLeast"/>
              <w:rPr>
                <w:kern w:val="0"/>
                <w:sz w:val="22"/>
                <w:szCs w:val="22"/>
              </w:rPr>
            </w:pPr>
            <w:r>
              <w:rPr>
                <w:kern w:val="0"/>
                <w:sz w:val="22"/>
                <w:szCs w:val="22"/>
              </w:rPr>
              <w:t>预算执行率=（实际支出资金/实际到位资金）×100%。</w:t>
            </w:r>
            <w:r>
              <w:rPr>
                <w:kern w:val="0"/>
                <w:sz w:val="22"/>
                <w:szCs w:val="22"/>
              </w:rPr>
              <w:br w:type="textWrapping"/>
            </w:r>
            <w:r>
              <w:rPr>
                <w:kern w:val="0"/>
                <w:sz w:val="22"/>
                <w:szCs w:val="22"/>
              </w:rPr>
              <w:t>实际支出资金：一定时期（本年度或项目期）内项目实际拨付的资金。</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28" w:type="dxa"/>
            <w:vMerge w:val="continue"/>
            <w:shd w:val="clear" w:color="auto" w:fill="FFFFFF"/>
            <w:vAlign w:val="center"/>
          </w:tcPr>
          <w:p>
            <w:pPr>
              <w:spacing w:line="0" w:lineRule="atLeast"/>
              <w:jc w:val="center"/>
              <w:rPr>
                <w:kern w:val="0"/>
                <w:sz w:val="22"/>
                <w:szCs w:val="22"/>
              </w:rPr>
            </w:pPr>
          </w:p>
        </w:tc>
        <w:tc>
          <w:tcPr>
            <w:tcW w:w="764" w:type="dxa"/>
            <w:shd w:val="clear" w:color="auto" w:fill="FFFFFF"/>
            <w:vAlign w:val="center"/>
          </w:tcPr>
          <w:p>
            <w:pPr>
              <w:widowControl/>
              <w:spacing w:line="0" w:lineRule="atLeast"/>
              <w:jc w:val="center"/>
              <w:rPr>
                <w:kern w:val="0"/>
                <w:sz w:val="22"/>
                <w:szCs w:val="22"/>
              </w:rPr>
            </w:pPr>
            <w:r>
              <w:rPr>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2354" w:type="dxa"/>
            <w:shd w:val="clear" w:color="000000" w:fill="FFFFFF"/>
            <w:vAlign w:val="center"/>
          </w:tcPr>
          <w:p>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5203"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①是否符合国家财经法规和财务管理制度以及有关专项资金管理办法的规定；</w:t>
            </w:r>
            <w:r>
              <w:rPr>
                <w:kern w:val="0"/>
                <w:sz w:val="22"/>
                <w:szCs w:val="22"/>
              </w:rPr>
              <w:br w:type="textWrapping"/>
            </w:r>
            <w:r>
              <w:rPr>
                <w:kern w:val="0"/>
                <w:sz w:val="22"/>
                <w:szCs w:val="22"/>
              </w:rPr>
              <w:t>②资金的拨付是否有完整的审批程序和手续；</w:t>
            </w:r>
            <w:r>
              <w:rPr>
                <w:kern w:val="0"/>
                <w:sz w:val="22"/>
                <w:szCs w:val="22"/>
              </w:rPr>
              <w:br w:type="textWrapping"/>
            </w:r>
            <w:r>
              <w:rPr>
                <w:kern w:val="0"/>
                <w:sz w:val="22"/>
                <w:szCs w:val="22"/>
              </w:rPr>
              <w:t>③是否符合项目预算批复或合同规定的用途；</w:t>
            </w:r>
            <w:r>
              <w:rPr>
                <w:kern w:val="0"/>
                <w:sz w:val="22"/>
                <w:szCs w:val="22"/>
              </w:rPr>
              <w:br w:type="textWrapping"/>
            </w:r>
            <w:r>
              <w:rPr>
                <w:kern w:val="0"/>
                <w:sz w:val="22"/>
                <w:szCs w:val="22"/>
              </w:rPr>
              <w:t>④是否存在截留、挤占、挪用、虚列支出等情况。</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28" w:type="dxa"/>
            <w:vMerge w:val="continue"/>
            <w:shd w:val="clear" w:color="auto" w:fill="FFFFFF"/>
            <w:vAlign w:val="center"/>
          </w:tcPr>
          <w:p>
            <w:pPr>
              <w:spacing w:line="0" w:lineRule="atLeast"/>
              <w:jc w:val="center"/>
              <w:rPr>
                <w:kern w:val="0"/>
                <w:sz w:val="22"/>
                <w:szCs w:val="22"/>
              </w:rPr>
            </w:pP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组织实施</w:t>
            </w:r>
          </w:p>
          <w:p>
            <w:pPr>
              <w:spacing w:line="0" w:lineRule="atLeast"/>
              <w:jc w:val="center"/>
              <w:rPr>
                <w:kern w:val="0"/>
                <w:sz w:val="22"/>
                <w:szCs w:val="22"/>
              </w:rPr>
            </w:pPr>
            <w:r>
              <w:rPr>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2354" w:type="dxa"/>
            <w:shd w:val="clear" w:color="000000" w:fill="FFFFFF"/>
            <w:vAlign w:val="center"/>
          </w:tcPr>
          <w:p>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5203"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①是否已制定或具有相应的财务和业务管理制度；</w:t>
            </w:r>
            <w:r>
              <w:rPr>
                <w:kern w:val="0"/>
                <w:sz w:val="22"/>
                <w:szCs w:val="22"/>
              </w:rPr>
              <w:br w:type="textWrapping"/>
            </w:r>
            <w:r>
              <w:rPr>
                <w:kern w:val="0"/>
                <w:sz w:val="22"/>
                <w:szCs w:val="22"/>
              </w:rPr>
              <w:t>②财务和业务管理制度是否合法、合规、完整。</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28"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2354" w:type="dxa"/>
            <w:shd w:val="clear" w:color="000000" w:fill="FFFFFF"/>
            <w:vAlign w:val="center"/>
          </w:tcPr>
          <w:p>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5203"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①是否遵守相关法律法规和相关管理规定；</w:t>
            </w:r>
            <w:r>
              <w:rPr>
                <w:kern w:val="0"/>
                <w:sz w:val="22"/>
                <w:szCs w:val="22"/>
              </w:rPr>
              <w:br w:type="textWrapping"/>
            </w:r>
            <w:r>
              <w:rPr>
                <w:kern w:val="0"/>
                <w:sz w:val="22"/>
                <w:szCs w:val="22"/>
              </w:rPr>
              <w:t>②项目调整及支出调整手续是否完备；</w:t>
            </w:r>
            <w:r>
              <w:rPr>
                <w:kern w:val="0"/>
                <w:sz w:val="22"/>
                <w:szCs w:val="22"/>
              </w:rPr>
              <w:br w:type="textWrapping"/>
            </w:r>
            <w:r>
              <w:rPr>
                <w:kern w:val="0"/>
                <w:sz w:val="22"/>
                <w:szCs w:val="22"/>
              </w:rPr>
              <w:t>③项目合同书、验收报告、技术鉴定等资料是否齐全并及时归档；</w:t>
            </w:r>
            <w:r>
              <w:rPr>
                <w:kern w:val="0"/>
                <w:sz w:val="22"/>
                <w:szCs w:val="22"/>
              </w:rPr>
              <w:br w:type="textWrapping"/>
            </w:r>
            <w:r>
              <w:rPr>
                <w:kern w:val="0"/>
                <w:sz w:val="22"/>
                <w:szCs w:val="22"/>
              </w:rPr>
              <w:t>④项目实施的人员条件、场地设备、信息支撑等是否落实到位。</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28" w:type="dxa"/>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764" w:type="dxa"/>
            <w:shd w:val="clear" w:color="auto" w:fill="FFFFFF"/>
            <w:vAlign w:val="center"/>
          </w:tcPr>
          <w:p>
            <w:pPr>
              <w:widowControl/>
              <w:spacing w:line="0" w:lineRule="atLeast"/>
              <w:jc w:val="center"/>
              <w:rPr>
                <w:kern w:val="0"/>
                <w:sz w:val="22"/>
                <w:szCs w:val="22"/>
              </w:rPr>
            </w:pPr>
            <w:r>
              <w:rPr>
                <w:kern w:val="0"/>
                <w:sz w:val="22"/>
                <w:szCs w:val="22"/>
              </w:rPr>
              <w:t>产出数量</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2354" w:type="dxa"/>
            <w:shd w:val="clear" w:color="000000" w:fill="FFFFFF"/>
            <w:vAlign w:val="center"/>
          </w:tcPr>
          <w:p>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5203" w:type="dxa"/>
            <w:shd w:val="clear" w:color="000000" w:fill="FFFFFF"/>
            <w:vAlign w:val="center"/>
          </w:tcPr>
          <w:p>
            <w:pPr>
              <w:widowControl/>
              <w:spacing w:line="0" w:lineRule="atLeast"/>
              <w:rPr>
                <w:kern w:val="0"/>
                <w:sz w:val="22"/>
                <w:szCs w:val="22"/>
              </w:rPr>
            </w:pPr>
            <w:r>
              <w:rPr>
                <w:kern w:val="0"/>
                <w:sz w:val="22"/>
                <w:szCs w:val="22"/>
              </w:rPr>
              <w:t>实际完成率=（实际产出数/计划产出数）×100%。</w:t>
            </w:r>
            <w:r>
              <w:rPr>
                <w:kern w:val="0"/>
                <w:sz w:val="22"/>
                <w:szCs w:val="22"/>
              </w:rPr>
              <w:br w:type="textWrapping"/>
            </w:r>
            <w:r>
              <w:rPr>
                <w:kern w:val="0"/>
                <w:sz w:val="22"/>
                <w:szCs w:val="22"/>
              </w:rPr>
              <w:t>实际产出数：一定时期（本年度或项目期）内项目实际产出的产品或提供的服务数量。</w:t>
            </w:r>
            <w:r>
              <w:rPr>
                <w:kern w:val="0"/>
                <w:sz w:val="22"/>
                <w:szCs w:val="22"/>
              </w:rPr>
              <w:br w:type="textWrapping"/>
            </w:r>
            <w:r>
              <w:rPr>
                <w:kern w:val="0"/>
                <w:sz w:val="22"/>
                <w:szCs w:val="22"/>
              </w:rPr>
              <w:t>计划产出数：项目绩效目标确定的在一定时期（本年度或项目期）内计划产出的产品或提供的服务数量。</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28" w:type="dxa"/>
            <w:vMerge w:val="continue"/>
            <w:shd w:val="clear" w:color="auto" w:fill="FFFFFF"/>
            <w:vAlign w:val="center"/>
          </w:tcPr>
          <w:p>
            <w:pPr>
              <w:widowControl/>
              <w:spacing w:line="0" w:lineRule="atLeast"/>
              <w:jc w:val="center"/>
              <w:rPr>
                <w:kern w:val="0"/>
                <w:sz w:val="22"/>
                <w:szCs w:val="22"/>
              </w:rPr>
            </w:pPr>
          </w:p>
        </w:tc>
        <w:tc>
          <w:tcPr>
            <w:tcW w:w="764" w:type="dxa"/>
            <w:shd w:val="clear" w:color="auto" w:fill="FFFFFF"/>
            <w:vAlign w:val="center"/>
          </w:tcPr>
          <w:p>
            <w:pPr>
              <w:widowControl/>
              <w:spacing w:line="0" w:lineRule="atLeast"/>
              <w:jc w:val="center"/>
              <w:rPr>
                <w:kern w:val="0"/>
                <w:sz w:val="22"/>
                <w:szCs w:val="22"/>
              </w:rPr>
            </w:pPr>
            <w:r>
              <w:rPr>
                <w:kern w:val="0"/>
                <w:sz w:val="22"/>
                <w:szCs w:val="22"/>
              </w:rPr>
              <w:t>产出质量</w:t>
            </w:r>
          </w:p>
        </w:tc>
        <w:tc>
          <w:tcPr>
            <w:tcW w:w="873" w:type="dxa"/>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2354" w:type="dxa"/>
            <w:shd w:val="clear" w:color="000000" w:fill="FFFFFF"/>
            <w:vAlign w:val="center"/>
          </w:tcPr>
          <w:p>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5203" w:type="dxa"/>
            <w:shd w:val="clear" w:color="000000" w:fill="FFFFFF"/>
            <w:vAlign w:val="center"/>
          </w:tcPr>
          <w:p>
            <w:pPr>
              <w:widowControl/>
              <w:spacing w:line="0" w:lineRule="atLeast"/>
              <w:rPr>
                <w:kern w:val="0"/>
                <w:sz w:val="22"/>
                <w:szCs w:val="22"/>
              </w:rPr>
            </w:pPr>
            <w:r>
              <w:rPr>
                <w:kern w:val="0"/>
                <w:sz w:val="22"/>
                <w:szCs w:val="22"/>
              </w:rPr>
              <w:t>质量达标率=（质量达标产出数/实际产出数）×100%。</w:t>
            </w:r>
          </w:p>
          <w:p>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28" w:type="dxa"/>
            <w:vMerge w:val="continue"/>
            <w:shd w:val="clear" w:color="auto" w:fill="FFFFFF"/>
            <w:vAlign w:val="center"/>
          </w:tcPr>
          <w:p>
            <w:pPr>
              <w:spacing w:line="0" w:lineRule="atLeast"/>
              <w:jc w:val="center"/>
              <w:rPr>
                <w:kern w:val="0"/>
                <w:sz w:val="22"/>
                <w:szCs w:val="22"/>
              </w:rPr>
            </w:pPr>
          </w:p>
        </w:tc>
        <w:tc>
          <w:tcPr>
            <w:tcW w:w="764" w:type="dxa"/>
            <w:shd w:val="clear" w:color="auto" w:fill="FFFFFF"/>
            <w:vAlign w:val="center"/>
          </w:tcPr>
          <w:p>
            <w:pPr>
              <w:spacing w:line="0" w:lineRule="atLeast"/>
              <w:jc w:val="center"/>
              <w:rPr>
                <w:kern w:val="0"/>
                <w:sz w:val="22"/>
                <w:szCs w:val="22"/>
              </w:rPr>
            </w:pPr>
            <w:r>
              <w:rPr>
                <w:kern w:val="0"/>
                <w:sz w:val="22"/>
                <w:szCs w:val="22"/>
              </w:rPr>
              <w:t>产出时效</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2354" w:type="dxa"/>
            <w:shd w:val="clear" w:color="000000" w:fill="FFFFFF"/>
            <w:vAlign w:val="center"/>
          </w:tcPr>
          <w:p>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5203" w:type="dxa"/>
            <w:shd w:val="clear" w:color="000000" w:fill="FFFFFF"/>
            <w:vAlign w:val="center"/>
          </w:tcPr>
          <w:p>
            <w:pPr>
              <w:widowControl/>
              <w:spacing w:line="0" w:lineRule="atLeast"/>
              <w:rPr>
                <w:kern w:val="0"/>
                <w:sz w:val="22"/>
                <w:szCs w:val="22"/>
              </w:rPr>
            </w:pPr>
            <w:r>
              <w:rPr>
                <w:kern w:val="0"/>
                <w:sz w:val="22"/>
                <w:szCs w:val="22"/>
              </w:rPr>
              <w:t>实际完成时间：项目实施单位完成该项目实际所耗用的时间。</w:t>
            </w:r>
            <w:r>
              <w:rPr>
                <w:kern w:val="0"/>
                <w:sz w:val="22"/>
                <w:szCs w:val="22"/>
              </w:rPr>
              <w:br w:type="textWrapping"/>
            </w:r>
            <w:r>
              <w:rPr>
                <w:kern w:val="0"/>
                <w:sz w:val="22"/>
                <w:szCs w:val="22"/>
              </w:rPr>
              <w:t>计划完成时间：按照项目实施计划或相关规定完成该项目所需的时间。</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28" w:type="dxa"/>
            <w:vMerge w:val="continue"/>
            <w:shd w:val="clear" w:color="auto" w:fill="FFFFFF"/>
            <w:vAlign w:val="center"/>
          </w:tcPr>
          <w:p>
            <w:pPr>
              <w:widowControl/>
              <w:spacing w:line="0" w:lineRule="atLeast"/>
              <w:jc w:val="center"/>
              <w:rPr>
                <w:kern w:val="0"/>
                <w:sz w:val="22"/>
                <w:szCs w:val="22"/>
              </w:rPr>
            </w:pPr>
          </w:p>
        </w:tc>
        <w:tc>
          <w:tcPr>
            <w:tcW w:w="764" w:type="dxa"/>
            <w:shd w:val="clear" w:color="auto" w:fill="FFFFFF"/>
            <w:vAlign w:val="center"/>
          </w:tcPr>
          <w:p>
            <w:pPr>
              <w:widowControl/>
              <w:spacing w:line="0" w:lineRule="atLeast"/>
              <w:jc w:val="center"/>
              <w:rPr>
                <w:kern w:val="0"/>
                <w:sz w:val="22"/>
                <w:szCs w:val="22"/>
              </w:rPr>
            </w:pPr>
            <w:r>
              <w:rPr>
                <w:kern w:val="0"/>
                <w:sz w:val="22"/>
                <w:szCs w:val="22"/>
              </w:rPr>
              <w:t>产出成本</w:t>
            </w:r>
          </w:p>
        </w:tc>
        <w:tc>
          <w:tcPr>
            <w:tcW w:w="873" w:type="dxa"/>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2354" w:type="dxa"/>
            <w:shd w:val="clear" w:color="000000" w:fill="FFFFFF"/>
            <w:vAlign w:val="center"/>
          </w:tcPr>
          <w:p>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5203" w:type="dxa"/>
            <w:shd w:val="clear" w:color="000000" w:fill="FFFFFF"/>
            <w:vAlign w:val="center"/>
          </w:tcPr>
          <w:p>
            <w:pPr>
              <w:widowControl/>
              <w:spacing w:line="0" w:lineRule="atLeast"/>
              <w:rPr>
                <w:kern w:val="0"/>
                <w:sz w:val="22"/>
                <w:szCs w:val="22"/>
              </w:rPr>
            </w:pPr>
            <w:r>
              <w:rPr>
                <w:kern w:val="0"/>
                <w:sz w:val="22"/>
                <w:szCs w:val="22"/>
              </w:rPr>
              <w:br w:type="textWrapping"/>
            </w:r>
            <w:r>
              <w:rPr>
                <w:kern w:val="0"/>
                <w:sz w:val="22"/>
                <w:szCs w:val="22"/>
              </w:rPr>
              <w:t>成本节约率=[（计划成本-实际成本）/计划成本]×100%。</w:t>
            </w:r>
            <w:r>
              <w:rPr>
                <w:kern w:val="0"/>
                <w:sz w:val="22"/>
                <w:szCs w:val="22"/>
              </w:rPr>
              <w:br w:type="textWrapping"/>
            </w:r>
            <w:r>
              <w:rPr>
                <w:kern w:val="0"/>
                <w:sz w:val="22"/>
                <w:szCs w:val="22"/>
              </w:rPr>
              <w:t>实际成本：项目实施单位如期、保质、保量完成既定工作目标实际所耗费的支出。</w:t>
            </w:r>
            <w:r>
              <w:rPr>
                <w:kern w:val="0"/>
                <w:sz w:val="22"/>
                <w:szCs w:val="22"/>
              </w:rPr>
              <w:br w:type="textWrapping"/>
            </w:r>
            <w:r>
              <w:rPr>
                <w:kern w:val="0"/>
                <w:sz w:val="22"/>
                <w:szCs w:val="22"/>
              </w:rPr>
              <w:t>计划成本：项目实施单位为完成工作目标计划安排的支出，一般以项目预算为参考。</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28" w:type="dxa"/>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实施效益</w:t>
            </w:r>
          </w:p>
        </w:tc>
        <w:tc>
          <w:tcPr>
            <w:tcW w:w="2354" w:type="dxa"/>
            <w:shd w:val="clear" w:color="auto" w:fill="FFFFFF"/>
            <w:vAlign w:val="center"/>
          </w:tcPr>
          <w:p>
            <w:pPr>
              <w:widowControl/>
              <w:spacing w:line="0" w:lineRule="atLeast"/>
              <w:jc w:val="left"/>
              <w:rPr>
                <w:kern w:val="0"/>
                <w:sz w:val="22"/>
                <w:szCs w:val="22"/>
              </w:rPr>
            </w:pPr>
            <w:r>
              <w:rPr>
                <w:kern w:val="0"/>
                <w:sz w:val="22"/>
                <w:szCs w:val="22"/>
              </w:rPr>
              <w:t>项目实施所产生的效益。</w:t>
            </w:r>
          </w:p>
        </w:tc>
        <w:tc>
          <w:tcPr>
            <w:tcW w:w="5203" w:type="dxa"/>
            <w:shd w:val="clear" w:color="auto" w:fill="FFFFFF"/>
            <w:vAlign w:val="center"/>
          </w:tcPr>
          <w:p>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auto" w:fill="FFFFFF"/>
            <w:vAlign w:val="center"/>
          </w:tcPr>
          <w:p>
            <w:pPr>
              <w:widowControl/>
              <w:spacing w:line="0" w:lineRule="atLeast"/>
              <w:jc w:val="center"/>
              <w:rPr>
                <w:b/>
                <w:bCs/>
                <w:kern w:val="0"/>
                <w:sz w:val="22"/>
                <w:szCs w:val="22"/>
              </w:rPr>
            </w:pPr>
            <w:r>
              <w:rPr>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28"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满意度</w:t>
            </w:r>
          </w:p>
        </w:tc>
        <w:tc>
          <w:tcPr>
            <w:tcW w:w="2354" w:type="dxa"/>
            <w:shd w:val="clear" w:color="000000" w:fill="FFFFFF"/>
            <w:vAlign w:val="center"/>
          </w:tcPr>
          <w:p>
            <w:pPr>
              <w:widowControl/>
              <w:spacing w:line="0" w:lineRule="atLeast"/>
              <w:rPr>
                <w:kern w:val="0"/>
                <w:sz w:val="22"/>
                <w:szCs w:val="22"/>
              </w:rPr>
            </w:pPr>
            <w:r>
              <w:rPr>
                <w:kern w:val="0"/>
                <w:sz w:val="22"/>
                <w:szCs w:val="22"/>
              </w:rPr>
              <w:t>社会公众或服务对象对项目实施效果的满意程度。</w:t>
            </w:r>
          </w:p>
        </w:tc>
        <w:tc>
          <w:tcPr>
            <w:tcW w:w="5203" w:type="dxa"/>
            <w:shd w:val="clear" w:color="000000" w:fill="FFFFFF"/>
            <w:vAlign w:val="center"/>
          </w:tcPr>
          <w:p>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CC9A3F"/>
    <w:multiLevelType w:val="singleLevel"/>
    <w:tmpl w:val="98CC9A3F"/>
    <w:lvl w:ilvl="0" w:tentative="0">
      <w:start w:val="2"/>
      <w:numFmt w:val="decimal"/>
      <w:suff w:val="nothing"/>
      <w:lvlText w:val="%1、"/>
      <w:lvlJc w:val="left"/>
    </w:lvl>
  </w:abstractNum>
  <w:abstractNum w:abstractNumId="1">
    <w:nsid w:val="DEF60FE1"/>
    <w:multiLevelType w:val="singleLevel"/>
    <w:tmpl w:val="DEF60FE1"/>
    <w:lvl w:ilvl="0" w:tentative="0">
      <w:start w:val="1"/>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8"/>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234F6F"/>
    <w:rsid w:val="004B644E"/>
    <w:rsid w:val="005362B8"/>
    <w:rsid w:val="006F7242"/>
    <w:rsid w:val="007B168A"/>
    <w:rsid w:val="008B2CFE"/>
    <w:rsid w:val="00BF240F"/>
    <w:rsid w:val="00C245A9"/>
    <w:rsid w:val="00C8378E"/>
    <w:rsid w:val="00EA092C"/>
    <w:rsid w:val="00F26FF6"/>
    <w:rsid w:val="048879D3"/>
    <w:rsid w:val="06DF5404"/>
    <w:rsid w:val="07397B77"/>
    <w:rsid w:val="13471461"/>
    <w:rsid w:val="13B90F01"/>
    <w:rsid w:val="181066D2"/>
    <w:rsid w:val="1C671E73"/>
    <w:rsid w:val="1E514220"/>
    <w:rsid w:val="27534910"/>
    <w:rsid w:val="2A06253E"/>
    <w:rsid w:val="2D9418A3"/>
    <w:rsid w:val="2FB56378"/>
    <w:rsid w:val="31D67095"/>
    <w:rsid w:val="38CA40DD"/>
    <w:rsid w:val="395F2B56"/>
    <w:rsid w:val="3BECE841"/>
    <w:rsid w:val="3FF7797D"/>
    <w:rsid w:val="441B2960"/>
    <w:rsid w:val="5BFF6039"/>
    <w:rsid w:val="5C490FB1"/>
    <w:rsid w:val="5C9801B1"/>
    <w:rsid w:val="5D76A616"/>
    <w:rsid w:val="5D7F20B9"/>
    <w:rsid w:val="5DAC7D0E"/>
    <w:rsid w:val="5E5F1000"/>
    <w:rsid w:val="5F98B5AF"/>
    <w:rsid w:val="5FFE8511"/>
    <w:rsid w:val="5FFEACE2"/>
    <w:rsid w:val="63942771"/>
    <w:rsid w:val="63D0156C"/>
    <w:rsid w:val="643EE26D"/>
    <w:rsid w:val="6D572E2F"/>
    <w:rsid w:val="6F5C41AC"/>
    <w:rsid w:val="6FAF6C78"/>
    <w:rsid w:val="7317C656"/>
    <w:rsid w:val="734ED73F"/>
    <w:rsid w:val="75D55938"/>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1647</Words>
  <Characters>9394</Characters>
  <Lines>78</Lines>
  <Paragraphs>22</Paragraphs>
  <TotalTime>7</TotalTime>
  <ScaleCrop>false</ScaleCrop>
  <LinksUpToDate>false</LinksUpToDate>
  <CharactersWithSpaces>11019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2024-10-15T04:11:51Z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53DDC83328A3465DB5EA8C84BD674169_13</vt:lpwstr>
  </property>
</Properties>
</file>