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4CFBD4">
      <w:pPr>
        <w:rPr>
          <w:rFonts w:hint="eastAsia" w:ascii="黑体" w:hAnsi="黑体" w:eastAsia="黑体"/>
          <w:sz w:val="32"/>
          <w:szCs w:val="32"/>
        </w:rPr>
      </w:pPr>
    </w:p>
    <w:p w14:paraId="4F65C17E">
      <w:pPr>
        <w:jc w:val="center"/>
        <w:rPr>
          <w:rFonts w:hint="eastAsia" w:ascii="方正小标宋_GBK" w:hAnsi="宋体" w:eastAsia="方正小标宋_GBK"/>
          <w:sz w:val="44"/>
          <w:szCs w:val="44"/>
        </w:rPr>
      </w:pPr>
    </w:p>
    <w:p w14:paraId="0DBCD193">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奇台县东湾镇人民政府</w:t>
      </w:r>
    </w:p>
    <w:p w14:paraId="1FC09CD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3B4EA76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379AB9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DB93D2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66D3926">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73631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504E68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80C162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2BB3CA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4127B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41E9D3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582483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219E5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696EE3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73EBA5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C801C3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9C80835">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9EFAE0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AF2FA30">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674C22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8492D4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A5AF83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EF09CA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FB6DAF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4FAC1A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2E3AC4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355421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8D5307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05B1235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7A59FD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7F1CFC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2BCC2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E849E2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0B4AA1E">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DEF3138">
      <w:r>
        <w:rPr>
          <w:rFonts w:hint="eastAsia" w:ascii="仿宋_GB2312" w:hAnsi="仿宋_GB2312" w:eastAsia="仿宋_GB2312" w:cs="仿宋_GB2312"/>
          <w:sz w:val="32"/>
          <w:szCs w:val="32"/>
        </w:rPr>
        <w:fldChar w:fldCharType="end"/>
      </w:r>
    </w:p>
    <w:p w14:paraId="2C3FEF89">
      <w:pPr>
        <w:rPr>
          <w:rFonts w:ascii="仿宋_GB2312" w:eastAsia="仿宋_GB2312"/>
          <w:sz w:val="32"/>
          <w:szCs w:val="32"/>
        </w:rPr>
      </w:pPr>
      <w:r>
        <w:rPr>
          <w:rFonts w:hint="eastAsia" w:ascii="仿宋_GB2312" w:eastAsia="仿宋_GB2312"/>
          <w:sz w:val="32"/>
          <w:szCs w:val="32"/>
        </w:rPr>
        <w:br w:type="page"/>
      </w:r>
    </w:p>
    <w:p w14:paraId="2BD52B78">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BF1661F">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6E790B2">
      <w:pPr>
        <w:ind w:firstLine="640" w:firstLineChars="200"/>
        <w:jc w:val="left"/>
        <w:rPr>
          <w:rFonts w:ascii="仿宋_GB2312" w:eastAsia="仿宋_GB2312"/>
          <w:sz w:val="32"/>
          <w:szCs w:val="32"/>
        </w:rPr>
      </w:pPr>
      <w:r>
        <w:rPr>
          <w:rFonts w:hint="eastAsia" w:ascii="仿宋_GB2312" w:eastAsia="仿宋_GB2312"/>
          <w:sz w:val="32"/>
          <w:szCs w:val="32"/>
        </w:rPr>
        <w:t>（1）执行本级人民代表大会的决议和上级国家行政机关的决定和命令，发布决定和命令；</w:t>
      </w:r>
    </w:p>
    <w:p w14:paraId="5CA6E9E8">
      <w:pPr>
        <w:ind w:firstLine="640" w:firstLineChars="200"/>
        <w:jc w:val="left"/>
        <w:rPr>
          <w:rFonts w:ascii="仿宋_GB2312" w:eastAsia="仿宋_GB2312"/>
          <w:sz w:val="32"/>
          <w:szCs w:val="32"/>
        </w:rPr>
      </w:pPr>
      <w:r>
        <w:rPr>
          <w:rFonts w:hint="eastAsia" w:ascii="仿宋_GB2312" w:eastAsia="仿宋_GB2312"/>
          <w:sz w:val="32"/>
          <w:szCs w:val="32"/>
        </w:rPr>
        <w:t>（2）执行本行政区域内的经济和社会发展计划、预算，管理本行政区域内的经济、教育、科学、文化、卫生、体育事业和财政、民政、公安、司法行政、计划生育等行政工作；</w:t>
      </w:r>
    </w:p>
    <w:p w14:paraId="0A68630B">
      <w:pPr>
        <w:ind w:firstLine="640" w:firstLineChars="200"/>
        <w:jc w:val="left"/>
        <w:rPr>
          <w:rFonts w:ascii="仿宋_GB2312" w:eastAsia="仿宋_GB2312"/>
          <w:sz w:val="32"/>
          <w:szCs w:val="32"/>
        </w:rPr>
      </w:pPr>
      <w:r>
        <w:rPr>
          <w:rFonts w:hint="eastAsia" w:ascii="仿宋_GB2312" w:eastAsia="仿宋_GB2312"/>
          <w:sz w:val="32"/>
          <w:szCs w:val="32"/>
        </w:rPr>
        <w:t>（3）保护社会主义的全民所有的财产和劳动群众集体所有的财产，保护公民私人所有的合法财产，维护社会秩序，保障公民的人身权利、民主权利和其他权利；</w:t>
      </w:r>
    </w:p>
    <w:p w14:paraId="61AC56D7">
      <w:pPr>
        <w:ind w:firstLine="640" w:firstLineChars="200"/>
        <w:jc w:val="left"/>
        <w:rPr>
          <w:rFonts w:ascii="仿宋_GB2312" w:eastAsia="仿宋_GB2312"/>
          <w:sz w:val="32"/>
          <w:szCs w:val="32"/>
        </w:rPr>
      </w:pPr>
      <w:r>
        <w:rPr>
          <w:rFonts w:hint="eastAsia" w:ascii="仿宋_GB2312" w:eastAsia="仿宋_GB2312"/>
          <w:sz w:val="32"/>
          <w:szCs w:val="32"/>
        </w:rPr>
        <w:t>（4）保护各种经济组织的合法权益；</w:t>
      </w:r>
    </w:p>
    <w:p w14:paraId="2B8C58A3">
      <w:pPr>
        <w:ind w:firstLine="640" w:firstLineChars="200"/>
        <w:jc w:val="left"/>
        <w:rPr>
          <w:rFonts w:ascii="仿宋_GB2312" w:eastAsia="仿宋_GB2312"/>
          <w:sz w:val="32"/>
          <w:szCs w:val="32"/>
        </w:rPr>
      </w:pPr>
      <w:r>
        <w:rPr>
          <w:rFonts w:hint="eastAsia" w:ascii="仿宋_GB2312" w:eastAsia="仿宋_GB2312"/>
          <w:sz w:val="32"/>
          <w:szCs w:val="32"/>
        </w:rPr>
        <w:t>（5）保障少数民族的权利和尊重少数民族的风俗习惯；</w:t>
      </w:r>
    </w:p>
    <w:p w14:paraId="42313996">
      <w:pPr>
        <w:ind w:firstLine="640" w:firstLineChars="200"/>
        <w:jc w:val="left"/>
        <w:rPr>
          <w:rFonts w:ascii="仿宋_GB2312" w:eastAsia="仿宋_GB2312"/>
          <w:sz w:val="32"/>
          <w:szCs w:val="32"/>
        </w:rPr>
      </w:pPr>
      <w:r>
        <w:rPr>
          <w:rFonts w:hint="eastAsia" w:ascii="仿宋_GB2312" w:eastAsia="仿宋_GB2312"/>
          <w:sz w:val="32"/>
          <w:szCs w:val="32"/>
        </w:rPr>
        <w:t>（6）保障宪法和法律赋予妇女的男女平等、同工同酬和婚姻自由等各项权利；</w:t>
      </w:r>
    </w:p>
    <w:p w14:paraId="757AF732">
      <w:pPr>
        <w:ind w:firstLine="640" w:firstLineChars="200"/>
        <w:jc w:val="left"/>
        <w:rPr>
          <w:rFonts w:ascii="仿宋_GB2312" w:eastAsia="仿宋_GB2312"/>
          <w:sz w:val="32"/>
          <w:szCs w:val="32"/>
        </w:rPr>
      </w:pPr>
      <w:r>
        <w:rPr>
          <w:rFonts w:hint="eastAsia" w:ascii="仿宋_GB2312" w:eastAsia="仿宋_GB2312"/>
          <w:sz w:val="32"/>
          <w:szCs w:val="32"/>
        </w:rPr>
        <w:t>（7）办理上级人民政府交办的其他事项。</w:t>
      </w:r>
    </w:p>
    <w:p w14:paraId="096A32D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A2D8812">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奇台县东湾镇人民政府2023年度，实有人数</w:t>
      </w:r>
      <w:r>
        <w:rPr>
          <w:rFonts w:hint="eastAsia" w:ascii="仿宋_GB2312" w:eastAsia="仿宋_GB2312"/>
          <w:sz w:val="32"/>
          <w:szCs w:val="32"/>
          <w:lang w:val="zh-CN"/>
        </w:rPr>
        <w:t>81</w:t>
      </w:r>
      <w:r>
        <w:rPr>
          <w:rFonts w:hint="eastAsia" w:ascii="仿宋_GB2312" w:eastAsia="仿宋_GB2312"/>
          <w:sz w:val="32"/>
          <w:szCs w:val="32"/>
        </w:rPr>
        <w:t>人，其中：在职人员</w:t>
      </w:r>
      <w:r>
        <w:rPr>
          <w:rFonts w:hint="eastAsia" w:ascii="仿宋_GB2312" w:eastAsia="仿宋_GB2312"/>
          <w:sz w:val="32"/>
          <w:szCs w:val="32"/>
          <w:lang w:val="zh-CN"/>
        </w:rPr>
        <w:t>60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21</w:t>
      </w:r>
      <w:r>
        <w:rPr>
          <w:rFonts w:hint="eastAsia" w:ascii="仿宋_GB2312" w:eastAsia="仿宋_GB2312"/>
          <w:sz w:val="32"/>
          <w:szCs w:val="32"/>
        </w:rPr>
        <w:t>人。</w:t>
      </w:r>
    </w:p>
    <w:p w14:paraId="1C68BC58">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党政办公室、党建办公室、经济发展办公室、社会事务办公室、社会管理综合治理办公室。</w:t>
      </w:r>
    </w:p>
    <w:p w14:paraId="139C88CC">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7738C556">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7F75C2B">
      <w:pPr>
        <w:ind w:firstLine="640" w:firstLineChars="200"/>
        <w:jc w:val="left"/>
        <w:rPr>
          <w:rFonts w:ascii="仿宋_GB2312" w:eastAsia="仿宋_GB2312"/>
          <w:sz w:val="32"/>
          <w:szCs w:val="32"/>
        </w:rPr>
      </w:pPr>
      <w:r>
        <w:rPr>
          <w:rFonts w:hint="eastAsia" w:ascii="仿宋_GB2312" w:eastAsia="仿宋_GB2312"/>
          <w:sz w:val="32"/>
          <w:szCs w:val="32"/>
        </w:rPr>
        <w:t>2023年度收入总计1,061.80万元，其中：本年收入合计1,061.80万元，使用非财政拨款结余0.00万元，年初结转和结余0.00万元。</w:t>
      </w:r>
    </w:p>
    <w:p w14:paraId="4797B510">
      <w:pPr>
        <w:ind w:firstLine="640" w:firstLineChars="200"/>
        <w:jc w:val="left"/>
        <w:rPr>
          <w:rFonts w:ascii="仿宋_GB2312" w:eastAsia="仿宋_GB2312"/>
          <w:sz w:val="32"/>
          <w:szCs w:val="32"/>
        </w:rPr>
      </w:pPr>
      <w:r>
        <w:rPr>
          <w:rFonts w:hint="eastAsia" w:ascii="仿宋_GB2312" w:eastAsia="仿宋_GB2312"/>
          <w:sz w:val="32"/>
          <w:szCs w:val="32"/>
        </w:rPr>
        <w:t>2023年度支出总计1,061.80万元，其中：本年支出合计1,061.80万元，结余分配0.00万元，年末结转和结余0.00万元。</w:t>
      </w:r>
    </w:p>
    <w:p w14:paraId="2209FFAE">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减少256.66万元</w:t>
      </w:r>
      <w:r>
        <w:rPr>
          <w:rFonts w:hint="eastAsia" w:ascii="仿宋_GB2312" w:eastAsia="仿宋_GB2312"/>
          <w:sz w:val="32"/>
          <w:szCs w:val="32"/>
        </w:rPr>
        <w:t>，下降19.47%，主要原因是：减少小麦"一喷三防”补助项目资金和东湾镇50万元以下中小企业欠款化解项目资金。</w:t>
      </w:r>
    </w:p>
    <w:p w14:paraId="74A27A05">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82FFA6B">
      <w:pPr>
        <w:ind w:firstLine="640" w:firstLineChars="200"/>
        <w:jc w:val="left"/>
        <w:rPr>
          <w:rFonts w:ascii="仿宋_GB2312" w:eastAsia="仿宋_GB2312"/>
          <w:sz w:val="32"/>
          <w:szCs w:val="32"/>
        </w:rPr>
      </w:pPr>
      <w:r>
        <w:rPr>
          <w:rFonts w:hint="eastAsia" w:ascii="仿宋_GB2312" w:eastAsia="仿宋_GB2312"/>
          <w:sz w:val="32"/>
          <w:szCs w:val="32"/>
        </w:rPr>
        <w:t>本年收入1,061.80万元，其中：财政拨款收入</w:t>
      </w:r>
      <w:r>
        <w:rPr>
          <w:rFonts w:hint="eastAsia" w:ascii="仿宋_GB2312" w:eastAsia="仿宋_GB2312"/>
          <w:sz w:val="32"/>
          <w:szCs w:val="32"/>
          <w:lang w:val="zh-CN"/>
        </w:rPr>
        <w:t>1,060.86</w:t>
      </w:r>
      <w:r>
        <w:rPr>
          <w:rFonts w:hint="eastAsia" w:ascii="仿宋_GB2312" w:eastAsia="仿宋_GB2312"/>
          <w:sz w:val="32"/>
          <w:szCs w:val="32"/>
        </w:rPr>
        <w:t>万元，占</w:t>
      </w:r>
      <w:r>
        <w:rPr>
          <w:rFonts w:hint="eastAsia" w:ascii="仿宋_GB2312" w:eastAsia="仿宋_GB2312"/>
          <w:sz w:val="32"/>
          <w:szCs w:val="32"/>
          <w:lang w:val="zh-CN"/>
        </w:rPr>
        <w:t>99.91%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0.95</w:t>
      </w:r>
      <w:r>
        <w:rPr>
          <w:rFonts w:hint="eastAsia" w:ascii="仿宋_GB2312" w:eastAsia="仿宋_GB2312"/>
          <w:sz w:val="32"/>
          <w:szCs w:val="32"/>
        </w:rPr>
        <w:t>万元，占</w:t>
      </w:r>
      <w:r>
        <w:rPr>
          <w:rFonts w:hint="eastAsia" w:ascii="仿宋_GB2312" w:eastAsia="仿宋_GB2312"/>
          <w:sz w:val="32"/>
          <w:szCs w:val="32"/>
          <w:lang w:val="zh-CN"/>
        </w:rPr>
        <w:t>0.09%</w:t>
      </w:r>
      <w:r>
        <w:rPr>
          <w:rFonts w:hint="eastAsia" w:ascii="仿宋_GB2312" w:eastAsia="仿宋_GB2312"/>
          <w:sz w:val="32"/>
          <w:szCs w:val="32"/>
        </w:rPr>
        <w:t>。</w:t>
      </w:r>
    </w:p>
    <w:p w14:paraId="03A6A43B">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AF7183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本年支出1,061.80万元，其中：基本支出945.75万元，占89.07%；项目支出116.05万元，占10.93%；上缴上级支出0.00万元，占0.00%；经营支出0.00万元，占0.00%；对附属单位补助支出0.00万元，占0.00%。</w:t>
      </w:r>
    </w:p>
    <w:p w14:paraId="6469CDD3">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A0A068C">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1,060.86</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1,060.86</w:t>
      </w:r>
      <w:r>
        <w:rPr>
          <w:rFonts w:hint="eastAsia" w:ascii="仿宋_GB2312" w:eastAsia="仿宋_GB2312"/>
          <w:sz w:val="32"/>
          <w:szCs w:val="32"/>
        </w:rPr>
        <w:t>万元。财政拨款支出总计</w:t>
      </w:r>
      <w:r>
        <w:rPr>
          <w:rFonts w:hint="eastAsia" w:ascii="仿宋_GB2312" w:eastAsia="仿宋_GB2312"/>
          <w:sz w:val="32"/>
          <w:szCs w:val="32"/>
          <w:lang w:val="zh-CN"/>
        </w:rPr>
        <w:t>1,060.86</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1,060.86</w:t>
      </w:r>
      <w:r>
        <w:rPr>
          <w:rFonts w:hint="eastAsia" w:ascii="仿宋_GB2312" w:eastAsia="仿宋_GB2312"/>
          <w:sz w:val="32"/>
          <w:szCs w:val="32"/>
        </w:rPr>
        <w:t>万元。</w:t>
      </w:r>
    </w:p>
    <w:p w14:paraId="7DA9FC1A">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减少241.45万元</w:t>
      </w:r>
      <w:r>
        <w:rPr>
          <w:rFonts w:hint="eastAsia" w:ascii="仿宋_GB2312" w:eastAsia="仿宋_GB2312"/>
          <w:sz w:val="32"/>
          <w:szCs w:val="32"/>
        </w:rPr>
        <w:t>，下降18.54%,主要原因是：减少小麦"一喷三防”补助项目资金和东湾镇50万元以下中小企业欠款化解项目资金。与年初预算相比，年初预算数</w:t>
      </w:r>
      <w:r>
        <w:rPr>
          <w:rFonts w:hint="eastAsia" w:ascii="仿宋_GB2312" w:eastAsia="仿宋_GB2312"/>
          <w:sz w:val="32"/>
          <w:szCs w:val="32"/>
          <w:lang w:val="zh-CN"/>
        </w:rPr>
        <w:t>918.57</w:t>
      </w:r>
      <w:r>
        <w:rPr>
          <w:rFonts w:hint="eastAsia" w:ascii="仿宋_GB2312" w:eastAsia="仿宋_GB2312"/>
          <w:sz w:val="32"/>
          <w:szCs w:val="32"/>
        </w:rPr>
        <w:t>万元，决算数</w:t>
      </w:r>
      <w:r>
        <w:rPr>
          <w:rFonts w:hint="eastAsia" w:ascii="仿宋_GB2312" w:eastAsia="仿宋_GB2312"/>
          <w:sz w:val="32"/>
          <w:szCs w:val="32"/>
          <w:lang w:val="zh-CN"/>
        </w:rPr>
        <w:t>1,060.86</w:t>
      </w:r>
      <w:r>
        <w:rPr>
          <w:rFonts w:hint="eastAsia" w:ascii="仿宋_GB2312" w:eastAsia="仿宋_GB2312"/>
          <w:sz w:val="32"/>
          <w:szCs w:val="32"/>
        </w:rPr>
        <w:t>万元，预决算差异率15.49%，主要原因是：年中追加东湾镇非法占用耕地建房问题整改资金。</w:t>
      </w:r>
    </w:p>
    <w:p w14:paraId="7D396A14">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EA76C31">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7EE4F12">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2023年度一般公共预算财政拨款支出1,056.02万元，占本年支出合计的</w:t>
      </w:r>
      <w:r>
        <w:rPr>
          <w:rFonts w:hint="eastAsia" w:ascii="仿宋_GB2312" w:eastAsia="仿宋_GB2312"/>
          <w:sz w:val="32"/>
          <w:szCs w:val="32"/>
          <w:lang w:val="zh-CN"/>
        </w:rPr>
        <w:t>99.46%</w:t>
      </w:r>
      <w:r>
        <w:rPr>
          <w:rFonts w:hint="eastAsia" w:ascii="仿宋_GB2312" w:eastAsia="仿宋_GB2312"/>
          <w:sz w:val="32"/>
          <w:szCs w:val="32"/>
        </w:rPr>
        <w:t>。与上年相比，</w:t>
      </w:r>
      <w:r>
        <w:rPr>
          <w:rFonts w:hint="eastAsia" w:ascii="仿宋_GB2312" w:eastAsia="仿宋_GB2312"/>
          <w:sz w:val="32"/>
          <w:szCs w:val="32"/>
          <w:lang w:val="zh-CN"/>
        </w:rPr>
        <w:t>减少5.88万元</w:t>
      </w:r>
      <w:r>
        <w:rPr>
          <w:rFonts w:hint="eastAsia" w:ascii="仿宋_GB2312" w:eastAsia="仿宋_GB2312"/>
          <w:sz w:val="32"/>
          <w:szCs w:val="32"/>
        </w:rPr>
        <w:t>，下降0.55%,主要原因是：2减少小麦"一喷三防”补助项目资金和东湾镇50万元以下中小企业欠款化解项目资金。与年初预算相比，年初预算数</w:t>
      </w:r>
      <w:r>
        <w:rPr>
          <w:rFonts w:hint="eastAsia" w:ascii="仿宋_GB2312" w:eastAsia="仿宋_GB2312"/>
          <w:sz w:val="32"/>
          <w:szCs w:val="32"/>
          <w:lang w:val="zh-CN"/>
        </w:rPr>
        <w:t>918.57</w:t>
      </w:r>
      <w:r>
        <w:rPr>
          <w:rFonts w:hint="eastAsia" w:ascii="仿宋_GB2312" w:eastAsia="仿宋_GB2312"/>
          <w:sz w:val="32"/>
          <w:szCs w:val="32"/>
        </w:rPr>
        <w:t>万元，决算数</w:t>
      </w:r>
      <w:r>
        <w:rPr>
          <w:rFonts w:hint="eastAsia" w:ascii="仿宋_GB2312" w:eastAsia="仿宋_GB2312"/>
          <w:sz w:val="32"/>
          <w:szCs w:val="32"/>
          <w:lang w:val="zh-CN"/>
        </w:rPr>
        <w:t>1,056.02</w:t>
      </w:r>
      <w:r>
        <w:rPr>
          <w:rFonts w:hint="eastAsia" w:ascii="仿宋_GB2312" w:eastAsia="仿宋_GB2312"/>
          <w:sz w:val="32"/>
          <w:szCs w:val="32"/>
        </w:rPr>
        <w:t>万元，预决算差异率</w:t>
      </w:r>
      <w:r>
        <w:rPr>
          <w:rFonts w:hint="eastAsia" w:ascii="仿宋_GB2312" w:eastAsia="仿宋_GB2312"/>
          <w:sz w:val="32"/>
          <w:szCs w:val="32"/>
          <w:lang w:val="zh-CN"/>
        </w:rPr>
        <w:t>14.96%</w:t>
      </w:r>
      <w:r>
        <w:rPr>
          <w:rFonts w:hint="eastAsia" w:ascii="仿宋_GB2312" w:eastAsia="仿宋_GB2312"/>
          <w:sz w:val="32"/>
          <w:szCs w:val="32"/>
        </w:rPr>
        <w:t>，主要原因是：年中追加东湾镇非法占用耕地建房问题整改资金。</w:t>
      </w:r>
    </w:p>
    <w:p w14:paraId="2C5C3304">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81DF33F">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327.63</w:t>
      </w:r>
      <w:r>
        <w:rPr>
          <w:rFonts w:ascii="仿宋_GB2312" w:eastAsia="仿宋_GB2312"/>
          <w:kern w:val="2"/>
          <w:sz w:val="32"/>
          <w:szCs w:val="32"/>
          <w:lang w:val="zh-CN"/>
        </w:rPr>
        <w:t>万元，占</w:t>
      </w:r>
      <w:r>
        <w:rPr>
          <w:rFonts w:hint="eastAsia" w:ascii="仿宋_GB2312" w:eastAsia="仿宋_GB2312"/>
          <w:kern w:val="2"/>
          <w:sz w:val="32"/>
          <w:szCs w:val="32"/>
          <w:lang w:val="zh-CN"/>
        </w:rPr>
        <w:t>31.02%</w:t>
      </w:r>
      <w:r>
        <w:rPr>
          <w:rFonts w:ascii="仿宋_GB2312" w:eastAsia="仿宋_GB2312"/>
          <w:kern w:val="2"/>
          <w:sz w:val="32"/>
          <w:szCs w:val="32"/>
          <w:lang w:val="zh-CN"/>
        </w:rPr>
        <w:t>；</w:t>
      </w:r>
    </w:p>
    <w:p w14:paraId="6009AD1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1.00</w:t>
      </w:r>
      <w:r>
        <w:rPr>
          <w:rFonts w:ascii="仿宋_GB2312" w:eastAsia="仿宋_GB2312"/>
          <w:kern w:val="2"/>
          <w:sz w:val="32"/>
          <w:szCs w:val="32"/>
          <w:lang w:val="zh-CN"/>
        </w:rPr>
        <w:t>万元，占</w:t>
      </w:r>
      <w:r>
        <w:rPr>
          <w:rFonts w:hint="eastAsia" w:ascii="仿宋_GB2312" w:eastAsia="仿宋_GB2312"/>
          <w:kern w:val="2"/>
          <w:sz w:val="32"/>
          <w:szCs w:val="32"/>
          <w:lang w:val="zh-CN"/>
        </w:rPr>
        <w:t>0.09%</w:t>
      </w:r>
      <w:r>
        <w:rPr>
          <w:rFonts w:ascii="仿宋_GB2312" w:eastAsia="仿宋_GB2312"/>
          <w:kern w:val="2"/>
          <w:sz w:val="32"/>
          <w:szCs w:val="32"/>
          <w:lang w:val="zh-CN"/>
        </w:rPr>
        <w:t>；</w:t>
      </w:r>
    </w:p>
    <w:p w14:paraId="6E418F0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124.99</w:t>
      </w:r>
      <w:r>
        <w:rPr>
          <w:rFonts w:ascii="仿宋_GB2312" w:eastAsia="仿宋_GB2312"/>
          <w:kern w:val="2"/>
          <w:sz w:val="32"/>
          <w:szCs w:val="32"/>
          <w:lang w:val="zh-CN"/>
        </w:rPr>
        <w:t>万元，占</w:t>
      </w:r>
      <w:r>
        <w:rPr>
          <w:rFonts w:hint="eastAsia" w:ascii="仿宋_GB2312" w:eastAsia="仿宋_GB2312"/>
          <w:kern w:val="2"/>
          <w:sz w:val="32"/>
          <w:szCs w:val="32"/>
          <w:lang w:val="zh-CN"/>
        </w:rPr>
        <w:t>11.84%</w:t>
      </w:r>
      <w:r>
        <w:rPr>
          <w:rFonts w:ascii="仿宋_GB2312" w:eastAsia="仿宋_GB2312"/>
          <w:kern w:val="2"/>
          <w:sz w:val="32"/>
          <w:szCs w:val="32"/>
          <w:lang w:val="zh-CN"/>
        </w:rPr>
        <w:t>；</w:t>
      </w:r>
    </w:p>
    <w:p w14:paraId="6419440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47.82</w:t>
      </w:r>
      <w:r>
        <w:rPr>
          <w:rFonts w:ascii="仿宋_GB2312" w:eastAsia="仿宋_GB2312"/>
          <w:kern w:val="2"/>
          <w:sz w:val="32"/>
          <w:szCs w:val="32"/>
          <w:lang w:val="zh-CN"/>
        </w:rPr>
        <w:t>万元，占</w:t>
      </w:r>
      <w:r>
        <w:rPr>
          <w:rFonts w:hint="eastAsia" w:ascii="仿宋_GB2312" w:eastAsia="仿宋_GB2312"/>
          <w:kern w:val="2"/>
          <w:sz w:val="32"/>
          <w:szCs w:val="32"/>
          <w:lang w:val="zh-CN"/>
        </w:rPr>
        <w:t>4.53%</w:t>
      </w:r>
      <w:r>
        <w:rPr>
          <w:rFonts w:ascii="仿宋_GB2312" w:eastAsia="仿宋_GB2312"/>
          <w:kern w:val="2"/>
          <w:sz w:val="32"/>
          <w:szCs w:val="32"/>
          <w:lang w:val="zh-CN"/>
        </w:rPr>
        <w:t>；</w:t>
      </w:r>
    </w:p>
    <w:p w14:paraId="3852BE65">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rPr>
        <w:t>5</w:t>
      </w:r>
      <w:r>
        <w:rPr>
          <w:rFonts w:hint="eastAsia" w:ascii="仿宋_GB2312" w:hAnsi="仿宋_GB2312" w:eastAsia="仿宋_GB2312" w:cs="仿宋_GB2312"/>
          <w:kern w:val="2"/>
          <w:sz w:val="32"/>
          <w:szCs w:val="32"/>
          <w:lang w:val="zh-CN"/>
        </w:rPr>
        <w:t>.城乡社区支出（类）6.42万元，占0.61%；</w:t>
      </w:r>
    </w:p>
    <w:p w14:paraId="595EEEF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rPr>
        <w:t>6</w:t>
      </w:r>
      <w:r>
        <w:rPr>
          <w:rFonts w:hint="eastAsia" w:ascii="仿宋_GB2312" w:hAnsi="仿宋_GB2312" w:eastAsia="仿宋_GB2312" w:cs="仿宋_GB2312"/>
          <w:kern w:val="2"/>
          <w:sz w:val="32"/>
          <w:szCs w:val="32"/>
          <w:lang w:val="zh-CN"/>
        </w:rPr>
        <w:t>.农林水支出（类）463.38万元，占</w:t>
      </w:r>
      <w:r>
        <w:rPr>
          <w:rFonts w:hint="eastAsia" w:ascii="仿宋_GB2312" w:eastAsia="仿宋_GB2312"/>
          <w:kern w:val="2"/>
          <w:sz w:val="32"/>
          <w:szCs w:val="32"/>
          <w:lang w:val="zh-CN"/>
        </w:rPr>
        <w:t>43.88%</w:t>
      </w:r>
      <w:r>
        <w:rPr>
          <w:rFonts w:ascii="仿宋_GB2312" w:eastAsia="仿宋_GB2312"/>
          <w:kern w:val="2"/>
          <w:sz w:val="32"/>
          <w:szCs w:val="32"/>
          <w:lang w:val="zh-CN"/>
        </w:rPr>
        <w:t>；</w:t>
      </w:r>
    </w:p>
    <w:p w14:paraId="2A02AED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7</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1.80</w:t>
      </w:r>
      <w:r>
        <w:rPr>
          <w:rFonts w:ascii="仿宋_GB2312" w:eastAsia="仿宋_GB2312"/>
          <w:kern w:val="2"/>
          <w:sz w:val="32"/>
          <w:szCs w:val="32"/>
          <w:lang w:val="zh-CN"/>
        </w:rPr>
        <w:t>万元，占</w:t>
      </w:r>
      <w:r>
        <w:rPr>
          <w:rFonts w:hint="eastAsia" w:ascii="仿宋_GB2312" w:eastAsia="仿宋_GB2312"/>
          <w:kern w:val="2"/>
          <w:sz w:val="32"/>
          <w:szCs w:val="32"/>
          <w:lang w:val="zh-CN"/>
        </w:rPr>
        <w:t>0.17%</w:t>
      </w:r>
      <w:r>
        <w:rPr>
          <w:rFonts w:ascii="仿宋_GB2312" w:eastAsia="仿宋_GB2312"/>
          <w:kern w:val="2"/>
          <w:sz w:val="32"/>
          <w:szCs w:val="32"/>
          <w:lang w:val="zh-CN"/>
        </w:rPr>
        <w:t>；</w:t>
      </w:r>
    </w:p>
    <w:p w14:paraId="43F9FC3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8</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65.88</w:t>
      </w:r>
      <w:r>
        <w:rPr>
          <w:rFonts w:ascii="仿宋_GB2312" w:eastAsia="仿宋_GB2312"/>
          <w:kern w:val="2"/>
          <w:sz w:val="32"/>
          <w:szCs w:val="32"/>
          <w:lang w:val="zh-CN"/>
        </w:rPr>
        <w:t>万元，占</w:t>
      </w:r>
      <w:r>
        <w:rPr>
          <w:rFonts w:hint="eastAsia" w:ascii="仿宋_GB2312" w:eastAsia="仿宋_GB2312"/>
          <w:kern w:val="2"/>
          <w:sz w:val="32"/>
          <w:szCs w:val="32"/>
          <w:lang w:val="zh-CN"/>
        </w:rPr>
        <w:t>6.24%</w:t>
      </w:r>
      <w:r>
        <w:rPr>
          <w:rFonts w:ascii="仿宋_GB2312" w:eastAsia="仿宋_GB2312"/>
          <w:kern w:val="2"/>
          <w:sz w:val="32"/>
          <w:szCs w:val="32"/>
          <w:lang w:val="zh-CN"/>
        </w:rPr>
        <w:t>；</w:t>
      </w:r>
    </w:p>
    <w:p w14:paraId="684CC35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9</w:t>
      </w:r>
      <w:r>
        <w:rPr>
          <w:rFonts w:ascii="仿宋_GB2312" w:eastAsia="仿宋_GB2312"/>
          <w:kern w:val="2"/>
          <w:sz w:val="32"/>
          <w:szCs w:val="32"/>
          <w:lang w:val="zh-CN"/>
        </w:rPr>
        <w:t>.其他支出（类）</w:t>
      </w:r>
      <w:r>
        <w:rPr>
          <w:rFonts w:hint="eastAsia" w:ascii="仿宋_GB2312" w:eastAsia="仿宋_GB2312"/>
          <w:kern w:val="2"/>
          <w:sz w:val="32"/>
          <w:szCs w:val="32"/>
          <w:lang w:val="zh-CN"/>
        </w:rPr>
        <w:t>17.09</w:t>
      </w:r>
      <w:r>
        <w:rPr>
          <w:rFonts w:ascii="仿宋_GB2312" w:eastAsia="仿宋_GB2312"/>
          <w:kern w:val="2"/>
          <w:sz w:val="32"/>
          <w:szCs w:val="32"/>
          <w:lang w:val="zh-CN"/>
        </w:rPr>
        <w:t>万元，占</w:t>
      </w:r>
      <w:r>
        <w:rPr>
          <w:rFonts w:hint="eastAsia" w:ascii="仿宋_GB2312" w:eastAsia="仿宋_GB2312"/>
          <w:kern w:val="2"/>
          <w:sz w:val="32"/>
          <w:szCs w:val="32"/>
          <w:lang w:val="zh-CN"/>
        </w:rPr>
        <w:t>1.62%。</w:t>
      </w:r>
    </w:p>
    <w:p w14:paraId="63EE846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05AF65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1.卫生健康支出（类）行政事业单位医疗（款）其他行政事业单位医疗支出（项）:支出决算数为0.47万元，比上年决算减少0.04万元，下降7.84%，主要原因是：</w:t>
      </w:r>
      <w:r>
        <w:rPr>
          <w:rFonts w:hint="eastAsia" w:ascii="仿宋_GB2312" w:hAnsi="仿宋_GB2312" w:eastAsia="仿宋_GB2312" w:cs="仿宋_GB2312"/>
          <w:sz w:val="32"/>
          <w:szCs w:val="32"/>
          <w:lang w:val="zh-CN"/>
        </w:rPr>
        <w:t>本年</w:t>
      </w:r>
      <w:r>
        <w:rPr>
          <w:rFonts w:hint="eastAsia" w:ascii="仿宋_GB2312" w:hAnsi="仿宋_GB2312" w:eastAsia="仿宋_GB2312" w:cs="仿宋_GB2312"/>
          <w:sz w:val="32"/>
          <w:szCs w:val="32"/>
        </w:rPr>
        <w:t>医疗保险</w:t>
      </w:r>
      <w:r>
        <w:rPr>
          <w:rFonts w:hint="eastAsia" w:ascii="仿宋_GB2312" w:hAnsi="仿宋_GB2312" w:eastAsia="仿宋_GB2312" w:cs="仿宋_GB2312"/>
          <w:sz w:val="32"/>
          <w:szCs w:val="32"/>
          <w:lang w:val="zh-CN"/>
        </w:rPr>
        <w:t>缴费基数调</w:t>
      </w:r>
      <w:r>
        <w:rPr>
          <w:rFonts w:hint="eastAsia" w:ascii="仿宋_GB2312" w:hAnsi="仿宋_GB2312" w:eastAsia="仿宋_GB2312" w:cs="仿宋_GB2312"/>
          <w:sz w:val="32"/>
          <w:szCs w:val="32"/>
        </w:rPr>
        <w:t>减</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单位大病医疗缴费减少</w:t>
      </w:r>
      <w:r>
        <w:rPr>
          <w:rFonts w:hint="eastAsia" w:ascii="仿宋_GB2312" w:hAnsi="仿宋_GB2312" w:eastAsia="仿宋_GB2312" w:cs="仿宋_GB2312"/>
          <w:sz w:val="32"/>
          <w:szCs w:val="32"/>
          <w:lang w:val="zh-CN"/>
        </w:rPr>
        <w:t>。</w:t>
      </w:r>
    </w:p>
    <w:p w14:paraId="4CA8DF3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2.卫生健康支出（类）行政事业单位医疗（款）行政单位医疗（项）:支出决算数为16.80万元，比上年决算减少4.86万元，下降22.44%，主要原因是：</w:t>
      </w:r>
      <w:r>
        <w:rPr>
          <w:rFonts w:hint="eastAsia" w:ascii="仿宋_GB2312" w:hAnsi="仿宋_GB2312" w:eastAsia="仿宋_GB2312" w:cs="仿宋_GB2312"/>
          <w:sz w:val="32"/>
          <w:szCs w:val="32"/>
          <w:lang w:val="zh-CN"/>
        </w:rPr>
        <w:t>本年行政人员减少，行政单位医疗缴费减少。</w:t>
      </w:r>
    </w:p>
    <w:p w14:paraId="05880DA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3.卫生健康支出（类）行政事业单位医疗（款）事业单位医疗（项）:支出决算数为26.08万元，比上年决算减少3.23万元，下降11.02%，主要原因是：</w:t>
      </w:r>
      <w:r>
        <w:rPr>
          <w:rFonts w:hint="eastAsia" w:ascii="仿宋_GB2312" w:hAnsi="仿宋_GB2312" w:eastAsia="仿宋_GB2312" w:cs="仿宋_GB2312"/>
          <w:sz w:val="32"/>
          <w:szCs w:val="32"/>
          <w:lang w:val="zh-CN"/>
        </w:rPr>
        <w:t>本年</w:t>
      </w:r>
      <w:r>
        <w:rPr>
          <w:rFonts w:hint="eastAsia" w:ascii="仿宋_GB2312" w:hAnsi="仿宋_GB2312" w:eastAsia="仿宋_GB2312" w:cs="仿宋_GB2312"/>
          <w:sz w:val="32"/>
          <w:szCs w:val="32"/>
        </w:rPr>
        <w:t>医疗保险缴费基数</w:t>
      </w:r>
      <w:r>
        <w:rPr>
          <w:rFonts w:hint="eastAsia" w:ascii="仿宋_GB2312" w:hAnsi="仿宋_GB2312" w:eastAsia="仿宋_GB2312" w:cs="仿宋_GB2312"/>
          <w:sz w:val="32"/>
          <w:szCs w:val="32"/>
          <w:lang w:val="zh-CN"/>
        </w:rPr>
        <w:t>下调，事业单位医疗缴费减少。</w:t>
      </w:r>
    </w:p>
    <w:p w14:paraId="4F7FD2B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4.农林水支出（类）农业农村（款）事业运行（项）:支出决算数为389.56万元，比上年决算减少57.84万元，下降12.93%，主要原因是：</w:t>
      </w:r>
      <w:r>
        <w:rPr>
          <w:rFonts w:hint="eastAsia" w:ascii="仿宋_GB2312" w:hAnsi="仿宋_GB2312" w:eastAsia="仿宋_GB2312" w:cs="仿宋_GB2312"/>
          <w:sz w:val="32"/>
          <w:szCs w:val="32"/>
          <w:lang w:val="zh-CN"/>
        </w:rPr>
        <w:t>本年事业人员</w:t>
      </w:r>
      <w:r>
        <w:rPr>
          <w:rFonts w:hint="eastAsia" w:ascii="仿宋_GB2312" w:hAnsi="仿宋_GB2312" w:eastAsia="仿宋_GB2312" w:cs="仿宋_GB2312"/>
          <w:sz w:val="32"/>
          <w:szCs w:val="32"/>
        </w:rPr>
        <w:t>奖金，绩效工资</w:t>
      </w:r>
      <w:r>
        <w:rPr>
          <w:rFonts w:hint="eastAsia" w:ascii="仿宋_GB2312" w:hAnsi="仿宋_GB2312" w:eastAsia="仿宋_GB2312" w:cs="仿宋_GB2312"/>
          <w:sz w:val="32"/>
          <w:szCs w:val="32"/>
          <w:lang w:val="zh-CN"/>
        </w:rPr>
        <w:t>减少。</w:t>
      </w:r>
    </w:p>
    <w:p w14:paraId="75C3D8F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5.卫生健康支出（类）行政事业单位医疗（款）公务员医疗补助（项）:支出决算数为4.47万元，比上年决算减少1.70万元，下降27.55%，主要原因是：公务员医疗缴费基数下调，公务员医疗补助缴费减少</w:t>
      </w:r>
      <w:r>
        <w:rPr>
          <w:rFonts w:hint="eastAsia" w:ascii="仿宋_GB2312" w:hAnsi="仿宋_GB2312" w:eastAsia="仿宋_GB2312" w:cs="仿宋_GB2312"/>
          <w:sz w:val="32"/>
          <w:szCs w:val="32"/>
          <w:lang w:val="zh-CN"/>
        </w:rPr>
        <w:t>。</w:t>
      </w:r>
    </w:p>
    <w:p w14:paraId="7568AE0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6.住房保障支出（类）住房改革支出（款）住房公积金（项）:支出决算数为65.88万元，比上年决算增加4.66万元，增长7.61%，主要原因是：</w:t>
      </w:r>
      <w:r>
        <w:rPr>
          <w:rFonts w:hint="eastAsia" w:ascii="仿宋_GB2312" w:hAnsi="仿宋_GB2312" w:eastAsia="仿宋_GB2312" w:cs="仿宋_GB2312"/>
          <w:sz w:val="32"/>
          <w:szCs w:val="32"/>
          <w:lang w:val="zh-CN"/>
        </w:rPr>
        <w:t>本年公积金基数调增，</w:t>
      </w:r>
      <w:r>
        <w:rPr>
          <w:rFonts w:hint="eastAsia" w:ascii="仿宋_GB2312" w:hAnsi="仿宋_GB2312" w:eastAsia="仿宋_GB2312" w:cs="仿宋_GB2312"/>
          <w:sz w:val="32"/>
          <w:szCs w:val="32"/>
        </w:rPr>
        <w:t>住房公积金缴费增加</w:t>
      </w:r>
      <w:r>
        <w:rPr>
          <w:rFonts w:hint="eastAsia" w:ascii="仿宋_GB2312" w:hAnsi="仿宋_GB2312" w:eastAsia="仿宋_GB2312" w:cs="仿宋_GB2312"/>
          <w:sz w:val="32"/>
          <w:szCs w:val="32"/>
          <w:lang w:val="zh-CN"/>
        </w:rPr>
        <w:t>。</w:t>
      </w:r>
    </w:p>
    <w:p w14:paraId="4BE8A13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7.农林水支出（类）农业农村（款）病虫害控制（项）:支出决算数为22.50万元，比上年决算增加22.50万元，增长100%，主要原因是：</w:t>
      </w:r>
      <w:r>
        <w:rPr>
          <w:rFonts w:hint="eastAsia" w:ascii="仿宋_GB2312" w:hAnsi="仿宋_GB2312" w:eastAsia="仿宋_GB2312" w:cs="仿宋_GB2312"/>
          <w:sz w:val="32"/>
          <w:szCs w:val="32"/>
          <w:lang w:val="zh-CN"/>
        </w:rPr>
        <w:t>2023年中央粮油生产保障资金预算-小麦“一喷三防”项目经费增加。</w:t>
      </w:r>
    </w:p>
    <w:p w14:paraId="367D01F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8.社会保障和就业支出（类）抚恤（款）死亡抚恤（项）:支出决算数为31.20万元，比上年决算增加31.20万元，增长100%，主要原因是：本年</w:t>
      </w:r>
      <w:r>
        <w:rPr>
          <w:rFonts w:hint="eastAsia" w:ascii="仿宋_GB2312" w:hAnsi="仿宋_GB2312" w:eastAsia="仿宋_GB2312" w:cs="仿宋_GB2312"/>
          <w:sz w:val="32"/>
          <w:szCs w:val="32"/>
          <w:lang w:val="zh-CN"/>
        </w:rPr>
        <w:t>退休人员去世，一次性</w:t>
      </w:r>
      <w:r>
        <w:rPr>
          <w:rFonts w:hint="eastAsia" w:ascii="仿宋_GB2312" w:hAnsi="仿宋_GB2312" w:eastAsia="仿宋_GB2312" w:cs="仿宋_GB2312"/>
          <w:sz w:val="32"/>
          <w:szCs w:val="32"/>
        </w:rPr>
        <w:t>死亡抚恤金增加</w:t>
      </w:r>
      <w:r>
        <w:rPr>
          <w:rFonts w:hint="eastAsia" w:ascii="仿宋_GB2312" w:hAnsi="仿宋_GB2312" w:eastAsia="仿宋_GB2312" w:cs="仿宋_GB2312"/>
          <w:sz w:val="32"/>
          <w:szCs w:val="32"/>
          <w:lang w:val="zh-CN"/>
        </w:rPr>
        <w:t>。</w:t>
      </w:r>
    </w:p>
    <w:p w14:paraId="74C10B7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9.资源勘探工业信息等支出（类）支持中小企业发展和管理支出（款）其他支持中小企业发展和管理支出（项）:支出决算数为1.80万元，比上年决算减少5.63万元，下降75.77%，主要原因是：</w:t>
      </w:r>
      <w:r>
        <w:rPr>
          <w:rFonts w:hint="eastAsia" w:ascii="仿宋_GB2312" w:hAnsi="仿宋_GB2312" w:eastAsia="仿宋_GB2312" w:cs="仿宋_GB2312"/>
          <w:sz w:val="32"/>
          <w:szCs w:val="32"/>
          <w:lang w:val="zh-CN"/>
        </w:rPr>
        <w:t>单位50万元以下中小企业欠款化解项目经费减少。</w:t>
      </w:r>
    </w:p>
    <w:p w14:paraId="2CE0B60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10.社会保障和就业支出（类）行政事业单位养老支出（款）行政单位离退休（项）:支出决算数为10.41万元，比上年决算增加10.41万元，增长100%，主要原因是：科目调整细化，</w:t>
      </w:r>
      <w:r>
        <w:rPr>
          <w:rFonts w:hint="eastAsia" w:ascii="仿宋_GB2312" w:hAnsi="仿宋_GB2312" w:eastAsia="仿宋_GB2312" w:cs="仿宋_GB2312"/>
          <w:sz w:val="32"/>
          <w:szCs w:val="32"/>
          <w:lang w:val="zh-CN"/>
        </w:rPr>
        <w:t>本年退休</w:t>
      </w:r>
      <w:r>
        <w:rPr>
          <w:rFonts w:hint="eastAsia" w:ascii="仿宋_GB2312" w:hAnsi="仿宋_GB2312" w:eastAsia="仿宋_GB2312" w:cs="仿宋_GB2312"/>
          <w:sz w:val="32"/>
          <w:szCs w:val="32"/>
        </w:rPr>
        <w:t>人员的取暖费和交通费增加</w:t>
      </w:r>
      <w:r>
        <w:rPr>
          <w:rFonts w:hint="eastAsia" w:ascii="仿宋_GB2312" w:hAnsi="仿宋_GB2312" w:eastAsia="仿宋_GB2312" w:cs="仿宋_GB2312"/>
          <w:sz w:val="32"/>
          <w:szCs w:val="32"/>
          <w:lang w:val="zh-CN"/>
        </w:rPr>
        <w:t>。</w:t>
      </w:r>
    </w:p>
    <w:p w14:paraId="43B5265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11.农林水支出（类）水利（款）其他水利支出（项）:支出决算数为7.94万元，比上年决算增加7.94万元，增长100%，主要原因是：</w:t>
      </w:r>
      <w:r>
        <w:rPr>
          <w:rFonts w:hint="eastAsia" w:ascii="仿宋_GB2312" w:hAnsi="仿宋_GB2312" w:eastAsia="仿宋_GB2312" w:cs="仿宋_GB2312"/>
          <w:sz w:val="32"/>
          <w:szCs w:val="32"/>
          <w:lang w:val="zh-CN"/>
        </w:rPr>
        <w:t>本年奇台县东湾镇耕地绿化带建设项目和奇台县东湾镇巷道亮化项目增加。</w:t>
      </w:r>
    </w:p>
    <w:p w14:paraId="178D40C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12.社会保障和就业支出（类）行政事业单位养老支出（款）机关事业单位基本养老保险缴费支出（项）:支出决算数为83.39万元，比上年决算增加10.57万元，增长14.52%，主要原因是：</w:t>
      </w:r>
      <w:r>
        <w:rPr>
          <w:rFonts w:hint="eastAsia" w:ascii="仿宋_GB2312" w:hAnsi="仿宋_GB2312" w:eastAsia="仿宋_GB2312" w:cs="仿宋_GB2312"/>
          <w:sz w:val="32"/>
          <w:szCs w:val="32"/>
          <w:lang w:val="zh-CN"/>
        </w:rPr>
        <w:t>本年事业人员增加，</w:t>
      </w:r>
      <w:r>
        <w:rPr>
          <w:rFonts w:hint="eastAsia" w:ascii="仿宋_GB2312" w:hAnsi="仿宋_GB2312" w:eastAsia="仿宋_GB2312" w:cs="仿宋_GB2312"/>
          <w:sz w:val="32"/>
          <w:szCs w:val="32"/>
        </w:rPr>
        <w:t>单位基本养老保险缴费增加</w:t>
      </w:r>
      <w:r>
        <w:rPr>
          <w:rFonts w:hint="eastAsia" w:ascii="仿宋_GB2312" w:hAnsi="仿宋_GB2312" w:eastAsia="仿宋_GB2312" w:cs="仿宋_GB2312"/>
          <w:sz w:val="32"/>
          <w:szCs w:val="32"/>
          <w:lang w:val="zh-CN"/>
        </w:rPr>
        <w:t>。</w:t>
      </w:r>
    </w:p>
    <w:p w14:paraId="20FB1CB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13.农林水支出（类）农业农村（款）农业生产发展（项）:支出决算数为13.44万元，比上年决算增加13.44万元，增长100%，主要原因是：</w:t>
      </w:r>
      <w:r>
        <w:rPr>
          <w:rFonts w:hint="eastAsia" w:ascii="仿宋_GB2312" w:hAnsi="仿宋_GB2312" w:eastAsia="仿宋_GB2312" w:cs="仿宋_GB2312"/>
          <w:sz w:val="32"/>
          <w:szCs w:val="32"/>
          <w:lang w:val="zh-CN"/>
        </w:rPr>
        <w:t>2023年中央玉米大豆“一喷多促”项目经费增加。</w:t>
      </w:r>
    </w:p>
    <w:p w14:paraId="5C88523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14.农林水支出（类）农业农村（款）其他农业农村支出（项）:支出决算数为29.94万元，比上年决算增加18.94万元，增长172.18%，主要原因是：</w:t>
      </w:r>
      <w:r>
        <w:rPr>
          <w:rFonts w:hint="eastAsia" w:ascii="仿宋_GB2312" w:hAnsi="仿宋_GB2312" w:eastAsia="仿宋_GB2312" w:cs="仿宋_GB2312"/>
          <w:sz w:val="32"/>
          <w:szCs w:val="32"/>
          <w:lang w:val="zh-CN"/>
        </w:rPr>
        <w:t>本年锦绣小区自来水管网改造项目工程款和东湾镇墒户村一事一议绿化及配套建设项目工程款增加。</w:t>
      </w:r>
    </w:p>
    <w:p w14:paraId="74C716B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15.城乡社区支出（类）城乡社区公共设施（款）小城镇基础设施建设（项）:支出决算数为6.42万元，比上年决算增加6.42万元，增长100%，主要原因是：</w:t>
      </w:r>
      <w:r>
        <w:rPr>
          <w:rFonts w:hint="eastAsia" w:ascii="仿宋_GB2312" w:hAnsi="仿宋_GB2312" w:eastAsia="仿宋_GB2312" w:cs="仿宋_GB2312"/>
          <w:sz w:val="32"/>
          <w:szCs w:val="32"/>
          <w:lang w:val="zh-CN"/>
        </w:rPr>
        <w:t>本年东湾镇非法占用耕地建房问题整改资金增加。</w:t>
      </w:r>
    </w:p>
    <w:p w14:paraId="14BF6BA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16.一般公共服务支出（类）党委办公厅（室）及相关机构事务（款）行政运行（项）:支出决算数为59.79万元，比上年决算增加33.40万元，增长126.56%，主要原因是：</w:t>
      </w:r>
      <w:r>
        <w:rPr>
          <w:rFonts w:hint="eastAsia" w:ascii="仿宋_GB2312" w:hAnsi="仿宋_GB2312" w:eastAsia="仿宋_GB2312" w:cs="仿宋_GB2312"/>
          <w:sz w:val="32"/>
          <w:szCs w:val="32"/>
          <w:lang w:val="zh-CN"/>
        </w:rPr>
        <w:t>本年增加聘用人员工资等经费。</w:t>
      </w:r>
    </w:p>
    <w:p w14:paraId="0E91EB9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17.一般公共服务支出（类）纪检监察事务（款）其他纪检监察事务支出（项）:支出决算数为6.17万元，比上年决算增加0.50万元，增长8.82%，主要原因是：</w:t>
      </w:r>
      <w:r>
        <w:rPr>
          <w:rFonts w:hint="eastAsia" w:ascii="仿宋_GB2312" w:hAnsi="仿宋_GB2312" w:eastAsia="仿宋_GB2312" w:cs="仿宋_GB2312"/>
          <w:sz w:val="32"/>
          <w:szCs w:val="32"/>
          <w:lang w:val="zh-CN"/>
        </w:rPr>
        <w:t>2023年中央政法纪检监察转移支付资金-纪检监察经费增加。</w:t>
      </w:r>
    </w:p>
    <w:p w14:paraId="0F06E3D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18.文化旅游体育与传媒支出（类）其他文化旅游体育与传媒支出（款）其他文化旅游体育与传媒支出（项）:支出决算数为1.00万元，比上年决算增加1.00万元，增长100%，主要原因是：</w:t>
      </w:r>
      <w:r>
        <w:rPr>
          <w:rFonts w:hint="eastAsia" w:ascii="仿宋_GB2312" w:hAnsi="仿宋_GB2312" w:eastAsia="仿宋_GB2312" w:cs="仿宋_GB2312"/>
          <w:sz w:val="32"/>
          <w:szCs w:val="32"/>
          <w:lang w:val="zh-CN"/>
        </w:rPr>
        <w:t>2023年中央补助地方公共文化服务体系建设补助资金增加。</w:t>
      </w:r>
    </w:p>
    <w:p w14:paraId="16601BA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19.一般公共服务支出（类）政府办公厅（室）及相关机构事务（款）行政运行（项）:支出决算数为256.75万元，比上年决算减少85.84万元，下降25.06%，主要原因是：</w:t>
      </w:r>
      <w:r>
        <w:rPr>
          <w:rFonts w:hint="eastAsia" w:ascii="仿宋_GB2312" w:hAnsi="仿宋_GB2312" w:eastAsia="仿宋_GB2312" w:cs="仿宋_GB2312"/>
          <w:sz w:val="32"/>
          <w:szCs w:val="32"/>
          <w:lang w:val="zh-CN"/>
        </w:rPr>
        <w:t>本年人员减少，人员工资，津贴补贴等减少。</w:t>
      </w:r>
    </w:p>
    <w:p w14:paraId="0011C05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20.其他支出（类）其他支出（款）其他支出（项）:支出决算数为17.09万元，比上年决算增加1.34万元，增长8.51%，主要原因是：</w:t>
      </w:r>
      <w:r>
        <w:rPr>
          <w:rFonts w:hint="eastAsia" w:ascii="仿宋_GB2312" w:hAnsi="仿宋_GB2312" w:eastAsia="仿宋_GB2312" w:cs="仿宋_GB2312"/>
          <w:sz w:val="32"/>
          <w:szCs w:val="32"/>
          <w:lang w:val="zh-CN"/>
        </w:rPr>
        <w:t>本年单位为民办实事办好事经费较上年增加。</w:t>
      </w:r>
    </w:p>
    <w:p w14:paraId="440DA2C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21.一般公共服务支出（类）政府办公厅（室）及相关机构事务（款）其他政府办公厅（室）及相关机构事务支出（项）:支出决算数为4.92万元，比上年决算增加4.92万元，增长100%，主要原因是：</w:t>
      </w:r>
      <w:r>
        <w:rPr>
          <w:rFonts w:hint="eastAsia" w:ascii="仿宋_GB2312" w:hAnsi="仿宋_GB2312" w:eastAsia="仿宋_GB2312" w:cs="仿宋_GB2312"/>
          <w:sz w:val="32"/>
          <w:szCs w:val="32"/>
          <w:lang w:val="zh-CN"/>
        </w:rPr>
        <w:t>本年化解何全德信访项目资金增加。</w:t>
      </w:r>
    </w:p>
    <w:p w14:paraId="5A2B655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22.卫生健康支出（类）公共卫生（款）突发公共卫生事件应急处理（项）:支出决算数为0.00万元，比上年决算减少1.00万元，下降100%，主要原因是：本年单位减少防疫支出</w:t>
      </w:r>
      <w:r>
        <w:rPr>
          <w:rFonts w:hint="eastAsia" w:ascii="仿宋_GB2312" w:hAnsi="仿宋_GB2312" w:eastAsia="仿宋_GB2312" w:cs="仿宋_GB2312"/>
          <w:sz w:val="32"/>
          <w:szCs w:val="32"/>
          <w:lang w:val="zh-CN"/>
        </w:rPr>
        <w:t>。</w:t>
      </w:r>
    </w:p>
    <w:p w14:paraId="4DDBC46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23.农林水支出（类）农业农村（款）防灾救灾（项）:支出决算数为0.00万元，比上年决算减少12.96万元，下降100%，主要原因是：</w:t>
      </w:r>
      <w:r>
        <w:rPr>
          <w:rFonts w:hint="eastAsia" w:ascii="仿宋_GB2312" w:hAnsi="仿宋_GB2312" w:eastAsia="仿宋_GB2312" w:cs="仿宋_GB2312"/>
          <w:sz w:val="32"/>
          <w:szCs w:val="32"/>
          <w:lang w:val="zh-CN"/>
        </w:rPr>
        <w:t>本年单位减少2022年小麦"一喷三防”补助项目资金。</w:t>
      </w:r>
    </w:p>
    <w:p w14:paraId="030A585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EEAFE68">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944.80万元，其中：人员经费913.20万元，包括：基本工资、津贴补贴、奖金、绩效工资、机关事业单位基本养老保险缴费、职工基本医疗保险缴费、公务员医疗补助缴费、其他社会保障缴费、住房公积金、其他工资福利支出、退休费、抚恤金、奖励金。</w:t>
      </w:r>
    </w:p>
    <w:p w14:paraId="582EB399">
      <w:pPr>
        <w:ind w:firstLine="640" w:firstLineChars="200"/>
        <w:jc w:val="left"/>
        <w:rPr>
          <w:rFonts w:ascii="仿宋_GB2312" w:eastAsia="仿宋_GB2312"/>
          <w:sz w:val="32"/>
          <w:szCs w:val="32"/>
        </w:rPr>
      </w:pPr>
      <w:r>
        <w:rPr>
          <w:rFonts w:hint="eastAsia" w:ascii="仿宋_GB2312" w:eastAsia="仿宋_GB2312"/>
          <w:sz w:val="32"/>
          <w:szCs w:val="32"/>
        </w:rPr>
        <w:t>公用经费31.60万元，包括：办公费、印刷费、电费、邮电费、取暖费、差旅费、劳务费、公务用车运行维护费。</w:t>
      </w:r>
    </w:p>
    <w:p w14:paraId="12ACE0E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D3DD6F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“三公”经费支出1.65万元，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与上年对比无差异</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主要原因是：本年单位无此项经费；公务用车购置及运行维护费支出1.65万元，占100.00%，比上年增加0.00万元，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186C86A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67705C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6F261502">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1.65万元，其中：公务用车购置费0.00万元，公务用车运行维护费1.65万元。公务用车运行维护费开支内容包括公务用车燃油费、车辆维修维护费、保险费、过路费等。公务用车购置数0辆，公务用车保有量5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原因是：差异车辆为一般业务用车6辆，车辆费用未使用财政拨款公务用车运行维护费支付。</w:t>
      </w:r>
    </w:p>
    <w:p w14:paraId="2300ECE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758C570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预算数1.65万元，决算数1.65万元，预决算差异率0.00%，主要原因是：</w:t>
      </w:r>
      <w:r>
        <w:rPr>
          <w:rFonts w:hint="eastAsia" w:ascii="仿宋_GB2312" w:eastAsia="仿宋_GB2312"/>
          <w:sz w:val="32"/>
          <w:szCs w:val="32"/>
        </w:rPr>
        <w:t>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预算数1.65万元，决算数1.65万元，预决算差异率0.00%，主要原因是：预决算对比无差异；公务接待费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23F32825">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257D84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总计4.84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本年收入4.84</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总计4.84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本年支出4.84</w:t>
      </w:r>
      <w:r>
        <w:rPr>
          <w:rFonts w:hint="eastAsia" w:ascii="仿宋_GB2312" w:hAnsi="仿宋_GB2312" w:eastAsia="仿宋_GB2312" w:cs="仿宋_GB2312"/>
          <w:sz w:val="32"/>
          <w:szCs w:val="32"/>
          <w:lang w:val="zh-CN"/>
        </w:rPr>
        <w:t>万元。</w:t>
      </w:r>
    </w:p>
    <w:p w14:paraId="3F11D90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与上年相比，减少235.57万元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下降97.99%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主要原因是：本年东湾镇沙场补助项目资金减少。与年初预算相比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4.84</w:t>
      </w:r>
      <w:r>
        <w:rPr>
          <w:rFonts w:hint="eastAsia" w:ascii="仿宋_GB2312" w:hAnsi="仿宋_GB2312" w:eastAsia="仿宋_GB2312" w:cs="仿宋_GB2312"/>
          <w:sz w:val="32"/>
          <w:szCs w:val="32"/>
          <w:lang w:val="zh-CN"/>
        </w:rPr>
        <w:t>万元，预决算差异率100.00%，主要原因是：年中追加奇台县东湾镇村级文化阵地建设项目增加。</w:t>
      </w:r>
    </w:p>
    <w:p w14:paraId="2AC03105">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政府性基金预算财政拨款支出4.84万元。</w:t>
      </w:r>
    </w:p>
    <w:p w14:paraId="2A25653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1.社会保障和就业支出（类）大中型水库移民后期扶持基金支出（款）基础设施建设和经济发展（项）:支出决算数为4.84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4.84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100%，主要原因是：本年奇台县东湾镇村级文化阵地建设项目增加。</w:t>
      </w:r>
    </w:p>
    <w:p w14:paraId="77A96F28">
      <w:pPr>
        <w:ind w:firstLine="640" w:firstLineChars="200"/>
        <w:jc w:val="left"/>
        <w:rPr>
          <w:rFonts w:hint="eastAsia" w:ascii="仿宋_GB2312" w:hAnsi="仿宋_GB2312" w:eastAsia="仿宋_GB2312" w:cs="仿宋_GB2312"/>
          <w:sz w:val="32"/>
          <w:szCs w:val="32"/>
          <w:lang w:val="zh-CN"/>
        </w:rPr>
      </w:pPr>
      <w:bookmarkStart w:id="20" w:name="OLE_LINK1"/>
      <w:r>
        <w:rPr>
          <w:rFonts w:hint="eastAsia" w:ascii="仿宋_GB2312" w:hAnsi="仿宋_GB2312" w:eastAsia="仿宋_GB2312" w:cs="仿宋_GB2312"/>
          <w:sz w:val="32"/>
          <w:szCs w:val="32"/>
          <w:lang w:val="zh-CN"/>
        </w:rPr>
        <w:t>2.城乡社区支出（类）国有土地使用权出让收入安排的支出（款）农村基础设施建设支出（项）:支出决算数为0.00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170.00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100%，主要原因是：本年单位减少东湾镇沙场补助资金。</w:t>
      </w:r>
    </w:p>
    <w:bookmarkEnd w:id="20"/>
    <w:p w14:paraId="3A1A52D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3.城乡社区支出（类）国有土地使用权出让收入安排的支出（款）征地和拆迁补偿支出（项）:支出决算数为0.00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70.41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100%，主要原因是：本年单位减少东湾镇</w:t>
      </w:r>
      <w:bookmarkStart w:id="49" w:name="_GoBack"/>
      <w:bookmarkEnd w:id="49"/>
      <w:r>
        <w:rPr>
          <w:rFonts w:hint="eastAsia" w:ascii="仿宋_GB2312" w:hAnsi="仿宋_GB2312" w:eastAsia="仿宋_GB2312" w:cs="仿宋_GB2312"/>
          <w:sz w:val="32"/>
          <w:szCs w:val="32"/>
          <w:lang w:val="zh-CN"/>
        </w:rPr>
        <w:t>50万元以下中小企业欠款化解项目。</w:t>
      </w:r>
    </w:p>
    <w:p w14:paraId="1EE9892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040799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4853B18">
      <w:pPr>
        <w:ind w:firstLine="640" w:firstLineChars="200"/>
        <w:jc w:val="left"/>
        <w:outlineLvl w:val="1"/>
        <w:rPr>
          <w:rFonts w:hint="eastAsia" w:ascii="黑体" w:hAnsi="黑体" w:eastAsia="黑体" w:cs="宋体"/>
          <w:bCs/>
          <w:kern w:val="0"/>
          <w:sz w:val="32"/>
          <w:szCs w:val="32"/>
        </w:rPr>
      </w:pPr>
      <w:bookmarkStart w:id="21" w:name="_Toc7314"/>
      <w:bookmarkStart w:id="22" w:name="_Toc1235"/>
      <w:r>
        <w:rPr>
          <w:rFonts w:hint="eastAsia" w:ascii="黑体" w:hAnsi="黑体" w:eastAsia="黑体" w:cs="宋体"/>
          <w:bCs/>
          <w:kern w:val="0"/>
          <w:sz w:val="32"/>
          <w:szCs w:val="32"/>
        </w:rPr>
        <w:t>十、其他重要事项的情况说明</w:t>
      </w:r>
      <w:bookmarkEnd w:id="21"/>
      <w:bookmarkEnd w:id="22"/>
    </w:p>
    <w:p w14:paraId="4638EC20">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10C758C7">
      <w:pPr>
        <w:ind w:firstLine="640" w:firstLineChars="200"/>
        <w:rPr>
          <w:rFonts w:hint="eastAsia" w:ascii="仿宋_GB2312" w:hAnsi="仿宋_GB2312" w:eastAsia="仿宋_GB2312" w:cs="仿宋_GB2312"/>
          <w:sz w:val="32"/>
          <w:szCs w:val="32"/>
          <w:lang w:val="zh-CN"/>
        </w:rPr>
      </w:pPr>
      <w:bookmarkStart w:id="25" w:name="_Toc227"/>
      <w:bookmarkStart w:id="26"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奇台县东湾镇人民政府（行政单位和参照公务员法管理事业单位）机关运行经费支出31.60万元，</w:t>
      </w:r>
      <w:r>
        <w:rPr>
          <w:rFonts w:hint="eastAsia" w:ascii="仿宋_GB2312" w:hAnsi="仿宋_GB2312" w:eastAsia="仿宋_GB2312" w:cs="仿宋_GB2312"/>
          <w:sz w:val="32"/>
          <w:szCs w:val="32"/>
          <w:lang w:val="zh-CN"/>
        </w:rPr>
        <w:t>比上年减少15.83万元，下降33.38%，主要原因是：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取暖费、差旅费</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val="zh-CN"/>
        </w:rPr>
        <w:t>劳务费</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w:t>
      </w:r>
    </w:p>
    <w:p w14:paraId="4AA572E7">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4835F2F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2023年度政府采购支出总额85.49万元，其中：政府采购货物支出52.34万元、政府采购工程支出25.35万元、政府采购服务支出7.80万元。</w:t>
      </w:r>
    </w:p>
    <w:p w14:paraId="58B7C36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授予中小企业合同金额72.19万元，占政府采购支出总额的84.44%，其中：授予小微企业合同金额37.79万元，占政府采购支出总额的44.20%</w:t>
      </w:r>
      <w:r>
        <w:rPr>
          <w:rFonts w:hint="eastAsia" w:ascii="仿宋_GB2312" w:hAnsi="仿宋_GB2312" w:eastAsia="仿宋_GB2312" w:cs="仿宋_GB2312"/>
          <w:sz w:val="32"/>
          <w:szCs w:val="32"/>
        </w:rPr>
        <w:t>。</w:t>
      </w:r>
    </w:p>
    <w:p w14:paraId="1CD02B0D">
      <w:pPr>
        <w:ind w:firstLine="640" w:firstLineChars="200"/>
        <w:jc w:val="left"/>
        <w:rPr>
          <w:rFonts w:eastAsia="黑体"/>
          <w:sz w:val="32"/>
          <w:szCs w:val="30"/>
          <w:lang w:val="zh-CN"/>
        </w:rPr>
      </w:pPr>
      <w:bookmarkStart w:id="27" w:name="_Toc8391"/>
      <w:bookmarkStart w:id="28" w:name="_Toc4591"/>
      <w:r>
        <w:rPr>
          <w:rFonts w:hint="eastAsia" w:eastAsia="黑体"/>
          <w:sz w:val="32"/>
          <w:szCs w:val="30"/>
          <w:lang w:val="zh-CN"/>
        </w:rPr>
        <w:t>（三）国有资产占用情况说明</w:t>
      </w:r>
      <w:bookmarkEnd w:id="27"/>
      <w:bookmarkEnd w:id="28"/>
    </w:p>
    <w:p w14:paraId="7910430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539.55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屋8,253.30平方米，价值258.73万元。车辆11辆，价值165.10万元，其中：副部（省）级及以上领导用车0辆、主要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用车0辆、其他用车11辆，其他用车主要是：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7FE82AF2">
      <w:pPr>
        <w:ind w:firstLine="640" w:firstLineChars="200"/>
        <w:jc w:val="left"/>
        <w:outlineLvl w:val="1"/>
        <w:rPr>
          <w:rFonts w:hint="eastAsia" w:ascii="黑体" w:hAnsi="黑体" w:eastAsia="黑体" w:cs="宋体"/>
          <w:bCs/>
          <w:kern w:val="0"/>
          <w:sz w:val="32"/>
          <w:szCs w:val="32"/>
        </w:rPr>
      </w:pPr>
      <w:bookmarkStart w:id="29" w:name="_Toc11283"/>
      <w:bookmarkStart w:id="30" w:name="_Toc435"/>
      <w:r>
        <w:rPr>
          <w:rFonts w:hint="eastAsia" w:ascii="黑体" w:hAnsi="黑体" w:eastAsia="黑体" w:cs="宋体"/>
          <w:bCs/>
          <w:kern w:val="0"/>
          <w:sz w:val="32"/>
          <w:szCs w:val="32"/>
        </w:rPr>
        <w:t>十一、预算绩效的情况说明</w:t>
      </w:r>
      <w:bookmarkEnd w:id="29"/>
      <w:bookmarkEnd w:id="30"/>
    </w:p>
    <w:p w14:paraId="08C48A2B">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1,061.80</w:t>
      </w:r>
      <w:r>
        <w:rPr>
          <w:rFonts w:hint="eastAsia" w:ascii="仿宋_GB2312" w:eastAsia="仿宋_GB2312"/>
          <w:sz w:val="32"/>
          <w:szCs w:val="32"/>
        </w:rPr>
        <w:t>万元，实际执行总额</w:t>
      </w:r>
      <w:r>
        <w:rPr>
          <w:rFonts w:ascii="仿宋_GB2312" w:eastAsia="仿宋_GB2312"/>
          <w:sz w:val="32"/>
          <w:szCs w:val="32"/>
        </w:rPr>
        <w:t>1,061.80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8</w:t>
      </w:r>
      <w:r>
        <w:rPr>
          <w:rFonts w:hint="eastAsia" w:ascii="仿宋_GB2312" w:eastAsia="仿宋_GB2312"/>
          <w:sz w:val="32"/>
          <w:szCs w:val="32"/>
        </w:rPr>
        <w:t>个，全年预算数</w:t>
      </w:r>
      <w:r>
        <w:rPr>
          <w:rFonts w:ascii="仿宋_GB2312" w:eastAsia="仿宋_GB2312"/>
          <w:sz w:val="32"/>
          <w:szCs w:val="32"/>
        </w:rPr>
        <w:t>137.33</w:t>
      </w:r>
      <w:r>
        <w:rPr>
          <w:rFonts w:hint="eastAsia" w:ascii="仿宋_GB2312" w:eastAsia="仿宋_GB2312"/>
          <w:sz w:val="32"/>
          <w:szCs w:val="32"/>
        </w:rPr>
        <w:t>万元，全年执行数</w:t>
      </w:r>
      <w:r>
        <w:rPr>
          <w:rFonts w:ascii="仿宋_GB2312" w:eastAsia="仿宋_GB2312"/>
          <w:sz w:val="32"/>
          <w:szCs w:val="32"/>
        </w:rPr>
        <w:t>91.8</w:t>
      </w:r>
      <w:r>
        <w:rPr>
          <w:rFonts w:hint="eastAsia" w:ascii="仿宋_GB2312" w:eastAsia="仿宋_GB2312"/>
          <w:sz w:val="32"/>
          <w:szCs w:val="32"/>
        </w:rPr>
        <w:t>0万元。预算绩效管理取得的成效：一是改善了乡镇街道面貌以及农民生产生活环境问题；二是促进统筹规划和综合协调，提升人居环境质量,提升群众人居环境。发现的问题及原因：一是绩效运行监控工作上和绩效目标编制上依然有欠缺，绩效目标设立的不够明确、细化和亮化。对绩效分析也不够透彻；二是绩效监控政策宣传不到位。绩效监控作为新生事物，单位部门认识不到位，对绩效监控重视力度不够。下一步改进措施：一是大力强化宣传，加强政策学习，提高思想认识，提高绩效监控认同感。首先要从部门实际入手，进行深刻剖析，分析实施绩效监控的重要性和意义，激发部门单位对实施绩效监控的积极性；二是着力推动绩效运行监控与部门内部控制管理相结合，发现问题及时纠正，确保绩效监控结果的客观性和准确性。具体项目自评情况附绩效自评表及自评报告。</w:t>
      </w:r>
    </w:p>
    <w:p w14:paraId="76F537A9">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865366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0611B1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E49F07">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6B59D51">
            <w:pPr>
              <w:jc w:val="center"/>
            </w:pPr>
            <w:r>
              <w:rPr>
                <w:rFonts w:ascii="宋体" w:hAnsi="宋体"/>
                <w:sz w:val="18"/>
              </w:rPr>
              <w:t>奇台县东湾镇人民政府</w:t>
            </w:r>
          </w:p>
        </w:tc>
      </w:tr>
      <w:tr w14:paraId="6C73A76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594C6D">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64D5A9D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3E2934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5639A8CB">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7D0D5A05">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04436FB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A20DF80">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4A2AF13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1FBBEF1F">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EA535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78C1588">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3422F5F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C422233">
            <w:pPr>
              <w:jc w:val="center"/>
            </w:pPr>
            <w:r>
              <w:rPr>
                <w:rFonts w:ascii="宋体" w:hAnsi="宋体"/>
                <w:sz w:val="18"/>
              </w:rPr>
              <w:t>4.84</w:t>
            </w:r>
          </w:p>
        </w:tc>
        <w:tc>
          <w:tcPr>
            <w:tcW w:w="1701" w:type="dxa"/>
            <w:tcBorders>
              <w:top w:val="nil"/>
              <w:left w:val="nil"/>
              <w:bottom w:val="single" w:color="auto" w:sz="4" w:space="0"/>
              <w:right w:val="single" w:color="auto" w:sz="4" w:space="0"/>
            </w:tcBorders>
            <w:shd w:val="clear" w:color="auto" w:fill="auto"/>
            <w:vAlign w:val="center"/>
          </w:tcPr>
          <w:p w14:paraId="5026DDD6">
            <w:pPr>
              <w:jc w:val="center"/>
            </w:pPr>
            <w:r>
              <w:rPr>
                <w:rFonts w:ascii="宋体" w:hAnsi="宋体"/>
                <w:sz w:val="18"/>
              </w:rPr>
              <w:t>4.84</w:t>
            </w:r>
          </w:p>
        </w:tc>
        <w:tc>
          <w:tcPr>
            <w:tcW w:w="1134" w:type="dxa"/>
            <w:tcBorders>
              <w:top w:val="nil"/>
              <w:left w:val="nil"/>
              <w:bottom w:val="single" w:color="auto" w:sz="4" w:space="0"/>
              <w:right w:val="single" w:color="auto" w:sz="4" w:space="0"/>
            </w:tcBorders>
            <w:shd w:val="clear" w:color="auto" w:fill="auto"/>
            <w:vAlign w:val="center"/>
          </w:tcPr>
          <w:p w14:paraId="7E193660">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84806B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6E35C463">
            <w:pPr>
              <w:jc w:val="center"/>
            </w:pPr>
            <w:r>
              <w:rPr>
                <w:rFonts w:ascii="宋体" w:hAnsi="宋体"/>
                <w:sz w:val="18"/>
              </w:rPr>
              <w:t>10</w:t>
            </w:r>
          </w:p>
        </w:tc>
      </w:tr>
      <w:tr w14:paraId="64DF61E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D1342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FC9B4D8">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782BC105">
            <w:pPr>
              <w:jc w:val="center"/>
            </w:pPr>
            <w:r>
              <w:rPr>
                <w:rFonts w:ascii="宋体" w:hAnsi="宋体"/>
                <w:sz w:val="18"/>
              </w:rPr>
              <w:t>988.23</w:t>
            </w:r>
          </w:p>
        </w:tc>
        <w:tc>
          <w:tcPr>
            <w:tcW w:w="1276" w:type="dxa"/>
            <w:tcBorders>
              <w:top w:val="nil"/>
              <w:left w:val="nil"/>
              <w:bottom w:val="single" w:color="auto" w:sz="4" w:space="0"/>
              <w:right w:val="single" w:color="auto" w:sz="4" w:space="0"/>
            </w:tcBorders>
            <w:shd w:val="clear" w:color="auto" w:fill="auto"/>
            <w:vAlign w:val="center"/>
          </w:tcPr>
          <w:p w14:paraId="4198D514">
            <w:pPr>
              <w:jc w:val="center"/>
            </w:pPr>
            <w:r>
              <w:rPr>
                <w:rFonts w:ascii="宋体" w:hAnsi="宋体"/>
                <w:sz w:val="18"/>
              </w:rPr>
              <w:t>1,056.01</w:t>
            </w:r>
          </w:p>
        </w:tc>
        <w:tc>
          <w:tcPr>
            <w:tcW w:w="1701" w:type="dxa"/>
            <w:tcBorders>
              <w:top w:val="nil"/>
              <w:left w:val="nil"/>
              <w:bottom w:val="single" w:color="auto" w:sz="4" w:space="0"/>
              <w:right w:val="single" w:color="auto" w:sz="4" w:space="0"/>
            </w:tcBorders>
            <w:shd w:val="clear" w:color="auto" w:fill="auto"/>
            <w:vAlign w:val="center"/>
          </w:tcPr>
          <w:p w14:paraId="1F332846">
            <w:pPr>
              <w:jc w:val="center"/>
            </w:pPr>
            <w:r>
              <w:rPr>
                <w:rFonts w:ascii="宋体" w:hAnsi="宋体"/>
                <w:sz w:val="18"/>
              </w:rPr>
              <w:t>1,056.01</w:t>
            </w:r>
          </w:p>
        </w:tc>
        <w:tc>
          <w:tcPr>
            <w:tcW w:w="1134" w:type="dxa"/>
            <w:tcBorders>
              <w:top w:val="nil"/>
              <w:left w:val="nil"/>
              <w:bottom w:val="single" w:color="auto" w:sz="4" w:space="0"/>
              <w:right w:val="single" w:color="auto" w:sz="4" w:space="0"/>
            </w:tcBorders>
            <w:shd w:val="clear" w:color="auto" w:fill="auto"/>
            <w:vAlign w:val="center"/>
          </w:tcPr>
          <w:p w14:paraId="089CCE4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2A1A919">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EE0E5DF">
            <w:pPr>
              <w:widowControl/>
              <w:jc w:val="center"/>
              <w:rPr>
                <w:rFonts w:hint="eastAsia" w:ascii="宋体" w:hAnsi="宋体" w:cs="宋体"/>
                <w:kern w:val="0"/>
                <w:sz w:val="18"/>
                <w:szCs w:val="18"/>
              </w:rPr>
            </w:pPr>
            <w:r>
              <w:rPr>
                <w:rFonts w:hint="eastAsia" w:ascii="宋体" w:hAnsi="宋体"/>
                <w:sz w:val="18"/>
                <w:szCs w:val="18"/>
              </w:rPr>
              <w:t>-</w:t>
            </w:r>
          </w:p>
        </w:tc>
      </w:tr>
      <w:tr w14:paraId="101A4D78">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BC774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138786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0E707F5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CD2A1C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794E8F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6BB3DB9">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83BE02A">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C136BC5">
            <w:pPr>
              <w:widowControl/>
              <w:jc w:val="center"/>
              <w:rPr>
                <w:rFonts w:hint="eastAsia" w:ascii="宋体" w:hAnsi="宋体" w:cs="宋体"/>
                <w:kern w:val="0"/>
                <w:sz w:val="18"/>
                <w:szCs w:val="18"/>
              </w:rPr>
            </w:pPr>
            <w:r>
              <w:rPr>
                <w:rFonts w:hint="eastAsia" w:ascii="宋体" w:hAnsi="宋体"/>
                <w:sz w:val="18"/>
                <w:szCs w:val="18"/>
              </w:rPr>
              <w:t>-</w:t>
            </w:r>
          </w:p>
        </w:tc>
      </w:tr>
      <w:tr w14:paraId="6C08248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1AB375">
            <w:pPr>
              <w:widowControl/>
              <w:jc w:val="center"/>
              <w:rPr>
                <w:rFonts w:hint="eastAsia" w:ascii="宋体" w:hAnsi="宋体" w:cs="宋体"/>
                <w:b/>
                <w:bCs/>
                <w:kern w:val="0"/>
                <w:sz w:val="18"/>
                <w:szCs w:val="18"/>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0763788F">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E14AC64">
            <w:pPr>
              <w:jc w:val="center"/>
            </w:pPr>
            <w:r>
              <w:rPr>
                <w:rFonts w:ascii="宋体" w:hAnsi="宋体"/>
                <w:sz w:val="18"/>
              </w:rPr>
              <w:t>0.00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4A2632C6">
            <w:pPr>
              <w:jc w:val="center"/>
            </w:pPr>
            <w:r>
              <w:rPr>
                <w:rFonts w:ascii="宋体" w:hAnsi="宋体"/>
                <w:sz w:val="18"/>
              </w:rPr>
              <w:t>0.00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3676A37B">
            <w:pPr>
              <w:jc w:val="center"/>
            </w:pPr>
            <w:r>
              <w:rPr>
                <w:rFonts w:ascii="宋体" w:hAnsi="宋体"/>
                <w:sz w:val="18"/>
              </w:rPr>
              <w:t>0.00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006A7F7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10A8297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1E4C3133">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221BA95A">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F6DB9E1">
            <w:pPr>
              <w:widowControl/>
              <w:jc w:val="center"/>
              <w:rPr>
                <w:rFonts w:hint="eastAsia" w:ascii="宋体" w:hAnsi="宋体" w:cs="宋体"/>
                <w:b/>
                <w:bCs/>
                <w:kern w:val="0"/>
                <w:sz w:val="18"/>
                <w:szCs w:val="18"/>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7F80A76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05A3233E">
            <w:pPr>
              <w:jc w:val="center"/>
            </w:pPr>
            <w:r>
              <w:rPr>
                <w:rFonts w:ascii="宋体" w:hAnsi="宋体"/>
                <w:sz w:val="18"/>
              </w:rPr>
              <w:t>0.00</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E8BA8B6">
            <w:pPr>
              <w:jc w:val="center"/>
            </w:pPr>
            <w:r>
              <w:rPr>
                <w:rFonts w:ascii="宋体" w:hAnsi="宋体"/>
                <w:sz w:val="18"/>
              </w:rPr>
              <w:t>0.95</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2ED427E2">
            <w:pPr>
              <w:jc w:val="center"/>
            </w:pPr>
            <w:r>
              <w:rPr>
                <w:rFonts w:ascii="宋体" w:hAnsi="宋体"/>
                <w:sz w:val="18"/>
              </w:rPr>
              <w:t>0.95</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1C0AD3C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666C635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672C1B2E">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CF67EE6">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3C9BEB">
            <w:pPr>
              <w:widowControl/>
              <w:jc w:val="center"/>
              <w:rPr>
                <w:rFonts w:hint="eastAsia" w:ascii="宋体" w:hAnsi="宋体" w:cs="宋体"/>
                <w:b/>
                <w:bCs/>
                <w:kern w:val="0"/>
                <w:sz w:val="18"/>
                <w:szCs w:val="18"/>
              </w:rPr>
            </w:pPr>
          </w:p>
        </w:tc>
        <w:tc>
          <w:tcPr>
            <w:tcW w:w="1417" w:type="dxa"/>
            <w:tcBorders>
              <w:top w:val="single" w:color="auto" w:sz="4" w:space="0"/>
              <w:left w:val="single" w:color="auto" w:sz="4" w:space="0"/>
              <w:bottom w:val="single" w:color="auto" w:sz="4" w:space="0"/>
              <w:right w:val="single" w:color="auto" w:sz="4" w:space="0"/>
            </w:tcBorders>
            <w:shd w:val="clear" w:color="auto" w:fill="auto"/>
            <w:vAlign w:val="center"/>
          </w:tcPr>
          <w:p w14:paraId="22363F05">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14:paraId="161C6295">
            <w:pPr>
              <w:jc w:val="center"/>
            </w:pPr>
            <w:r>
              <w:rPr>
                <w:rFonts w:ascii="宋体" w:hAnsi="宋体"/>
                <w:sz w:val="18"/>
              </w:rPr>
              <w:t>988.23</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14:paraId="59FEB7B5">
            <w:pPr>
              <w:jc w:val="center"/>
            </w:pPr>
            <w:r>
              <w:rPr>
                <w:rFonts w:ascii="宋体" w:hAnsi="宋体"/>
                <w:sz w:val="18"/>
              </w:rPr>
              <w:t>1,061.80</w:t>
            </w:r>
          </w:p>
        </w:tc>
        <w:tc>
          <w:tcPr>
            <w:tcW w:w="1701" w:type="dxa"/>
            <w:tcBorders>
              <w:top w:val="single" w:color="auto" w:sz="4" w:space="0"/>
              <w:left w:val="single" w:color="auto" w:sz="4" w:space="0"/>
              <w:bottom w:val="single" w:color="auto" w:sz="4" w:space="0"/>
              <w:right w:val="single" w:color="auto" w:sz="4" w:space="0"/>
            </w:tcBorders>
            <w:shd w:val="clear" w:color="auto" w:fill="auto"/>
            <w:vAlign w:val="center"/>
          </w:tcPr>
          <w:p w14:paraId="1BDA82D5">
            <w:pPr>
              <w:jc w:val="center"/>
            </w:pPr>
            <w:r>
              <w:rPr>
                <w:rFonts w:ascii="宋体" w:hAnsi="宋体"/>
                <w:sz w:val="18"/>
              </w:rPr>
              <w:t>1,061.80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14:paraId="28D9E45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single" w:color="auto" w:sz="4" w:space="0"/>
              <w:left w:val="single" w:color="auto" w:sz="4" w:space="0"/>
              <w:bottom w:val="single" w:color="auto" w:sz="4" w:space="0"/>
              <w:right w:val="single" w:color="auto" w:sz="4" w:space="0"/>
            </w:tcBorders>
            <w:shd w:val="clear" w:color="auto" w:fill="auto"/>
            <w:vAlign w:val="center"/>
          </w:tcPr>
          <w:p w14:paraId="4A18E77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14:paraId="3873C918">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A98E5C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6F2DF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6F42886F">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6678FD4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0C75444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B304F6">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7CD24820">
            <w:pPr>
              <w:jc w:val="left"/>
            </w:pPr>
            <w:r>
              <w:rPr>
                <w:rFonts w:ascii="宋体" w:hAnsi="宋体"/>
                <w:sz w:val="18"/>
              </w:rPr>
              <w:t>（一）持之以恒抓好党的建设。（二）聚焦聚力总目标，确保社会稳定。（三）健全科学防控机制，巩固疫情成效。（四）从严压实安全生产责任，坚决遏制安全生产事故发生。（五）坚持新发展理念，加快推动农业经济发展。（六）巩固脱贫攻坚成果，促进与乡村振兴有效衔接。（七）加强项目建设，有序推进各项工作。（八）持续增进民生福祉，推动社会事业繁荣发展。</w:t>
            </w:r>
          </w:p>
        </w:tc>
        <w:tc>
          <w:tcPr>
            <w:tcW w:w="4547" w:type="dxa"/>
            <w:gridSpan w:val="4"/>
            <w:tcBorders>
              <w:top w:val="single" w:color="auto" w:sz="4" w:space="0"/>
              <w:left w:val="nil"/>
              <w:bottom w:val="single" w:color="auto" w:sz="4" w:space="0"/>
              <w:right w:val="single" w:color="auto" w:sz="4" w:space="0"/>
            </w:tcBorders>
            <w:shd w:val="clear" w:color="auto" w:fill="auto"/>
          </w:tcPr>
          <w:p w14:paraId="2A25F002">
            <w:pPr>
              <w:jc w:val="left"/>
            </w:pPr>
            <w:r>
              <w:rPr>
                <w:rFonts w:ascii="宋体" w:hAnsi="宋体"/>
                <w:sz w:val="18"/>
              </w:rPr>
              <w:t>开展安全生产大检查次数:12次；人居环境整治次数：150次；城乡居民医疗养老保险参保人数：6950人；开展群众性文化体育活动次数：10次；“宅票”政策的宣传次数：12次；全民体检完成人数3625人。</w:t>
            </w:r>
          </w:p>
        </w:tc>
      </w:tr>
      <w:tr w14:paraId="2F4BCD7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9C969E8">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EF0A467">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0DFC2F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63470C0A">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37A5D012">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6F2C26B7">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BD6351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33BE86F2">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AE5C8D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A1699D0">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01787E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1C53309">
            <w:pPr>
              <w:jc w:val="center"/>
            </w:pPr>
            <w:r>
              <w:rPr>
                <w:rFonts w:ascii="宋体" w:hAnsi="宋体"/>
                <w:sz w:val="18"/>
              </w:rPr>
              <w:t>开展安全生产大检查次数</w:t>
            </w:r>
          </w:p>
        </w:tc>
        <w:tc>
          <w:tcPr>
            <w:tcW w:w="1276" w:type="dxa"/>
            <w:tcBorders>
              <w:top w:val="nil"/>
              <w:left w:val="nil"/>
              <w:bottom w:val="single" w:color="auto" w:sz="4" w:space="0"/>
              <w:right w:val="single" w:color="auto" w:sz="4" w:space="0"/>
            </w:tcBorders>
            <w:shd w:val="clear" w:color="auto" w:fill="auto"/>
            <w:noWrap/>
            <w:vAlign w:val="center"/>
          </w:tcPr>
          <w:p w14:paraId="4543A7C0">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4F875587">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15E901A6">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6F0FC79">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06126628">
            <w:pPr>
              <w:jc w:val="center"/>
            </w:pPr>
            <w:r>
              <w:rPr>
                <w:rFonts w:ascii="宋体" w:hAnsi="宋体"/>
                <w:sz w:val="18"/>
              </w:rPr>
              <w:t>15</w:t>
            </w:r>
          </w:p>
        </w:tc>
      </w:tr>
      <w:tr w14:paraId="253A457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C570F2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2EC978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97E8390">
            <w:pPr>
              <w:jc w:val="center"/>
            </w:pPr>
            <w:r>
              <w:rPr>
                <w:rFonts w:ascii="宋体" w:hAnsi="宋体"/>
                <w:sz w:val="18"/>
              </w:rPr>
              <w:t>人居环境整治次数</w:t>
            </w:r>
          </w:p>
        </w:tc>
        <w:tc>
          <w:tcPr>
            <w:tcW w:w="1276" w:type="dxa"/>
            <w:tcBorders>
              <w:top w:val="nil"/>
              <w:left w:val="nil"/>
              <w:bottom w:val="single" w:color="auto" w:sz="4" w:space="0"/>
              <w:right w:val="single" w:color="auto" w:sz="4" w:space="0"/>
            </w:tcBorders>
            <w:shd w:val="clear" w:color="auto" w:fill="auto"/>
            <w:noWrap/>
            <w:vAlign w:val="center"/>
          </w:tcPr>
          <w:p w14:paraId="358A23E0">
            <w:pPr>
              <w:jc w:val="center"/>
            </w:pPr>
            <w:r>
              <w:rPr>
                <w:rFonts w:ascii="宋体" w:hAnsi="宋体"/>
                <w:sz w:val="18"/>
              </w:rPr>
              <w:t>&gt;=150次</w:t>
            </w:r>
          </w:p>
        </w:tc>
        <w:tc>
          <w:tcPr>
            <w:tcW w:w="1701" w:type="dxa"/>
            <w:tcBorders>
              <w:top w:val="nil"/>
              <w:left w:val="nil"/>
              <w:bottom w:val="single" w:color="auto" w:sz="4" w:space="0"/>
              <w:right w:val="single" w:color="auto" w:sz="4" w:space="0"/>
            </w:tcBorders>
            <w:shd w:val="clear" w:color="auto" w:fill="auto"/>
            <w:noWrap/>
            <w:vAlign w:val="center"/>
          </w:tcPr>
          <w:p w14:paraId="0F8F05D2">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CDEFAAA">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1434080">
            <w:pPr>
              <w:jc w:val="center"/>
            </w:pPr>
            <w:r>
              <w:rPr>
                <w:rFonts w:ascii="宋体" w:hAnsi="宋体"/>
                <w:sz w:val="18"/>
              </w:rPr>
              <w:t>150次</w:t>
            </w:r>
          </w:p>
        </w:tc>
        <w:tc>
          <w:tcPr>
            <w:tcW w:w="720" w:type="dxa"/>
            <w:tcBorders>
              <w:top w:val="nil"/>
              <w:left w:val="nil"/>
              <w:bottom w:val="single" w:color="auto" w:sz="4" w:space="0"/>
              <w:right w:val="single" w:color="auto" w:sz="4" w:space="0"/>
            </w:tcBorders>
            <w:shd w:val="clear" w:color="auto" w:fill="auto"/>
            <w:noWrap/>
            <w:vAlign w:val="center"/>
          </w:tcPr>
          <w:p w14:paraId="5C0E21F9">
            <w:pPr>
              <w:jc w:val="center"/>
            </w:pPr>
            <w:r>
              <w:rPr>
                <w:rFonts w:ascii="宋体" w:hAnsi="宋体"/>
                <w:sz w:val="18"/>
              </w:rPr>
              <w:t>15</w:t>
            </w:r>
          </w:p>
        </w:tc>
      </w:tr>
      <w:tr w14:paraId="6B1F886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788CC2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60D357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3C9A1CD">
            <w:pPr>
              <w:jc w:val="center"/>
            </w:pPr>
            <w:r>
              <w:rPr>
                <w:rFonts w:ascii="宋体" w:hAnsi="宋体"/>
                <w:sz w:val="18"/>
              </w:rPr>
              <w:t>城乡居民医疗养老保险参保人数</w:t>
            </w:r>
          </w:p>
        </w:tc>
        <w:tc>
          <w:tcPr>
            <w:tcW w:w="1276" w:type="dxa"/>
            <w:tcBorders>
              <w:top w:val="nil"/>
              <w:left w:val="nil"/>
              <w:bottom w:val="single" w:color="auto" w:sz="4" w:space="0"/>
              <w:right w:val="single" w:color="auto" w:sz="4" w:space="0"/>
            </w:tcBorders>
            <w:shd w:val="clear" w:color="auto" w:fill="auto"/>
            <w:noWrap/>
            <w:vAlign w:val="center"/>
          </w:tcPr>
          <w:p w14:paraId="09510174">
            <w:pPr>
              <w:jc w:val="center"/>
            </w:pPr>
            <w:r>
              <w:rPr>
                <w:rFonts w:ascii="宋体" w:hAnsi="宋体"/>
                <w:sz w:val="18"/>
              </w:rPr>
              <w:t>&gt;=6950人</w:t>
            </w:r>
          </w:p>
        </w:tc>
        <w:tc>
          <w:tcPr>
            <w:tcW w:w="1701" w:type="dxa"/>
            <w:tcBorders>
              <w:top w:val="nil"/>
              <w:left w:val="nil"/>
              <w:bottom w:val="single" w:color="auto" w:sz="4" w:space="0"/>
              <w:right w:val="single" w:color="auto" w:sz="4" w:space="0"/>
            </w:tcBorders>
            <w:shd w:val="clear" w:color="auto" w:fill="auto"/>
            <w:noWrap/>
            <w:vAlign w:val="center"/>
          </w:tcPr>
          <w:p w14:paraId="03B179AA">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A951CEA">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558312A6">
            <w:pPr>
              <w:jc w:val="center"/>
            </w:pPr>
            <w:r>
              <w:rPr>
                <w:rFonts w:ascii="宋体" w:hAnsi="宋体"/>
                <w:sz w:val="18"/>
              </w:rPr>
              <w:t>6950人</w:t>
            </w:r>
          </w:p>
        </w:tc>
        <w:tc>
          <w:tcPr>
            <w:tcW w:w="720" w:type="dxa"/>
            <w:tcBorders>
              <w:top w:val="nil"/>
              <w:left w:val="nil"/>
              <w:bottom w:val="single" w:color="auto" w:sz="4" w:space="0"/>
              <w:right w:val="single" w:color="auto" w:sz="4" w:space="0"/>
            </w:tcBorders>
            <w:shd w:val="clear" w:color="auto" w:fill="auto"/>
            <w:noWrap/>
            <w:vAlign w:val="center"/>
          </w:tcPr>
          <w:p w14:paraId="206F5BC0">
            <w:pPr>
              <w:jc w:val="center"/>
            </w:pPr>
            <w:r>
              <w:rPr>
                <w:rFonts w:ascii="宋体" w:hAnsi="宋体"/>
                <w:sz w:val="18"/>
              </w:rPr>
              <w:t>15</w:t>
            </w:r>
          </w:p>
        </w:tc>
      </w:tr>
      <w:tr w14:paraId="6D1BE1F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BFAA7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AFC283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69ED524">
            <w:pPr>
              <w:jc w:val="center"/>
            </w:pPr>
            <w:r>
              <w:rPr>
                <w:rFonts w:ascii="宋体" w:hAnsi="宋体"/>
                <w:sz w:val="18"/>
              </w:rPr>
              <w:t>开展群众性文化体育活动次数</w:t>
            </w:r>
          </w:p>
        </w:tc>
        <w:tc>
          <w:tcPr>
            <w:tcW w:w="1276" w:type="dxa"/>
            <w:tcBorders>
              <w:top w:val="nil"/>
              <w:left w:val="nil"/>
              <w:bottom w:val="single" w:color="auto" w:sz="4" w:space="0"/>
              <w:right w:val="single" w:color="auto" w:sz="4" w:space="0"/>
            </w:tcBorders>
            <w:shd w:val="clear" w:color="auto" w:fill="auto"/>
            <w:noWrap/>
            <w:vAlign w:val="center"/>
          </w:tcPr>
          <w:p w14:paraId="66638AC9">
            <w:pPr>
              <w:jc w:val="center"/>
            </w:pPr>
            <w:r>
              <w:rPr>
                <w:rFonts w:ascii="宋体" w:hAnsi="宋体"/>
                <w:sz w:val="18"/>
              </w:rPr>
              <w:t>&gt;=10次</w:t>
            </w:r>
          </w:p>
        </w:tc>
        <w:tc>
          <w:tcPr>
            <w:tcW w:w="1701" w:type="dxa"/>
            <w:tcBorders>
              <w:top w:val="nil"/>
              <w:left w:val="nil"/>
              <w:bottom w:val="single" w:color="auto" w:sz="4" w:space="0"/>
              <w:right w:val="single" w:color="auto" w:sz="4" w:space="0"/>
            </w:tcBorders>
            <w:shd w:val="clear" w:color="auto" w:fill="auto"/>
            <w:noWrap/>
            <w:vAlign w:val="center"/>
          </w:tcPr>
          <w:p w14:paraId="13D03084">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4E1F638">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5BAF9A02">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7AB42C7E">
            <w:pPr>
              <w:jc w:val="center"/>
            </w:pPr>
            <w:r>
              <w:rPr>
                <w:rFonts w:ascii="宋体" w:hAnsi="宋体"/>
                <w:sz w:val="18"/>
              </w:rPr>
              <w:t>15</w:t>
            </w:r>
          </w:p>
        </w:tc>
      </w:tr>
      <w:tr w14:paraId="675529D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1B7EAA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7B1547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9015C1A">
            <w:pPr>
              <w:jc w:val="center"/>
            </w:pPr>
            <w:r>
              <w:rPr>
                <w:rFonts w:ascii="宋体" w:hAnsi="宋体"/>
                <w:sz w:val="18"/>
              </w:rPr>
              <w:t>“宅票”政策的宣传次数</w:t>
            </w:r>
          </w:p>
        </w:tc>
        <w:tc>
          <w:tcPr>
            <w:tcW w:w="1276" w:type="dxa"/>
            <w:tcBorders>
              <w:top w:val="nil"/>
              <w:left w:val="nil"/>
              <w:bottom w:val="single" w:color="auto" w:sz="4" w:space="0"/>
              <w:right w:val="single" w:color="auto" w:sz="4" w:space="0"/>
            </w:tcBorders>
            <w:shd w:val="clear" w:color="auto" w:fill="auto"/>
            <w:noWrap/>
            <w:vAlign w:val="center"/>
          </w:tcPr>
          <w:p w14:paraId="64371E3F">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319037B2">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4B57538">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405E98BF">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0816A218">
            <w:pPr>
              <w:jc w:val="center"/>
            </w:pPr>
            <w:r>
              <w:rPr>
                <w:rFonts w:ascii="宋体" w:hAnsi="宋体"/>
                <w:sz w:val="18"/>
              </w:rPr>
              <w:t>15</w:t>
            </w:r>
          </w:p>
        </w:tc>
      </w:tr>
      <w:tr w14:paraId="7A17CE6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933F78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9AAB8C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57F6483">
            <w:pPr>
              <w:jc w:val="center"/>
            </w:pPr>
            <w:r>
              <w:rPr>
                <w:rFonts w:ascii="宋体" w:hAnsi="宋体"/>
                <w:sz w:val="18"/>
              </w:rPr>
              <w:t>全民体检完成人数</w:t>
            </w:r>
          </w:p>
        </w:tc>
        <w:tc>
          <w:tcPr>
            <w:tcW w:w="1276" w:type="dxa"/>
            <w:tcBorders>
              <w:top w:val="nil"/>
              <w:left w:val="nil"/>
              <w:bottom w:val="single" w:color="auto" w:sz="4" w:space="0"/>
              <w:right w:val="single" w:color="auto" w:sz="4" w:space="0"/>
            </w:tcBorders>
            <w:shd w:val="clear" w:color="auto" w:fill="auto"/>
            <w:noWrap/>
            <w:vAlign w:val="center"/>
          </w:tcPr>
          <w:p w14:paraId="133FD49A">
            <w:pPr>
              <w:jc w:val="center"/>
            </w:pPr>
            <w:r>
              <w:rPr>
                <w:rFonts w:ascii="宋体" w:hAnsi="宋体"/>
                <w:sz w:val="18"/>
              </w:rPr>
              <w:t>&gt;=3625人</w:t>
            </w:r>
          </w:p>
        </w:tc>
        <w:tc>
          <w:tcPr>
            <w:tcW w:w="1701" w:type="dxa"/>
            <w:tcBorders>
              <w:top w:val="nil"/>
              <w:left w:val="nil"/>
              <w:bottom w:val="single" w:color="auto" w:sz="4" w:space="0"/>
              <w:right w:val="single" w:color="auto" w:sz="4" w:space="0"/>
            </w:tcBorders>
            <w:shd w:val="clear" w:color="auto" w:fill="auto"/>
            <w:noWrap/>
            <w:vAlign w:val="center"/>
          </w:tcPr>
          <w:p w14:paraId="12CBD7B6">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11F2AB3">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3B5D6BE">
            <w:pPr>
              <w:jc w:val="center"/>
            </w:pPr>
            <w:r>
              <w:rPr>
                <w:rFonts w:ascii="宋体" w:hAnsi="宋体"/>
                <w:sz w:val="18"/>
              </w:rPr>
              <w:t>3625人</w:t>
            </w:r>
          </w:p>
        </w:tc>
        <w:tc>
          <w:tcPr>
            <w:tcW w:w="720" w:type="dxa"/>
            <w:tcBorders>
              <w:top w:val="nil"/>
              <w:left w:val="nil"/>
              <w:bottom w:val="single" w:color="auto" w:sz="4" w:space="0"/>
              <w:right w:val="single" w:color="auto" w:sz="4" w:space="0"/>
            </w:tcBorders>
            <w:shd w:val="clear" w:color="auto" w:fill="auto"/>
            <w:noWrap/>
            <w:vAlign w:val="center"/>
          </w:tcPr>
          <w:p w14:paraId="41FBF5F7">
            <w:pPr>
              <w:jc w:val="center"/>
            </w:pPr>
            <w:r>
              <w:rPr>
                <w:rFonts w:ascii="宋体" w:hAnsi="宋体"/>
                <w:sz w:val="18"/>
              </w:rPr>
              <w:t>15</w:t>
            </w:r>
          </w:p>
        </w:tc>
      </w:tr>
    </w:tbl>
    <w:p w14:paraId="7E5574A4">
      <w:pPr>
        <w:rPr>
          <w:rFonts w:hint="eastAsia" w:ascii="宋体" w:hAnsi="宋体" w:cs="宋体"/>
          <w:b/>
          <w:bCs/>
          <w:kern w:val="0"/>
          <w:sz w:val="18"/>
          <w:szCs w:val="18"/>
        </w:rPr>
      </w:pPr>
    </w:p>
    <w:p w14:paraId="2F68BF4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07EB87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DE4422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77BD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4BAD0AD">
            <w:pPr>
              <w:jc w:val="center"/>
            </w:pPr>
            <w:r>
              <w:rPr>
                <w:rFonts w:ascii="宋体" w:hAnsi="宋体"/>
                <w:sz w:val="18"/>
              </w:rPr>
              <w:t>东湾镇中小企业债务化解资金项目</w:t>
            </w:r>
          </w:p>
        </w:tc>
      </w:tr>
      <w:tr w14:paraId="2795D99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CAD3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80F3706">
            <w:pPr>
              <w:jc w:val="center"/>
            </w:pPr>
            <w:r>
              <w:rPr>
                <w:rFonts w:ascii="宋体" w:hAnsi="宋体"/>
                <w:sz w:val="18"/>
              </w:rPr>
              <w:t>奇台县东湾镇人民政府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ABE957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C796149">
            <w:pPr>
              <w:jc w:val="center"/>
            </w:pPr>
            <w:r>
              <w:rPr>
                <w:rFonts w:ascii="宋体" w:hAnsi="宋体"/>
                <w:sz w:val="18"/>
              </w:rPr>
              <w:t>奇台县东湾镇人民政府</w:t>
            </w:r>
          </w:p>
        </w:tc>
      </w:tr>
      <w:tr w14:paraId="5319861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C8D5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A484E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38BD4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6644E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11EA5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FB9E1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91A73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6DE8E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0176CB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3B34E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6902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982CEB">
            <w:pPr>
              <w:jc w:val="center"/>
            </w:pPr>
            <w:r>
              <w:rPr>
                <w:rFonts w:ascii="宋体" w:hAnsi="宋体"/>
                <w:sz w:val="18"/>
              </w:rPr>
              <w:t>47.33</w:t>
            </w:r>
          </w:p>
        </w:tc>
        <w:tc>
          <w:tcPr>
            <w:tcW w:w="1125" w:type="dxa"/>
            <w:tcBorders>
              <w:top w:val="nil"/>
              <w:left w:val="nil"/>
              <w:bottom w:val="single" w:color="auto" w:sz="4" w:space="0"/>
              <w:right w:val="single" w:color="auto" w:sz="4" w:space="0"/>
            </w:tcBorders>
            <w:shd w:val="clear" w:color="auto" w:fill="auto"/>
            <w:noWrap/>
            <w:vAlign w:val="center"/>
          </w:tcPr>
          <w:p w14:paraId="37000232">
            <w:pPr>
              <w:jc w:val="center"/>
            </w:pPr>
            <w:r>
              <w:rPr>
                <w:rFonts w:ascii="宋体" w:hAnsi="宋体"/>
                <w:sz w:val="18"/>
              </w:rPr>
              <w:t>47.33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661154E">
            <w:pPr>
              <w:jc w:val="center"/>
            </w:pPr>
            <w:r>
              <w:rPr>
                <w:rFonts w:ascii="宋体" w:hAnsi="宋体"/>
                <w:sz w:val="18"/>
              </w:rPr>
              <w:t>1.80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57AFC5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A2F9FD8">
            <w:pPr>
              <w:jc w:val="center"/>
            </w:pPr>
            <w:r>
              <w:rPr>
                <w:rFonts w:ascii="宋体" w:hAnsi="宋体"/>
                <w:sz w:val="18"/>
              </w:rPr>
              <w:t>3.80%</w:t>
            </w:r>
          </w:p>
        </w:tc>
        <w:tc>
          <w:tcPr>
            <w:tcW w:w="1275" w:type="dxa"/>
            <w:tcBorders>
              <w:top w:val="nil"/>
              <w:left w:val="nil"/>
              <w:bottom w:val="single" w:color="auto" w:sz="4" w:space="0"/>
              <w:right w:val="single" w:color="auto" w:sz="4" w:space="0"/>
            </w:tcBorders>
            <w:shd w:val="clear" w:color="auto" w:fill="auto"/>
            <w:vAlign w:val="center"/>
          </w:tcPr>
          <w:p w14:paraId="1014268B">
            <w:pPr>
              <w:jc w:val="center"/>
            </w:pPr>
            <w:r>
              <w:rPr>
                <w:rFonts w:ascii="宋体" w:hAnsi="宋体"/>
                <w:sz w:val="18"/>
              </w:rPr>
              <w:t>0.00</w:t>
            </w:r>
          </w:p>
        </w:tc>
      </w:tr>
      <w:tr w14:paraId="7B6ABB8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B3DB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04A1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AC6ED9">
            <w:pPr>
              <w:jc w:val="center"/>
            </w:pPr>
            <w:r>
              <w:rPr>
                <w:rFonts w:ascii="宋体" w:hAnsi="宋体"/>
                <w:sz w:val="18"/>
              </w:rPr>
              <w:t>47.33</w:t>
            </w:r>
          </w:p>
        </w:tc>
        <w:tc>
          <w:tcPr>
            <w:tcW w:w="1125" w:type="dxa"/>
            <w:tcBorders>
              <w:top w:val="nil"/>
              <w:left w:val="nil"/>
              <w:bottom w:val="single" w:color="auto" w:sz="4" w:space="0"/>
              <w:right w:val="single" w:color="auto" w:sz="4" w:space="0"/>
            </w:tcBorders>
            <w:shd w:val="clear" w:color="auto" w:fill="auto"/>
            <w:noWrap/>
            <w:vAlign w:val="center"/>
          </w:tcPr>
          <w:p w14:paraId="562541F0">
            <w:pPr>
              <w:jc w:val="center"/>
            </w:pPr>
            <w:r>
              <w:rPr>
                <w:rFonts w:ascii="宋体" w:hAnsi="宋体"/>
                <w:sz w:val="18"/>
              </w:rPr>
              <w:t>47.33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E5F7C7C">
            <w:pPr>
              <w:jc w:val="center"/>
            </w:pPr>
            <w:r>
              <w:rPr>
                <w:rFonts w:ascii="宋体" w:hAnsi="宋体"/>
                <w:sz w:val="18"/>
              </w:rPr>
              <w:t>1.80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0379B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04BF0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C5030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50D6BF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A8B6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732C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C6FFE0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F71DDF6">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E5D0AC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27310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3542A1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DED1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BD33D5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EF502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187C6B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834C7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A30AE6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1E635C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7A941EC">
            <w:pPr>
              <w:jc w:val="left"/>
            </w:pPr>
            <w:r>
              <w:rPr>
                <w:rFonts w:ascii="宋体" w:hAnsi="宋体"/>
                <w:sz w:val="18"/>
              </w:rPr>
              <w:t>坚持“谁举债谁负责”的原则，严格落实属地管理，有序稳妥化解债务存量，合理控制债务规模，打好防范化解重大风险的攻坚战。合理分配县拨付化债资金，由于东湾镇债务问题较为突出，申请47.33万元资金用于支付墒户村加压滴灌工程咨询费及东湾镇清真寺值班室卫生间土建及维修项目款。债务支付2笔，支付完成率达到100%，还款准确率达到100%，资金按期支付率100%，达到有效保障单位良好信用和支付对象满意度达到90%及以上的效果。</w:t>
            </w:r>
          </w:p>
        </w:tc>
        <w:tc>
          <w:tcPr>
            <w:tcW w:w="4677" w:type="dxa"/>
            <w:gridSpan w:val="7"/>
            <w:tcBorders>
              <w:top w:val="single" w:color="auto" w:sz="4" w:space="0"/>
              <w:left w:val="nil"/>
              <w:bottom w:val="single" w:color="auto" w:sz="4" w:space="0"/>
              <w:right w:val="single" w:color="000000" w:sz="4" w:space="0"/>
            </w:tcBorders>
            <w:shd w:val="clear" w:color="auto" w:fill="auto"/>
          </w:tcPr>
          <w:p w14:paraId="4352CA88">
            <w:pPr>
              <w:jc w:val="left"/>
            </w:pPr>
            <w:r>
              <w:rPr>
                <w:rFonts w:ascii="宋体" w:hAnsi="宋体"/>
                <w:sz w:val="18"/>
              </w:rPr>
              <w:t>保障单位良好信用：有效保障；支付对象满意度：90%</w:t>
            </w:r>
          </w:p>
        </w:tc>
      </w:tr>
      <w:tr w14:paraId="5A5AE03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9F8DF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C153F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62A44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89AF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323A5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9A076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FC13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91CA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1D7D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87FA8A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B592B6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6E3AEF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BC26C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27789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D4A98A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1CFA119">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564394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0F6935E">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E803BB7">
            <w:pPr>
              <w:widowControl/>
              <w:jc w:val="left"/>
              <w:rPr>
                <w:rFonts w:hint="eastAsia" w:ascii="宋体" w:hAnsi="宋体" w:cs="宋体"/>
                <w:color w:val="000000"/>
                <w:kern w:val="0"/>
                <w:sz w:val="18"/>
                <w:szCs w:val="18"/>
              </w:rPr>
            </w:pPr>
          </w:p>
        </w:tc>
      </w:tr>
      <w:tr w14:paraId="77EBBD6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76125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0A98CBC">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388E3E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9D2749">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48F8DEBB">
            <w:pPr>
              <w:jc w:val="center"/>
            </w:pPr>
            <w:r>
              <w:rPr>
                <w:rFonts w:ascii="宋体" w:hAnsi="宋体"/>
                <w:sz w:val="18"/>
              </w:rPr>
              <w:t>&gt;=2笔</w:t>
            </w:r>
          </w:p>
        </w:tc>
        <w:tc>
          <w:tcPr>
            <w:tcW w:w="1229" w:type="dxa"/>
            <w:tcBorders>
              <w:top w:val="nil"/>
              <w:left w:val="nil"/>
              <w:bottom w:val="single" w:color="auto" w:sz="4" w:space="0"/>
              <w:right w:val="single" w:color="auto" w:sz="4" w:space="0"/>
            </w:tcBorders>
            <w:shd w:val="clear" w:color="auto" w:fill="auto"/>
            <w:vAlign w:val="center"/>
          </w:tcPr>
          <w:p w14:paraId="0E858327">
            <w:pPr>
              <w:jc w:val="center"/>
            </w:pPr>
            <w:r>
              <w:rPr>
                <w:rFonts w:ascii="宋体" w:hAnsi="宋体"/>
                <w:sz w:val="18"/>
              </w:rPr>
              <w:t>=1笔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305332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874929">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0E9160">
            <w:pPr>
              <w:jc w:val="center"/>
            </w:pPr>
            <w:r>
              <w:rPr>
                <w:rFonts w:ascii="宋体" w:hAnsi="宋体"/>
                <w:sz w:val="18"/>
              </w:rPr>
              <w:t>收款企业法人失踪，无法认定审计报告和开具发票，故无法支付，现已登报寻找该企业法人</w:t>
            </w:r>
          </w:p>
        </w:tc>
      </w:tr>
      <w:tr w14:paraId="29B947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CF0F9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95B34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0A7C3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4BF4EA">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52FF91E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18DC734">
            <w:pPr>
              <w:jc w:val="center"/>
            </w:pPr>
            <w:r>
              <w:rPr>
                <w:rFonts w:ascii="宋体" w:hAnsi="宋体"/>
                <w:sz w:val="18"/>
              </w:rPr>
              <w:t>=3.8%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1FDFC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D86628">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D3BAFC">
            <w:pPr>
              <w:jc w:val="center"/>
            </w:pPr>
            <w:r>
              <w:rPr>
                <w:rFonts w:ascii="宋体" w:hAnsi="宋体"/>
                <w:sz w:val="18"/>
              </w:rPr>
              <w:t>收款企业法人失踪，无法认定审计报告和开具发票，故无法支付，现已登报寻找该企业法人</w:t>
            </w:r>
          </w:p>
        </w:tc>
      </w:tr>
      <w:tr w14:paraId="0CBC91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E811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FE8E0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9C809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FEAC20">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331E1E1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57549B9">
            <w:pPr>
              <w:jc w:val="center"/>
            </w:pPr>
            <w:r>
              <w:rPr>
                <w:rFonts w:ascii="宋体" w:hAnsi="宋体"/>
                <w:sz w:val="18"/>
              </w:rPr>
              <w:t>=3.8%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9A113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93C1CC">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37EA63E">
            <w:pPr>
              <w:jc w:val="center"/>
            </w:pPr>
            <w:r>
              <w:rPr>
                <w:rFonts w:ascii="宋体" w:hAnsi="宋体"/>
                <w:sz w:val="18"/>
              </w:rPr>
              <w:t>收款企业法人失踪，无法认定审计报告和开具发票，故无法支付，现已登报寻找该企业法人</w:t>
            </w:r>
          </w:p>
        </w:tc>
      </w:tr>
      <w:tr w14:paraId="0C251C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27F5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0813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9DD73C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FAF1120">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0A30DA2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F2F0396">
            <w:pPr>
              <w:jc w:val="center"/>
            </w:pPr>
            <w:r>
              <w:rPr>
                <w:rFonts w:ascii="宋体" w:hAnsi="宋体"/>
                <w:sz w:val="18"/>
              </w:rPr>
              <w:t>=3.8%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9A9420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D5794D0">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3F4A9DB">
            <w:pPr>
              <w:jc w:val="center"/>
            </w:pPr>
            <w:r>
              <w:rPr>
                <w:rFonts w:ascii="宋体" w:hAnsi="宋体"/>
                <w:sz w:val="18"/>
              </w:rPr>
              <w:t>收款企业法人失踪，无法认定审计报告和开具发票，故无法支付，现已登报寻找该企业法人</w:t>
            </w:r>
          </w:p>
        </w:tc>
      </w:tr>
      <w:tr w14:paraId="25F2CD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C495D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B59D1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859685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0455F3">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366239A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14A5E35">
            <w:pPr>
              <w:jc w:val="center"/>
            </w:pPr>
            <w:r>
              <w:rPr>
                <w:rFonts w:ascii="宋体" w:hAnsi="宋体"/>
                <w:sz w:val="18"/>
              </w:rPr>
              <w:t>=3.8%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0D0D5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C5A6A3">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968180">
            <w:pPr>
              <w:jc w:val="center"/>
            </w:pPr>
            <w:r>
              <w:rPr>
                <w:rFonts w:ascii="宋体" w:hAnsi="宋体"/>
                <w:sz w:val="18"/>
              </w:rPr>
              <w:t>收款企业法人失踪，无法认定审计报告和开具发票，故无法支付，现已登报寻找该企业法人</w:t>
            </w:r>
          </w:p>
        </w:tc>
      </w:tr>
      <w:tr w14:paraId="72E40D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C2F56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4D4FF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010DE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7EE442">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57077830">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549ABCD3">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F4AE05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8E375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EDB922">
            <w:pPr>
              <w:jc w:val="center"/>
            </w:pPr>
          </w:p>
        </w:tc>
      </w:tr>
      <w:tr w14:paraId="585DBD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E660D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E1D9EE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166B1E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C2DF2D">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5DF8A467">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6C7EDAB">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EF5825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B9595C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49EBA4D">
            <w:pPr>
              <w:jc w:val="center"/>
            </w:pPr>
          </w:p>
        </w:tc>
      </w:tr>
      <w:tr w14:paraId="1B727A0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F377F9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F27A58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F059FFB">
            <w:pPr>
              <w:jc w:val="center"/>
            </w:pPr>
            <w:r>
              <w:rPr>
                <w:rFonts w:ascii="宋体" w:hAnsi="宋体"/>
                <w:sz w:val="18"/>
              </w:rPr>
              <w:t>30分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D730A8">
            <w:pPr>
              <w:jc w:val="center"/>
            </w:pPr>
          </w:p>
        </w:tc>
      </w:tr>
    </w:tbl>
    <w:p w14:paraId="11BFD541">
      <w:pPr>
        <w:rPr>
          <w:rFonts w:hint="eastAsia" w:ascii="宋体" w:hAnsi="宋体" w:cs="宋体"/>
          <w:b/>
          <w:bCs/>
          <w:kern w:val="0"/>
          <w:sz w:val="18"/>
          <w:szCs w:val="18"/>
        </w:rPr>
      </w:pPr>
    </w:p>
    <w:p w14:paraId="0764E460">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499EE7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1D85A8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5E69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0F8BF87">
            <w:pPr>
              <w:jc w:val="center"/>
            </w:pPr>
            <w:r>
              <w:rPr>
                <w:rFonts w:ascii="宋体" w:hAnsi="宋体"/>
                <w:sz w:val="18"/>
              </w:rPr>
              <w:t>东湾镇债务化解资金项目</w:t>
            </w:r>
          </w:p>
        </w:tc>
      </w:tr>
      <w:tr w14:paraId="4A43725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4151D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918622F">
            <w:pPr>
              <w:jc w:val="center"/>
            </w:pPr>
            <w:r>
              <w:rPr>
                <w:rFonts w:ascii="宋体" w:hAnsi="宋体"/>
                <w:sz w:val="18"/>
              </w:rPr>
              <w:t>奇台县东湾镇人民政府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577B6A8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4B2CBDB">
            <w:pPr>
              <w:jc w:val="center"/>
            </w:pPr>
            <w:r>
              <w:rPr>
                <w:rFonts w:ascii="宋体" w:hAnsi="宋体"/>
                <w:sz w:val="18"/>
              </w:rPr>
              <w:t>奇台县东湾镇人民政府</w:t>
            </w:r>
          </w:p>
        </w:tc>
      </w:tr>
      <w:tr w14:paraId="76E708A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864F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3923D5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C4935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F8663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199D1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4FDB0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3639C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F6593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985116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451BC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47AB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E86C5BE">
            <w:pPr>
              <w:jc w:val="center"/>
            </w:pPr>
            <w:r>
              <w:rPr>
                <w:rFonts w:ascii="宋体" w:hAnsi="宋体"/>
                <w:sz w:val="18"/>
              </w:rPr>
              <w:t>24.78</w:t>
            </w:r>
          </w:p>
        </w:tc>
        <w:tc>
          <w:tcPr>
            <w:tcW w:w="1266" w:type="dxa"/>
            <w:tcBorders>
              <w:top w:val="nil"/>
              <w:left w:val="nil"/>
              <w:bottom w:val="single" w:color="auto" w:sz="4" w:space="0"/>
              <w:right w:val="single" w:color="auto" w:sz="4" w:space="0"/>
            </w:tcBorders>
            <w:shd w:val="clear" w:color="auto" w:fill="auto"/>
            <w:noWrap/>
            <w:vAlign w:val="center"/>
          </w:tcPr>
          <w:p w14:paraId="635CB628">
            <w:pPr>
              <w:jc w:val="center"/>
            </w:pPr>
            <w:r>
              <w:rPr>
                <w:rFonts w:ascii="宋体" w:hAnsi="宋体"/>
                <w:sz w:val="18"/>
              </w:rPr>
              <w:t>24.78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6C4F5D8">
            <w:pPr>
              <w:jc w:val="center"/>
            </w:pPr>
            <w:r>
              <w:rPr>
                <w:rFonts w:ascii="宋体" w:hAnsi="宋体"/>
                <w:sz w:val="18"/>
              </w:rPr>
              <w:t>24.78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D184D16">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8523B4E">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5B9F1FB">
            <w:pPr>
              <w:jc w:val="center"/>
            </w:pPr>
            <w:r>
              <w:rPr>
                <w:rFonts w:ascii="宋体" w:hAnsi="宋体"/>
                <w:sz w:val="18"/>
              </w:rPr>
              <w:t>10.00</w:t>
            </w:r>
          </w:p>
        </w:tc>
      </w:tr>
      <w:tr w14:paraId="0279BE3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FAB4D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F8ED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4C8C7AA">
            <w:pPr>
              <w:jc w:val="center"/>
            </w:pPr>
            <w:r>
              <w:rPr>
                <w:rFonts w:ascii="宋体" w:hAnsi="宋体"/>
                <w:sz w:val="18"/>
              </w:rPr>
              <w:t>24.78</w:t>
            </w:r>
          </w:p>
        </w:tc>
        <w:tc>
          <w:tcPr>
            <w:tcW w:w="1266" w:type="dxa"/>
            <w:tcBorders>
              <w:top w:val="nil"/>
              <w:left w:val="nil"/>
              <w:bottom w:val="single" w:color="auto" w:sz="4" w:space="0"/>
              <w:right w:val="single" w:color="auto" w:sz="4" w:space="0"/>
            </w:tcBorders>
            <w:shd w:val="clear" w:color="auto" w:fill="auto"/>
            <w:noWrap/>
            <w:vAlign w:val="center"/>
          </w:tcPr>
          <w:p w14:paraId="05A0AE73">
            <w:pPr>
              <w:jc w:val="center"/>
            </w:pPr>
            <w:r>
              <w:rPr>
                <w:rFonts w:ascii="宋体" w:hAnsi="宋体"/>
                <w:sz w:val="18"/>
              </w:rPr>
              <w:t>24.78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05119F1">
            <w:pPr>
              <w:jc w:val="center"/>
            </w:pPr>
            <w:r>
              <w:rPr>
                <w:rFonts w:ascii="宋体" w:hAnsi="宋体"/>
                <w:sz w:val="18"/>
              </w:rPr>
              <w:t>24.78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25CF3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30254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B6D7D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DC2A3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83395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3A67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A2186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08E6D6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308B1CE">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F9A296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833BD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3F4B4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83D3B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1516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7007B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8896F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CD3FBA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5D81F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D4F0DC9">
            <w:pPr>
              <w:jc w:val="left"/>
            </w:pPr>
            <w:r>
              <w:rPr>
                <w:rFonts w:ascii="宋体" w:hAnsi="宋体"/>
                <w:sz w:val="18"/>
              </w:rPr>
              <w:t>合理分配县拨付化债资金，由东湾镇债务问题较为突出，申请24.78万元用于化解东湾镇债务。经东湾镇领导小组决议，将4.84万元资金用于化解东湾镇水库移民后期扶持村级文化阵地建设债务；19.94万元用于支付农村综合改革墒户村一事一议项目欠款。债务支付2笔，支付完成率达到100%，还款准确率达到100%，资金按期支付率100%，达到有效保障单位良好信用和支付对象满意度达到90%及以上的效果。</w:t>
            </w:r>
          </w:p>
        </w:tc>
        <w:tc>
          <w:tcPr>
            <w:tcW w:w="4536" w:type="dxa"/>
            <w:gridSpan w:val="7"/>
            <w:tcBorders>
              <w:top w:val="single" w:color="auto" w:sz="4" w:space="0"/>
              <w:left w:val="nil"/>
              <w:bottom w:val="single" w:color="auto" w:sz="4" w:space="0"/>
              <w:right w:val="single" w:color="000000" w:sz="4" w:space="0"/>
            </w:tcBorders>
            <w:shd w:val="clear" w:color="auto" w:fill="auto"/>
          </w:tcPr>
          <w:p w14:paraId="3CD0AEF0">
            <w:pPr>
              <w:jc w:val="left"/>
            </w:pPr>
            <w:r>
              <w:rPr>
                <w:rFonts w:ascii="宋体" w:hAnsi="宋体"/>
                <w:sz w:val="18"/>
              </w:rPr>
              <w:t>合理分配县拨付化债资金，由东湾镇债务问题较为突出，申请24.78万元用于化解东湾镇债务。经东湾镇领导小组决议，将4.84万元资金用于化解东湾镇水库移民后期扶持村级文化阵地建设债务；19.94万元用于支付农村综合改革墒户村一事一议项目欠款。债务支付2笔，支付完成率达到100%，还款准确率达到100%，资金按期支付率100%，达到有效保障单位良好信用和支付对象满意度达到90%及以上的效果。</w:t>
            </w:r>
          </w:p>
        </w:tc>
      </w:tr>
      <w:tr w14:paraId="68F0F8C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697CD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8E85C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54437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21FC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3D9E0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88E50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B13D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7A6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DD82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ACDE73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F84A42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E99B53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9CB065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CBEB98E">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BE14BC9">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D2537A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7D424F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09B96E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BFA424A">
            <w:pPr>
              <w:widowControl/>
              <w:jc w:val="left"/>
              <w:rPr>
                <w:rFonts w:hint="eastAsia" w:ascii="宋体" w:hAnsi="宋体" w:cs="宋体"/>
                <w:color w:val="000000"/>
                <w:kern w:val="0"/>
                <w:sz w:val="18"/>
                <w:szCs w:val="18"/>
              </w:rPr>
            </w:pPr>
          </w:p>
        </w:tc>
      </w:tr>
      <w:tr w14:paraId="6E331AB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2B72F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5E5FC4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30B9FB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F9D463">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5E55D5AC">
            <w:pPr>
              <w:jc w:val="center"/>
            </w:pPr>
            <w:r>
              <w:rPr>
                <w:rFonts w:ascii="宋体" w:hAnsi="宋体"/>
                <w:sz w:val="18"/>
              </w:rPr>
              <w:t>&gt;=2笔</w:t>
            </w:r>
          </w:p>
        </w:tc>
        <w:tc>
          <w:tcPr>
            <w:tcW w:w="1088" w:type="dxa"/>
            <w:tcBorders>
              <w:top w:val="nil"/>
              <w:left w:val="nil"/>
              <w:bottom w:val="single" w:color="auto" w:sz="4" w:space="0"/>
              <w:right w:val="single" w:color="auto" w:sz="4" w:space="0"/>
            </w:tcBorders>
            <w:shd w:val="clear" w:color="auto" w:fill="auto"/>
            <w:vAlign w:val="center"/>
          </w:tcPr>
          <w:p w14:paraId="1DF3140F">
            <w:pPr>
              <w:jc w:val="center"/>
            </w:pPr>
            <w:r>
              <w:rPr>
                <w:rFonts w:ascii="宋体" w:hAnsi="宋体"/>
                <w:sz w:val="18"/>
              </w:rPr>
              <w:t>=2笔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553E7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4B46B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E46CE9">
            <w:pPr>
              <w:jc w:val="center"/>
            </w:pPr>
          </w:p>
        </w:tc>
      </w:tr>
      <w:tr w14:paraId="0376D7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94798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071F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600EC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22C52D">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2CF318B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507849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75539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159CE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3229B5">
            <w:pPr>
              <w:jc w:val="center"/>
            </w:pPr>
          </w:p>
        </w:tc>
      </w:tr>
      <w:tr w14:paraId="0813993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23EBF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1FC34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92B01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7A43FE">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328F0E6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527BEC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CE0DA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EF0FE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419590">
            <w:pPr>
              <w:jc w:val="center"/>
            </w:pPr>
          </w:p>
        </w:tc>
      </w:tr>
      <w:tr w14:paraId="49E1E2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E8CB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D70AB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FC2E46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2C1EA30">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5441FCF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2918AA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81387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5FA9C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D016739">
            <w:pPr>
              <w:jc w:val="center"/>
            </w:pPr>
          </w:p>
        </w:tc>
      </w:tr>
      <w:tr w14:paraId="214503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B85EF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11F1A3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13E9C8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06F4DB">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67EC2FE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AF7840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9177E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B0E38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14B3DD">
            <w:pPr>
              <w:jc w:val="center"/>
            </w:pPr>
          </w:p>
        </w:tc>
      </w:tr>
      <w:tr w14:paraId="5633D8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A8B88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BC4E71">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11A037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03D1D6">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4395BDE8">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62A34BD7">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DA159C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FE565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4293FB">
            <w:pPr>
              <w:jc w:val="center"/>
            </w:pPr>
          </w:p>
        </w:tc>
      </w:tr>
      <w:tr w14:paraId="46C747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FC07D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8C4740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3A3221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60342F">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69BEC8C3">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728CAF0">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FE3AD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2357C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EACD00">
            <w:pPr>
              <w:jc w:val="center"/>
            </w:pPr>
          </w:p>
        </w:tc>
      </w:tr>
      <w:tr w14:paraId="5F8961B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61E26A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DBDEEA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A791431">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089D5A">
            <w:pPr>
              <w:jc w:val="center"/>
            </w:pPr>
          </w:p>
        </w:tc>
      </w:tr>
    </w:tbl>
    <w:p w14:paraId="347638B1">
      <w:pPr>
        <w:rPr>
          <w:rFonts w:hint="eastAsia" w:ascii="宋体" w:hAnsi="宋体" w:cs="宋体"/>
          <w:b/>
          <w:bCs/>
          <w:kern w:val="0"/>
          <w:sz w:val="18"/>
          <w:szCs w:val="18"/>
        </w:rPr>
      </w:pPr>
    </w:p>
    <w:p w14:paraId="3669B34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00F372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D63711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C3D2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D659720">
            <w:pPr>
              <w:jc w:val="center"/>
            </w:pPr>
            <w:r>
              <w:rPr>
                <w:rFonts w:ascii="宋体" w:hAnsi="宋体"/>
                <w:sz w:val="18"/>
              </w:rPr>
              <w:t>东湾镇非法占用耕地建房问题整改资金</w:t>
            </w:r>
          </w:p>
        </w:tc>
      </w:tr>
      <w:tr w14:paraId="72D2933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AF6E1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C3279B8">
            <w:pPr>
              <w:jc w:val="center"/>
            </w:pPr>
            <w:r>
              <w:rPr>
                <w:rFonts w:ascii="宋体" w:hAnsi="宋体"/>
                <w:sz w:val="18"/>
              </w:rPr>
              <w:t>奇台县东湾镇人民政府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37747C5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AD39A49">
            <w:pPr>
              <w:jc w:val="center"/>
            </w:pPr>
            <w:r>
              <w:rPr>
                <w:rFonts w:ascii="宋体" w:hAnsi="宋体"/>
                <w:sz w:val="18"/>
              </w:rPr>
              <w:t>奇台县东湾镇人民政府</w:t>
            </w:r>
          </w:p>
        </w:tc>
      </w:tr>
      <w:tr w14:paraId="1C81198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66CE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FD473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4A1A9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3901A61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F4EBA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A5EEF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72271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F58CB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2586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BCE60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CD049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DB18861">
            <w:pPr>
              <w:jc w:val="center"/>
            </w:pPr>
            <w:r>
              <w:rPr>
                <w:rFonts w:ascii="宋体" w:hAnsi="宋体"/>
                <w:sz w:val="18"/>
              </w:rPr>
              <w:t>6.42</w:t>
            </w:r>
          </w:p>
        </w:tc>
        <w:tc>
          <w:tcPr>
            <w:tcW w:w="1125" w:type="dxa"/>
            <w:tcBorders>
              <w:top w:val="nil"/>
              <w:left w:val="nil"/>
              <w:bottom w:val="single" w:color="auto" w:sz="4" w:space="0"/>
              <w:right w:val="single" w:color="auto" w:sz="4" w:space="0"/>
            </w:tcBorders>
            <w:shd w:val="clear" w:color="auto" w:fill="auto"/>
            <w:noWrap/>
            <w:vAlign w:val="center"/>
          </w:tcPr>
          <w:p w14:paraId="2EC9C54F">
            <w:pPr>
              <w:jc w:val="center"/>
            </w:pPr>
            <w:r>
              <w:rPr>
                <w:rFonts w:ascii="宋体" w:hAnsi="宋体"/>
                <w:sz w:val="18"/>
              </w:rPr>
              <w:t>6.42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DA339E6">
            <w:pPr>
              <w:jc w:val="center"/>
            </w:pPr>
            <w:r>
              <w:rPr>
                <w:rFonts w:ascii="宋体" w:hAnsi="宋体"/>
                <w:sz w:val="18"/>
              </w:rPr>
              <w:t>6.42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9F0E9F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A4DB36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1E75E9D">
            <w:pPr>
              <w:jc w:val="center"/>
            </w:pPr>
            <w:r>
              <w:rPr>
                <w:rFonts w:ascii="宋体" w:hAnsi="宋体"/>
                <w:sz w:val="18"/>
              </w:rPr>
              <w:t>10.00</w:t>
            </w:r>
          </w:p>
        </w:tc>
      </w:tr>
      <w:tr w14:paraId="786E97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AE514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71FE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04F3D92">
            <w:pPr>
              <w:jc w:val="center"/>
            </w:pPr>
            <w:r>
              <w:rPr>
                <w:rFonts w:ascii="宋体" w:hAnsi="宋体"/>
                <w:sz w:val="18"/>
              </w:rPr>
              <w:t>6.42</w:t>
            </w:r>
          </w:p>
        </w:tc>
        <w:tc>
          <w:tcPr>
            <w:tcW w:w="1125" w:type="dxa"/>
            <w:tcBorders>
              <w:top w:val="nil"/>
              <w:left w:val="nil"/>
              <w:bottom w:val="single" w:color="auto" w:sz="4" w:space="0"/>
              <w:right w:val="single" w:color="auto" w:sz="4" w:space="0"/>
            </w:tcBorders>
            <w:shd w:val="clear" w:color="auto" w:fill="auto"/>
            <w:noWrap/>
            <w:vAlign w:val="center"/>
          </w:tcPr>
          <w:p w14:paraId="0AF9DCD7">
            <w:pPr>
              <w:jc w:val="center"/>
            </w:pPr>
            <w:r>
              <w:rPr>
                <w:rFonts w:ascii="宋体" w:hAnsi="宋体"/>
                <w:sz w:val="18"/>
              </w:rPr>
              <w:t>6.42</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E99CC91">
            <w:pPr>
              <w:jc w:val="center"/>
            </w:pPr>
            <w:r>
              <w:rPr>
                <w:rFonts w:ascii="宋体" w:hAnsi="宋体"/>
                <w:sz w:val="18"/>
              </w:rPr>
              <w:t>6.42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D49B3C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F8403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697CB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9683A9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AA6A9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C738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E1DC2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1C6F43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893E97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D6FCA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4ACF6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A6CC2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80AE1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9D0C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9EABE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D9350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C7F114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EA2F840">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D1A97ED">
            <w:pPr>
              <w:jc w:val="left"/>
            </w:pPr>
            <w:r>
              <w:rPr>
                <w:rFonts w:ascii="宋体" w:hAnsi="宋体"/>
                <w:sz w:val="18"/>
              </w:rPr>
              <w:t>为扎实开展东湾镇非法占用耕地建房问题整改工作，科学有序推进耕地保护与土地开发利用，东湾镇申请拨付6.42万元用于开展东湾镇非法占用耕地建房问题整改工作，资金支付2笔，1.07万元支付非法占用耕地滞纳金，5.35万元用于支付占用耕地围栏和场地拆除费。支付完成率达到100%，还款准确率达到100%，资金按期支付率100%，达到有效保障单位良好信用和支付对象满意度达到90%及以上的效果。</w:t>
            </w:r>
          </w:p>
        </w:tc>
        <w:tc>
          <w:tcPr>
            <w:tcW w:w="4677" w:type="dxa"/>
            <w:gridSpan w:val="7"/>
            <w:tcBorders>
              <w:top w:val="single" w:color="auto" w:sz="4" w:space="0"/>
              <w:left w:val="nil"/>
              <w:bottom w:val="single" w:color="auto" w:sz="4" w:space="0"/>
              <w:right w:val="single" w:color="000000" w:sz="4" w:space="0"/>
            </w:tcBorders>
            <w:shd w:val="clear" w:color="auto" w:fill="auto"/>
          </w:tcPr>
          <w:p w14:paraId="70432F6B">
            <w:pPr>
              <w:jc w:val="left"/>
            </w:pPr>
            <w:r>
              <w:rPr>
                <w:rFonts w:ascii="宋体" w:hAnsi="宋体"/>
                <w:sz w:val="18"/>
              </w:rPr>
              <w:t>资金支付笔数：2；资金支付完成率：100%；还款准确率：100%；资金按期支付率：100%；资金支付率：100%；保障单位良好信用：有效保障</w:t>
            </w:r>
          </w:p>
        </w:tc>
      </w:tr>
      <w:tr w14:paraId="4BAD9EB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C6E94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6EFEE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D99EC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190A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CAC1B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1A562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CAD3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14DE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A533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A12B44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EAEDDB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57BE23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CA2F93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33F1ED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78E63D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C97F045">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BE9390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D3E3AC2">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760DD33">
            <w:pPr>
              <w:widowControl/>
              <w:jc w:val="left"/>
              <w:rPr>
                <w:rFonts w:hint="eastAsia" w:ascii="宋体" w:hAnsi="宋体" w:cs="宋体"/>
                <w:color w:val="000000"/>
                <w:kern w:val="0"/>
                <w:sz w:val="18"/>
                <w:szCs w:val="18"/>
              </w:rPr>
            </w:pPr>
          </w:p>
        </w:tc>
      </w:tr>
      <w:tr w14:paraId="212CC96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9A33C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8C2019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5C2ACB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695D58">
            <w:pPr>
              <w:jc w:val="center"/>
            </w:pPr>
            <w:r>
              <w:rPr>
                <w:rFonts w:ascii="宋体" w:hAnsi="宋体"/>
                <w:sz w:val="18"/>
              </w:rPr>
              <w:t>资金支付笔数</w:t>
            </w:r>
          </w:p>
        </w:tc>
        <w:tc>
          <w:tcPr>
            <w:tcW w:w="1125" w:type="dxa"/>
            <w:tcBorders>
              <w:top w:val="nil"/>
              <w:left w:val="nil"/>
              <w:bottom w:val="single" w:color="auto" w:sz="4" w:space="0"/>
              <w:right w:val="single" w:color="auto" w:sz="4" w:space="0"/>
            </w:tcBorders>
            <w:shd w:val="clear" w:color="auto" w:fill="auto"/>
            <w:vAlign w:val="center"/>
          </w:tcPr>
          <w:p w14:paraId="7D2EE9E2">
            <w:pPr>
              <w:jc w:val="center"/>
            </w:pPr>
            <w:r>
              <w:rPr>
                <w:rFonts w:ascii="宋体" w:hAnsi="宋体"/>
                <w:sz w:val="18"/>
              </w:rPr>
              <w:t>&gt;=2笔</w:t>
            </w:r>
          </w:p>
        </w:tc>
        <w:tc>
          <w:tcPr>
            <w:tcW w:w="1229" w:type="dxa"/>
            <w:tcBorders>
              <w:top w:val="nil"/>
              <w:left w:val="nil"/>
              <w:bottom w:val="single" w:color="auto" w:sz="4" w:space="0"/>
              <w:right w:val="single" w:color="auto" w:sz="4" w:space="0"/>
            </w:tcBorders>
            <w:shd w:val="clear" w:color="auto" w:fill="auto"/>
            <w:vAlign w:val="center"/>
          </w:tcPr>
          <w:p w14:paraId="0BCF791E">
            <w:pPr>
              <w:jc w:val="center"/>
            </w:pPr>
            <w:r>
              <w:rPr>
                <w:rFonts w:ascii="宋体" w:hAnsi="宋体"/>
                <w:sz w:val="18"/>
              </w:rPr>
              <w:t>=2笔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662AA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7FD9D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D58A70">
            <w:pPr>
              <w:jc w:val="center"/>
            </w:pPr>
          </w:p>
        </w:tc>
      </w:tr>
      <w:tr w14:paraId="1BBDA4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3718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AC68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3BE76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29C0E5">
            <w:pPr>
              <w:jc w:val="center"/>
            </w:pPr>
            <w:r>
              <w:rPr>
                <w:rFonts w:ascii="宋体" w:hAnsi="宋体"/>
                <w:sz w:val="18"/>
              </w:rPr>
              <w:t>资金支付完成率</w:t>
            </w:r>
          </w:p>
        </w:tc>
        <w:tc>
          <w:tcPr>
            <w:tcW w:w="1125" w:type="dxa"/>
            <w:tcBorders>
              <w:top w:val="nil"/>
              <w:left w:val="nil"/>
              <w:bottom w:val="single" w:color="auto" w:sz="4" w:space="0"/>
              <w:right w:val="single" w:color="auto" w:sz="4" w:space="0"/>
            </w:tcBorders>
            <w:shd w:val="clear" w:color="auto" w:fill="auto"/>
            <w:vAlign w:val="center"/>
          </w:tcPr>
          <w:p w14:paraId="30DA06E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747B37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BCDD7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899E2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865D7E">
            <w:pPr>
              <w:jc w:val="center"/>
            </w:pPr>
          </w:p>
        </w:tc>
      </w:tr>
      <w:tr w14:paraId="3672BB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63956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687E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BEFB5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BD2002">
            <w:pPr>
              <w:jc w:val="center"/>
            </w:pPr>
            <w:r>
              <w:rPr>
                <w:rFonts w:ascii="宋体" w:hAnsi="宋体"/>
                <w:sz w:val="18"/>
              </w:rPr>
              <w:t>还款准确率</w:t>
            </w:r>
          </w:p>
        </w:tc>
        <w:tc>
          <w:tcPr>
            <w:tcW w:w="1125" w:type="dxa"/>
            <w:tcBorders>
              <w:top w:val="nil"/>
              <w:left w:val="nil"/>
              <w:bottom w:val="single" w:color="auto" w:sz="4" w:space="0"/>
              <w:right w:val="single" w:color="auto" w:sz="4" w:space="0"/>
            </w:tcBorders>
            <w:shd w:val="clear" w:color="auto" w:fill="auto"/>
            <w:vAlign w:val="center"/>
          </w:tcPr>
          <w:p w14:paraId="4A81B9A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DBD109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325C8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1481A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9BDEE7A">
            <w:pPr>
              <w:jc w:val="center"/>
            </w:pPr>
          </w:p>
        </w:tc>
      </w:tr>
      <w:tr w14:paraId="494955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8572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C74DEE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97DB4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C4BFDC">
            <w:pPr>
              <w:jc w:val="center"/>
            </w:pPr>
            <w:r>
              <w:rPr>
                <w:rFonts w:ascii="宋体" w:hAnsi="宋体"/>
                <w:sz w:val="18"/>
              </w:rPr>
              <w:t>资金按期支付率</w:t>
            </w:r>
          </w:p>
        </w:tc>
        <w:tc>
          <w:tcPr>
            <w:tcW w:w="1125" w:type="dxa"/>
            <w:tcBorders>
              <w:top w:val="nil"/>
              <w:left w:val="nil"/>
              <w:bottom w:val="single" w:color="auto" w:sz="4" w:space="0"/>
              <w:right w:val="single" w:color="auto" w:sz="4" w:space="0"/>
            </w:tcBorders>
            <w:shd w:val="clear" w:color="auto" w:fill="auto"/>
            <w:vAlign w:val="center"/>
          </w:tcPr>
          <w:p w14:paraId="1D013F2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3E17C8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736FC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94279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BFC730">
            <w:pPr>
              <w:jc w:val="center"/>
            </w:pPr>
          </w:p>
        </w:tc>
      </w:tr>
      <w:tr w14:paraId="71ED19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62F4C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5492B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F8D40F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01E61F">
            <w:pPr>
              <w:jc w:val="center"/>
            </w:pPr>
            <w:r>
              <w:rPr>
                <w:rFonts w:ascii="宋体" w:hAnsi="宋体"/>
                <w:sz w:val="18"/>
              </w:rPr>
              <w:t>资金支付率</w:t>
            </w:r>
          </w:p>
        </w:tc>
        <w:tc>
          <w:tcPr>
            <w:tcW w:w="1125" w:type="dxa"/>
            <w:tcBorders>
              <w:top w:val="nil"/>
              <w:left w:val="nil"/>
              <w:bottom w:val="single" w:color="auto" w:sz="4" w:space="0"/>
              <w:right w:val="single" w:color="auto" w:sz="4" w:space="0"/>
            </w:tcBorders>
            <w:shd w:val="clear" w:color="auto" w:fill="auto"/>
            <w:vAlign w:val="center"/>
          </w:tcPr>
          <w:p w14:paraId="68E61B6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EB6776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910096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45A3D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AB2667">
            <w:pPr>
              <w:jc w:val="center"/>
            </w:pPr>
          </w:p>
        </w:tc>
      </w:tr>
      <w:tr w14:paraId="1C5C85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ECCD4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A8C4AD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320652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D5B92C">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5E2DC0AC">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1C4571B6">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F2803D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276BA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C5AA443">
            <w:pPr>
              <w:jc w:val="center"/>
            </w:pPr>
          </w:p>
        </w:tc>
      </w:tr>
      <w:tr w14:paraId="58740C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69B82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6CA043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F0F676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FDA1B8">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0931F381">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C573F4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A2469F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018E9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0C7B4E9">
            <w:pPr>
              <w:jc w:val="center"/>
            </w:pPr>
          </w:p>
        </w:tc>
      </w:tr>
      <w:tr w14:paraId="3A8AE6A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1A759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D1D4EF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86BF79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105E765">
            <w:pPr>
              <w:jc w:val="center"/>
            </w:pPr>
          </w:p>
        </w:tc>
      </w:tr>
    </w:tbl>
    <w:p w14:paraId="7DBE9FA0">
      <w:pPr>
        <w:rPr>
          <w:rFonts w:hint="eastAsia" w:ascii="宋体" w:hAnsi="宋体" w:cs="宋体"/>
          <w:b/>
          <w:bCs/>
          <w:kern w:val="0"/>
          <w:sz w:val="18"/>
          <w:szCs w:val="18"/>
        </w:rPr>
      </w:pPr>
    </w:p>
    <w:p w14:paraId="14FEC7F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D4A3EE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77D72F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45BD4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1E774EE">
            <w:pPr>
              <w:jc w:val="center"/>
            </w:pPr>
            <w:r>
              <w:rPr>
                <w:rFonts w:ascii="宋体" w:hAnsi="宋体"/>
                <w:sz w:val="18"/>
              </w:rPr>
              <w:t>化解何全德信访资金</w:t>
            </w:r>
          </w:p>
        </w:tc>
      </w:tr>
      <w:tr w14:paraId="3DBC491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AFBF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B5B1F2E">
            <w:pPr>
              <w:jc w:val="center"/>
            </w:pPr>
            <w:r>
              <w:rPr>
                <w:rFonts w:ascii="宋体" w:hAnsi="宋体"/>
                <w:sz w:val="18"/>
              </w:rPr>
              <w:t>奇台县东湾镇人民政府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71C8150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3DBAE59">
            <w:pPr>
              <w:jc w:val="center"/>
            </w:pPr>
            <w:r>
              <w:rPr>
                <w:rFonts w:ascii="宋体" w:hAnsi="宋体"/>
                <w:sz w:val="18"/>
              </w:rPr>
              <w:t>奇台县东湾镇人民政府</w:t>
            </w:r>
          </w:p>
        </w:tc>
      </w:tr>
      <w:tr w14:paraId="1B391EF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4D29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4AC3D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1480B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3FBE1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0FFDD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2F1E2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482B0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4B768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772C3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6554B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7128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33E204A">
            <w:pPr>
              <w:jc w:val="center"/>
            </w:pPr>
            <w:r>
              <w:rPr>
                <w:rFonts w:ascii="宋体" w:hAnsi="宋体"/>
                <w:sz w:val="18"/>
              </w:rPr>
              <w:t>4.92</w:t>
            </w:r>
          </w:p>
        </w:tc>
        <w:tc>
          <w:tcPr>
            <w:tcW w:w="1266" w:type="dxa"/>
            <w:tcBorders>
              <w:top w:val="nil"/>
              <w:left w:val="nil"/>
              <w:bottom w:val="single" w:color="auto" w:sz="4" w:space="0"/>
              <w:right w:val="single" w:color="auto" w:sz="4" w:space="0"/>
            </w:tcBorders>
            <w:shd w:val="clear" w:color="auto" w:fill="auto"/>
            <w:noWrap/>
            <w:vAlign w:val="center"/>
          </w:tcPr>
          <w:p w14:paraId="3169A16F">
            <w:pPr>
              <w:jc w:val="center"/>
            </w:pPr>
            <w:r>
              <w:rPr>
                <w:rFonts w:ascii="宋体" w:hAnsi="宋体"/>
                <w:sz w:val="18"/>
              </w:rPr>
              <w:t>4.92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C62DE31">
            <w:pPr>
              <w:jc w:val="center"/>
            </w:pPr>
            <w:r>
              <w:rPr>
                <w:rFonts w:ascii="宋体" w:hAnsi="宋体"/>
                <w:sz w:val="18"/>
              </w:rPr>
              <w:t>4.92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7F2C07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6CF483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912206E">
            <w:pPr>
              <w:jc w:val="center"/>
            </w:pPr>
            <w:r>
              <w:rPr>
                <w:rFonts w:ascii="宋体" w:hAnsi="宋体"/>
                <w:sz w:val="18"/>
              </w:rPr>
              <w:t>10.00</w:t>
            </w:r>
          </w:p>
        </w:tc>
      </w:tr>
      <w:tr w14:paraId="2F9F8A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B5629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19345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E76789">
            <w:pPr>
              <w:jc w:val="center"/>
            </w:pPr>
            <w:r>
              <w:rPr>
                <w:rFonts w:ascii="宋体" w:hAnsi="宋体"/>
                <w:sz w:val="18"/>
              </w:rPr>
              <w:t>4.92</w:t>
            </w:r>
          </w:p>
        </w:tc>
        <w:tc>
          <w:tcPr>
            <w:tcW w:w="1266" w:type="dxa"/>
            <w:tcBorders>
              <w:top w:val="nil"/>
              <w:left w:val="nil"/>
              <w:bottom w:val="single" w:color="auto" w:sz="4" w:space="0"/>
              <w:right w:val="single" w:color="auto" w:sz="4" w:space="0"/>
            </w:tcBorders>
            <w:shd w:val="clear" w:color="auto" w:fill="auto"/>
            <w:noWrap/>
            <w:vAlign w:val="center"/>
          </w:tcPr>
          <w:p w14:paraId="5D7BC09E">
            <w:pPr>
              <w:jc w:val="center"/>
            </w:pPr>
            <w:r>
              <w:rPr>
                <w:rFonts w:ascii="宋体" w:hAnsi="宋体"/>
                <w:sz w:val="18"/>
              </w:rPr>
              <w:t>4.92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F996309">
            <w:pPr>
              <w:jc w:val="center"/>
            </w:pPr>
            <w:r>
              <w:rPr>
                <w:rFonts w:ascii="宋体" w:hAnsi="宋体"/>
                <w:sz w:val="18"/>
              </w:rPr>
              <w:t>4.92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7930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653FA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EB562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C96D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88FAF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10DD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1CB5C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276D0EF">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33A56C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1F4CE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D73B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B0CC4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4010E1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16B64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FFB45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5972F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8780CD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85E27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64CE657">
            <w:pPr>
              <w:jc w:val="left"/>
            </w:pPr>
            <w:r>
              <w:rPr>
                <w:rFonts w:ascii="宋体" w:hAnsi="宋体"/>
                <w:sz w:val="18"/>
              </w:rPr>
              <w:t>该项目的目标是化解信访案件次数1次，信访事件的办结率达到了100%，及时拨付资金49164元，资金拨付率100%，有效维护力信访人员的权益，信访问题得到了有效解决，信访人员的诉求也得到了较为满意的答复。</w:t>
            </w:r>
          </w:p>
        </w:tc>
        <w:tc>
          <w:tcPr>
            <w:tcW w:w="4536" w:type="dxa"/>
            <w:gridSpan w:val="7"/>
            <w:tcBorders>
              <w:top w:val="single" w:color="auto" w:sz="4" w:space="0"/>
              <w:left w:val="nil"/>
              <w:bottom w:val="single" w:color="auto" w:sz="4" w:space="0"/>
              <w:right w:val="single" w:color="000000" w:sz="4" w:space="0"/>
            </w:tcBorders>
            <w:shd w:val="clear" w:color="auto" w:fill="auto"/>
          </w:tcPr>
          <w:p w14:paraId="4F2D508D">
            <w:pPr>
              <w:jc w:val="left"/>
            </w:pPr>
            <w:r>
              <w:rPr>
                <w:rFonts w:ascii="宋体" w:hAnsi="宋体"/>
                <w:sz w:val="18"/>
              </w:rPr>
              <w:t>实际完成目标化解信访案件次数1次，信访事件的办结率达到了100%，及时拨付资金49164元，资金拨付率100%，有效维护力信访人员的权益，信访问题得到了有效解决，信访人员的诉求也得到了较为满意的答复。</w:t>
            </w:r>
          </w:p>
        </w:tc>
      </w:tr>
      <w:tr w14:paraId="13F20B4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92336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3C9F9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68177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DCF7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B1438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1CB20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B0FB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B198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3107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C45CCA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7A7C21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9CDCCA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73072B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8ADA6BA">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8E21C04">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559954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8BFA33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AE6906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A3EF4E4">
            <w:pPr>
              <w:widowControl/>
              <w:jc w:val="left"/>
              <w:rPr>
                <w:rFonts w:hint="eastAsia" w:ascii="宋体" w:hAnsi="宋体" w:cs="宋体"/>
                <w:color w:val="000000"/>
                <w:kern w:val="0"/>
                <w:sz w:val="18"/>
                <w:szCs w:val="18"/>
              </w:rPr>
            </w:pPr>
          </w:p>
        </w:tc>
      </w:tr>
      <w:tr w14:paraId="7119D33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C83BC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8AAA58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59CEA4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D5B05D">
            <w:pPr>
              <w:jc w:val="center"/>
            </w:pPr>
            <w:r>
              <w:rPr>
                <w:rFonts w:ascii="宋体" w:hAnsi="宋体"/>
                <w:sz w:val="18"/>
              </w:rPr>
              <w:t>化解信访事件数量</w:t>
            </w:r>
          </w:p>
        </w:tc>
        <w:tc>
          <w:tcPr>
            <w:tcW w:w="1266" w:type="dxa"/>
            <w:tcBorders>
              <w:top w:val="nil"/>
              <w:left w:val="nil"/>
              <w:bottom w:val="single" w:color="auto" w:sz="4" w:space="0"/>
              <w:right w:val="single" w:color="auto" w:sz="4" w:space="0"/>
            </w:tcBorders>
            <w:shd w:val="clear" w:color="auto" w:fill="auto"/>
            <w:vAlign w:val="center"/>
          </w:tcPr>
          <w:p w14:paraId="23DBCD8F">
            <w:pPr>
              <w:jc w:val="center"/>
            </w:pPr>
            <w:r>
              <w:rPr>
                <w:rFonts w:ascii="宋体" w:hAnsi="宋体"/>
                <w:sz w:val="18"/>
              </w:rPr>
              <w:t>=1次</w:t>
            </w:r>
          </w:p>
        </w:tc>
        <w:tc>
          <w:tcPr>
            <w:tcW w:w="1088" w:type="dxa"/>
            <w:tcBorders>
              <w:top w:val="nil"/>
              <w:left w:val="nil"/>
              <w:bottom w:val="single" w:color="auto" w:sz="4" w:space="0"/>
              <w:right w:val="single" w:color="auto" w:sz="4" w:space="0"/>
            </w:tcBorders>
            <w:shd w:val="clear" w:color="auto" w:fill="auto"/>
            <w:vAlign w:val="center"/>
          </w:tcPr>
          <w:p w14:paraId="42699E65">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EE726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A831A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86027A">
            <w:pPr>
              <w:jc w:val="center"/>
            </w:pPr>
          </w:p>
        </w:tc>
      </w:tr>
      <w:tr w14:paraId="365C58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C9D1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88752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03282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27D827">
            <w:pPr>
              <w:jc w:val="center"/>
            </w:pPr>
            <w:r>
              <w:rPr>
                <w:rFonts w:ascii="宋体" w:hAnsi="宋体"/>
                <w:sz w:val="18"/>
              </w:rPr>
              <w:t>信访事项的办结率</w:t>
            </w:r>
          </w:p>
        </w:tc>
        <w:tc>
          <w:tcPr>
            <w:tcW w:w="1266" w:type="dxa"/>
            <w:tcBorders>
              <w:top w:val="nil"/>
              <w:left w:val="nil"/>
              <w:bottom w:val="single" w:color="auto" w:sz="4" w:space="0"/>
              <w:right w:val="single" w:color="auto" w:sz="4" w:space="0"/>
            </w:tcBorders>
            <w:shd w:val="clear" w:color="auto" w:fill="auto"/>
            <w:vAlign w:val="center"/>
          </w:tcPr>
          <w:p w14:paraId="789C194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7835D3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9CC4E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3AA0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2436F0">
            <w:pPr>
              <w:jc w:val="center"/>
            </w:pPr>
          </w:p>
        </w:tc>
      </w:tr>
      <w:tr w14:paraId="2A6241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CC375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74DE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68D72E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7E9690">
            <w:pPr>
              <w:jc w:val="center"/>
            </w:pPr>
            <w:r>
              <w:rPr>
                <w:rFonts w:ascii="宋体" w:hAnsi="宋体"/>
                <w:sz w:val="18"/>
              </w:rPr>
              <w:t>化解信访事件及时率</w:t>
            </w:r>
          </w:p>
        </w:tc>
        <w:tc>
          <w:tcPr>
            <w:tcW w:w="1266" w:type="dxa"/>
            <w:tcBorders>
              <w:top w:val="nil"/>
              <w:left w:val="nil"/>
              <w:bottom w:val="single" w:color="auto" w:sz="4" w:space="0"/>
              <w:right w:val="single" w:color="auto" w:sz="4" w:space="0"/>
            </w:tcBorders>
            <w:shd w:val="clear" w:color="auto" w:fill="auto"/>
            <w:vAlign w:val="center"/>
          </w:tcPr>
          <w:p w14:paraId="6262C91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2C9225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382DA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3CB17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7129ED">
            <w:pPr>
              <w:jc w:val="center"/>
            </w:pPr>
          </w:p>
        </w:tc>
      </w:tr>
      <w:tr w14:paraId="336BE5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69C5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DC5DE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0C856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6753C7">
            <w:pPr>
              <w:jc w:val="center"/>
            </w:pPr>
            <w:r>
              <w:rPr>
                <w:rFonts w:ascii="宋体" w:hAnsi="宋体"/>
                <w:sz w:val="18"/>
              </w:rPr>
              <w:t>资金拨付及时率</w:t>
            </w:r>
          </w:p>
        </w:tc>
        <w:tc>
          <w:tcPr>
            <w:tcW w:w="1266" w:type="dxa"/>
            <w:tcBorders>
              <w:top w:val="nil"/>
              <w:left w:val="nil"/>
              <w:bottom w:val="single" w:color="auto" w:sz="4" w:space="0"/>
              <w:right w:val="single" w:color="auto" w:sz="4" w:space="0"/>
            </w:tcBorders>
            <w:shd w:val="clear" w:color="auto" w:fill="auto"/>
            <w:vAlign w:val="center"/>
          </w:tcPr>
          <w:p w14:paraId="6905E76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28C8E2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3544A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98A5F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24F8DB">
            <w:pPr>
              <w:jc w:val="center"/>
            </w:pPr>
          </w:p>
        </w:tc>
      </w:tr>
      <w:tr w14:paraId="1D2430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5E363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538BA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A21D9D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AFDCB6">
            <w:pPr>
              <w:jc w:val="center"/>
            </w:pPr>
            <w:r>
              <w:rPr>
                <w:rFonts w:ascii="宋体" w:hAnsi="宋体"/>
                <w:sz w:val="18"/>
              </w:rPr>
              <w:t>预算控制率</w:t>
            </w:r>
          </w:p>
        </w:tc>
        <w:tc>
          <w:tcPr>
            <w:tcW w:w="1266" w:type="dxa"/>
            <w:tcBorders>
              <w:top w:val="nil"/>
              <w:left w:val="nil"/>
              <w:bottom w:val="single" w:color="auto" w:sz="4" w:space="0"/>
              <w:right w:val="single" w:color="auto" w:sz="4" w:space="0"/>
            </w:tcBorders>
            <w:shd w:val="clear" w:color="auto" w:fill="auto"/>
            <w:vAlign w:val="center"/>
          </w:tcPr>
          <w:p w14:paraId="68B2FB6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563444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3E676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11A29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96B82B">
            <w:pPr>
              <w:jc w:val="center"/>
            </w:pPr>
          </w:p>
        </w:tc>
      </w:tr>
      <w:tr w14:paraId="07A22B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65610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487B8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3B6A030">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2C1E3E">
            <w:pPr>
              <w:jc w:val="center"/>
            </w:pPr>
            <w:r>
              <w:rPr>
                <w:rFonts w:ascii="宋体" w:hAnsi="宋体"/>
                <w:sz w:val="18"/>
              </w:rPr>
              <w:t>维护信访人员权益</w:t>
            </w:r>
          </w:p>
        </w:tc>
        <w:tc>
          <w:tcPr>
            <w:tcW w:w="1266" w:type="dxa"/>
            <w:tcBorders>
              <w:top w:val="nil"/>
              <w:left w:val="nil"/>
              <w:bottom w:val="single" w:color="auto" w:sz="4" w:space="0"/>
              <w:right w:val="single" w:color="auto" w:sz="4" w:space="0"/>
            </w:tcBorders>
            <w:shd w:val="clear" w:color="auto" w:fill="auto"/>
            <w:vAlign w:val="center"/>
          </w:tcPr>
          <w:p w14:paraId="2790EAF8">
            <w:pPr>
              <w:jc w:val="center"/>
            </w:pPr>
            <w:r>
              <w:rPr>
                <w:rFonts w:ascii="宋体" w:hAnsi="宋体"/>
                <w:sz w:val="18"/>
              </w:rPr>
              <w:t>有效维护</w:t>
            </w:r>
          </w:p>
        </w:tc>
        <w:tc>
          <w:tcPr>
            <w:tcW w:w="1088" w:type="dxa"/>
            <w:tcBorders>
              <w:top w:val="nil"/>
              <w:left w:val="nil"/>
              <w:bottom w:val="single" w:color="auto" w:sz="4" w:space="0"/>
              <w:right w:val="single" w:color="auto" w:sz="4" w:space="0"/>
            </w:tcBorders>
            <w:shd w:val="clear" w:color="auto" w:fill="auto"/>
            <w:vAlign w:val="center"/>
          </w:tcPr>
          <w:p w14:paraId="7D92F9A4">
            <w:pPr>
              <w:jc w:val="center"/>
            </w:pPr>
            <w:r>
              <w:rPr>
                <w:rFonts w:ascii="宋体" w:hAnsi="宋体"/>
                <w:sz w:val="18"/>
              </w:rPr>
              <w:t>有效维护</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A8008B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DAD29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CE6FC2">
            <w:pPr>
              <w:jc w:val="center"/>
            </w:pPr>
          </w:p>
        </w:tc>
      </w:tr>
      <w:tr w14:paraId="3BC465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617AC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DAF35C5">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5AEC9E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84FFE1">
            <w:pPr>
              <w:jc w:val="center"/>
            </w:pPr>
            <w:r>
              <w:rPr>
                <w:rFonts w:ascii="宋体" w:hAnsi="宋体"/>
                <w:sz w:val="18"/>
              </w:rPr>
              <w:t>信访人员满意度</w:t>
            </w:r>
          </w:p>
        </w:tc>
        <w:tc>
          <w:tcPr>
            <w:tcW w:w="1266" w:type="dxa"/>
            <w:tcBorders>
              <w:top w:val="nil"/>
              <w:left w:val="nil"/>
              <w:bottom w:val="single" w:color="auto" w:sz="4" w:space="0"/>
              <w:right w:val="single" w:color="auto" w:sz="4" w:space="0"/>
            </w:tcBorders>
            <w:shd w:val="clear" w:color="auto" w:fill="auto"/>
            <w:vAlign w:val="center"/>
          </w:tcPr>
          <w:p w14:paraId="52594DD4">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70B97DB">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CD7E3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7076D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8B4AE1">
            <w:pPr>
              <w:jc w:val="center"/>
            </w:pPr>
          </w:p>
        </w:tc>
      </w:tr>
      <w:tr w14:paraId="5CE3CC5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8765EB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01DCCA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2403772">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9BED1A">
            <w:pPr>
              <w:jc w:val="center"/>
            </w:pPr>
          </w:p>
        </w:tc>
      </w:tr>
    </w:tbl>
    <w:p w14:paraId="2A242EC1">
      <w:pPr>
        <w:rPr>
          <w:rFonts w:hint="eastAsia" w:ascii="宋体" w:hAnsi="宋体" w:cs="宋体"/>
          <w:b/>
          <w:bCs/>
          <w:kern w:val="0"/>
          <w:sz w:val="18"/>
          <w:szCs w:val="18"/>
        </w:rPr>
      </w:pPr>
    </w:p>
    <w:p w14:paraId="49227E9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B5EACC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5D81E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177D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23B3E76">
            <w:pPr>
              <w:jc w:val="center"/>
            </w:pPr>
            <w:r>
              <w:rPr>
                <w:rFonts w:ascii="宋体" w:hAnsi="宋体"/>
                <w:sz w:val="18"/>
              </w:rPr>
              <w:t>奇乡财（2023）28号东湾镇锦绣小区自来水改造项目</w:t>
            </w:r>
          </w:p>
        </w:tc>
      </w:tr>
      <w:tr w14:paraId="54AC496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30B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E81A88D">
            <w:pPr>
              <w:jc w:val="center"/>
            </w:pPr>
            <w:r>
              <w:rPr>
                <w:rFonts w:ascii="宋体" w:hAnsi="宋体"/>
                <w:sz w:val="18"/>
              </w:rPr>
              <w:t>奇台县东湾镇人民政府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4F2C28A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C214DA3">
            <w:pPr>
              <w:jc w:val="center"/>
            </w:pPr>
            <w:r>
              <w:rPr>
                <w:rFonts w:ascii="宋体" w:hAnsi="宋体"/>
                <w:sz w:val="18"/>
              </w:rPr>
              <w:t>奇台县东湾镇人民政府</w:t>
            </w:r>
          </w:p>
        </w:tc>
      </w:tr>
      <w:tr w14:paraId="2DDB233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897A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30E23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F6295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40924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DDD09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3B11D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CBEDE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17197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694E4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E1F40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5B99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202906">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2ED285A0">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D5D18AD">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7887E9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A6E17BE">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C918B2B">
            <w:pPr>
              <w:jc w:val="center"/>
            </w:pPr>
            <w:r>
              <w:rPr>
                <w:rFonts w:ascii="宋体" w:hAnsi="宋体"/>
                <w:sz w:val="18"/>
              </w:rPr>
              <w:t>10.00</w:t>
            </w:r>
          </w:p>
        </w:tc>
      </w:tr>
      <w:tr w14:paraId="6CC667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1BB5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FC3B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71A748">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642B34EB">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89A0B50">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8B0E4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52CF8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933A1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E3C9E3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82B96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0F48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50190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8DCC3A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4A107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C6788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ADF9D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FB2ED0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D775A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8F12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9B653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2A1B6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831D7A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4C876A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97DDF34">
            <w:pPr>
              <w:jc w:val="left"/>
            </w:pPr>
            <w:r>
              <w:rPr>
                <w:rFonts w:ascii="宋体" w:hAnsi="宋体"/>
                <w:sz w:val="18"/>
              </w:rPr>
              <w:t>东湾镇大泉村锦绣小区自来水改造项目的实施极大的解决了锦绣小区居民用水困难以及冬季供暖的问题，居民的生活质量得到了有效提升，居民满意度也有所提高。管道建设面积1600米、项目开工及时率100%、项目完工及时率100%、项目竣工验收合格率100%、项目预算控制率&lt;=100%、提高居民生活质量、居民满意度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4CE8C09B">
            <w:pPr>
              <w:jc w:val="left"/>
            </w:pPr>
            <w:r>
              <w:rPr>
                <w:rFonts w:ascii="宋体" w:hAnsi="宋体"/>
                <w:sz w:val="18"/>
              </w:rPr>
              <w:t>项目开工及时率：100；管道维修长度：1600；项目竣工验收合格率：100%；项目完工及时率：100；项目预算控制率：100；提高居民生活质量：有效提升；居民满意度：90</w:t>
            </w:r>
          </w:p>
        </w:tc>
      </w:tr>
      <w:tr w14:paraId="7FD5DDE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2BA16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3DB9D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B38C9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A556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DE38C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DA2A6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EBE1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43D0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B488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41E176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AAFCBC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52A574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464316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2C78BF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C506262">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2DB2E8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D94E494">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412056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26692E4">
            <w:pPr>
              <w:widowControl/>
              <w:jc w:val="left"/>
              <w:rPr>
                <w:rFonts w:hint="eastAsia" w:ascii="宋体" w:hAnsi="宋体" w:cs="宋体"/>
                <w:color w:val="000000"/>
                <w:kern w:val="0"/>
                <w:sz w:val="18"/>
                <w:szCs w:val="18"/>
              </w:rPr>
            </w:pPr>
          </w:p>
        </w:tc>
      </w:tr>
      <w:tr w14:paraId="387BEE1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175D8A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105B55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30AC4A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27837B">
            <w:pPr>
              <w:jc w:val="center"/>
            </w:pPr>
            <w:r>
              <w:rPr>
                <w:rFonts w:ascii="宋体" w:hAnsi="宋体"/>
                <w:sz w:val="18"/>
              </w:rPr>
              <w:t>管道维修长度</w:t>
            </w:r>
          </w:p>
        </w:tc>
        <w:tc>
          <w:tcPr>
            <w:tcW w:w="1266" w:type="dxa"/>
            <w:tcBorders>
              <w:top w:val="nil"/>
              <w:left w:val="nil"/>
              <w:bottom w:val="single" w:color="auto" w:sz="4" w:space="0"/>
              <w:right w:val="single" w:color="auto" w:sz="4" w:space="0"/>
            </w:tcBorders>
            <w:shd w:val="clear" w:color="auto" w:fill="auto"/>
            <w:vAlign w:val="center"/>
          </w:tcPr>
          <w:p w14:paraId="79EBB15D">
            <w:pPr>
              <w:jc w:val="center"/>
            </w:pPr>
            <w:r>
              <w:rPr>
                <w:rFonts w:ascii="宋体" w:hAnsi="宋体"/>
                <w:sz w:val="18"/>
              </w:rPr>
              <w:t>=1600米</w:t>
            </w:r>
          </w:p>
        </w:tc>
        <w:tc>
          <w:tcPr>
            <w:tcW w:w="1088" w:type="dxa"/>
            <w:tcBorders>
              <w:top w:val="nil"/>
              <w:left w:val="nil"/>
              <w:bottom w:val="single" w:color="auto" w:sz="4" w:space="0"/>
              <w:right w:val="single" w:color="auto" w:sz="4" w:space="0"/>
            </w:tcBorders>
            <w:shd w:val="clear" w:color="auto" w:fill="auto"/>
            <w:vAlign w:val="center"/>
          </w:tcPr>
          <w:p w14:paraId="62003904">
            <w:pPr>
              <w:jc w:val="center"/>
            </w:pPr>
            <w:r>
              <w:rPr>
                <w:rFonts w:ascii="宋体" w:hAnsi="宋体"/>
                <w:sz w:val="18"/>
              </w:rPr>
              <w:t>=1600米</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982E9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400C0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1B4D94">
            <w:pPr>
              <w:jc w:val="center"/>
            </w:pPr>
          </w:p>
        </w:tc>
      </w:tr>
      <w:tr w14:paraId="128FCA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6A0BE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584A9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31F48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7F5E1A">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2249CA9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3EEA13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AC371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CB35D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DD5EEF">
            <w:pPr>
              <w:jc w:val="center"/>
            </w:pPr>
          </w:p>
        </w:tc>
      </w:tr>
      <w:tr w14:paraId="10E028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6785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750A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2AFF5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914827">
            <w:pPr>
              <w:jc w:val="center"/>
            </w:pPr>
            <w:r>
              <w:rPr>
                <w:rFonts w:ascii="宋体" w:hAnsi="宋体"/>
                <w:sz w:val="18"/>
              </w:rPr>
              <w:t>项目完工及时率</w:t>
            </w:r>
          </w:p>
        </w:tc>
        <w:tc>
          <w:tcPr>
            <w:tcW w:w="1266" w:type="dxa"/>
            <w:tcBorders>
              <w:top w:val="nil"/>
              <w:left w:val="nil"/>
              <w:bottom w:val="single" w:color="auto" w:sz="4" w:space="0"/>
              <w:right w:val="single" w:color="auto" w:sz="4" w:space="0"/>
            </w:tcBorders>
            <w:shd w:val="clear" w:color="auto" w:fill="auto"/>
            <w:vAlign w:val="center"/>
          </w:tcPr>
          <w:p w14:paraId="6089BA7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EC326D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B619F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0DF47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693341">
            <w:pPr>
              <w:jc w:val="center"/>
            </w:pPr>
          </w:p>
        </w:tc>
      </w:tr>
      <w:tr w14:paraId="77ECE2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75A8E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DC49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017E6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5C23BE">
            <w:pPr>
              <w:jc w:val="center"/>
            </w:pPr>
            <w:r>
              <w:rPr>
                <w:rFonts w:ascii="宋体" w:hAnsi="宋体"/>
                <w:sz w:val="18"/>
              </w:rPr>
              <w:t>项目开工及时率</w:t>
            </w:r>
          </w:p>
        </w:tc>
        <w:tc>
          <w:tcPr>
            <w:tcW w:w="1266" w:type="dxa"/>
            <w:tcBorders>
              <w:top w:val="nil"/>
              <w:left w:val="nil"/>
              <w:bottom w:val="single" w:color="auto" w:sz="4" w:space="0"/>
              <w:right w:val="single" w:color="auto" w:sz="4" w:space="0"/>
            </w:tcBorders>
            <w:shd w:val="clear" w:color="auto" w:fill="auto"/>
            <w:vAlign w:val="center"/>
          </w:tcPr>
          <w:p w14:paraId="49D40B8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6CA721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888DF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BBF96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A5AC965">
            <w:pPr>
              <w:jc w:val="center"/>
            </w:pPr>
          </w:p>
        </w:tc>
      </w:tr>
      <w:tr w14:paraId="63C5ED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B1E60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4D1AC5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ACCBE9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B7DFC0">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80F9421">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28B2857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B7DB8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6DE96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A06EC2">
            <w:pPr>
              <w:jc w:val="center"/>
            </w:pPr>
          </w:p>
        </w:tc>
      </w:tr>
      <w:tr w14:paraId="7DE7DC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42BB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13BEA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2852E6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5238A7">
            <w:pPr>
              <w:jc w:val="center"/>
            </w:pPr>
            <w:r>
              <w:rPr>
                <w:rFonts w:ascii="宋体" w:hAnsi="宋体"/>
                <w:sz w:val="18"/>
              </w:rPr>
              <w:t>提高居民生活质量</w:t>
            </w:r>
          </w:p>
        </w:tc>
        <w:tc>
          <w:tcPr>
            <w:tcW w:w="1266" w:type="dxa"/>
            <w:tcBorders>
              <w:top w:val="nil"/>
              <w:left w:val="nil"/>
              <w:bottom w:val="single" w:color="auto" w:sz="4" w:space="0"/>
              <w:right w:val="single" w:color="auto" w:sz="4" w:space="0"/>
            </w:tcBorders>
            <w:shd w:val="clear" w:color="auto" w:fill="auto"/>
            <w:vAlign w:val="center"/>
          </w:tcPr>
          <w:p w14:paraId="7F543595">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5C9889F1">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F0C34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808E1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D85954">
            <w:pPr>
              <w:jc w:val="center"/>
            </w:pPr>
          </w:p>
        </w:tc>
      </w:tr>
      <w:tr w14:paraId="652762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F7BE4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4BD90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9D29C1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BB0C6C">
            <w:pPr>
              <w:jc w:val="center"/>
            </w:pPr>
            <w:r>
              <w:rPr>
                <w:rFonts w:ascii="宋体" w:hAnsi="宋体"/>
                <w:sz w:val="18"/>
              </w:rPr>
              <w:t>居民满意度</w:t>
            </w:r>
          </w:p>
        </w:tc>
        <w:tc>
          <w:tcPr>
            <w:tcW w:w="1266" w:type="dxa"/>
            <w:tcBorders>
              <w:top w:val="nil"/>
              <w:left w:val="nil"/>
              <w:bottom w:val="single" w:color="auto" w:sz="4" w:space="0"/>
              <w:right w:val="single" w:color="auto" w:sz="4" w:space="0"/>
            </w:tcBorders>
            <w:shd w:val="clear" w:color="auto" w:fill="auto"/>
            <w:vAlign w:val="center"/>
          </w:tcPr>
          <w:p w14:paraId="25D884EB">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E70049B">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6DBB5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B8334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94C3C7">
            <w:pPr>
              <w:jc w:val="center"/>
            </w:pPr>
          </w:p>
        </w:tc>
      </w:tr>
      <w:tr w14:paraId="0D01A5D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2FEF92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AA9180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40B6343">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EBED77">
            <w:pPr>
              <w:jc w:val="center"/>
            </w:pPr>
          </w:p>
        </w:tc>
      </w:tr>
    </w:tbl>
    <w:p w14:paraId="13438751">
      <w:pPr>
        <w:rPr>
          <w:rFonts w:hint="eastAsia" w:ascii="宋体" w:hAnsi="宋体" w:cs="宋体"/>
          <w:b/>
          <w:bCs/>
          <w:kern w:val="0"/>
          <w:sz w:val="18"/>
          <w:szCs w:val="18"/>
        </w:rPr>
      </w:pPr>
    </w:p>
    <w:p w14:paraId="20AAE4F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71F074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4DD2B6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676B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69DF56E">
            <w:pPr>
              <w:jc w:val="center"/>
            </w:pPr>
            <w:r>
              <w:rPr>
                <w:rFonts w:ascii="宋体" w:hAnsi="宋体"/>
                <w:sz w:val="18"/>
              </w:rPr>
              <w:t>昌州财农（2023）20号2023年中央粮油生产保障资金预算小麦“一喷三防”</w:t>
            </w:r>
          </w:p>
        </w:tc>
      </w:tr>
      <w:tr w14:paraId="6A5CDA2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D773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B648E36">
            <w:pPr>
              <w:jc w:val="center"/>
            </w:pPr>
            <w:r>
              <w:rPr>
                <w:rFonts w:ascii="宋体" w:hAnsi="宋体"/>
                <w:sz w:val="18"/>
              </w:rPr>
              <w:t>奇台县东湾镇人民政府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3BB0901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F93F64D">
            <w:pPr>
              <w:jc w:val="center"/>
            </w:pPr>
            <w:r>
              <w:rPr>
                <w:rFonts w:ascii="宋体" w:hAnsi="宋体"/>
                <w:sz w:val="18"/>
              </w:rPr>
              <w:t>奇台县东湾镇人民政府</w:t>
            </w:r>
          </w:p>
        </w:tc>
      </w:tr>
      <w:tr w14:paraId="7EDD50A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2A50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53B7A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FB956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43AA4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8C5F3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0951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98E1B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BC8BB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BD9BE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6BF84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216F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C04172">
            <w:pPr>
              <w:jc w:val="center"/>
            </w:pPr>
            <w:r>
              <w:rPr>
                <w:rFonts w:ascii="宋体" w:hAnsi="宋体"/>
                <w:sz w:val="18"/>
              </w:rPr>
              <w:t>22.50</w:t>
            </w:r>
          </w:p>
        </w:tc>
        <w:tc>
          <w:tcPr>
            <w:tcW w:w="1266" w:type="dxa"/>
            <w:tcBorders>
              <w:top w:val="nil"/>
              <w:left w:val="nil"/>
              <w:bottom w:val="single" w:color="auto" w:sz="4" w:space="0"/>
              <w:right w:val="single" w:color="auto" w:sz="4" w:space="0"/>
            </w:tcBorders>
            <w:shd w:val="clear" w:color="auto" w:fill="auto"/>
            <w:noWrap/>
            <w:vAlign w:val="center"/>
          </w:tcPr>
          <w:p w14:paraId="7B9B7D1D">
            <w:pPr>
              <w:jc w:val="center"/>
            </w:pPr>
            <w:r>
              <w:rPr>
                <w:rFonts w:ascii="宋体" w:hAnsi="宋体"/>
                <w:sz w:val="18"/>
              </w:rPr>
              <w:t>22.50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71BC569">
            <w:pPr>
              <w:jc w:val="center"/>
            </w:pPr>
            <w:r>
              <w:rPr>
                <w:rFonts w:ascii="宋体" w:hAnsi="宋体"/>
                <w:sz w:val="18"/>
              </w:rPr>
              <w:t>22.50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F711AFF">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12577E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576063B">
            <w:pPr>
              <w:jc w:val="center"/>
            </w:pPr>
            <w:r>
              <w:rPr>
                <w:rFonts w:ascii="宋体" w:hAnsi="宋体"/>
                <w:sz w:val="18"/>
              </w:rPr>
              <w:t>10.00</w:t>
            </w:r>
          </w:p>
        </w:tc>
      </w:tr>
      <w:tr w14:paraId="593913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5DEB6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1C4B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807E24">
            <w:pPr>
              <w:jc w:val="center"/>
            </w:pPr>
            <w:r>
              <w:rPr>
                <w:rFonts w:ascii="宋体" w:hAnsi="宋体"/>
                <w:sz w:val="18"/>
              </w:rPr>
              <w:t>22.50</w:t>
            </w:r>
          </w:p>
        </w:tc>
        <w:tc>
          <w:tcPr>
            <w:tcW w:w="1266" w:type="dxa"/>
            <w:tcBorders>
              <w:top w:val="nil"/>
              <w:left w:val="nil"/>
              <w:bottom w:val="single" w:color="auto" w:sz="4" w:space="0"/>
              <w:right w:val="single" w:color="auto" w:sz="4" w:space="0"/>
            </w:tcBorders>
            <w:shd w:val="clear" w:color="auto" w:fill="auto"/>
            <w:noWrap/>
            <w:vAlign w:val="center"/>
          </w:tcPr>
          <w:p w14:paraId="49741062">
            <w:pPr>
              <w:jc w:val="center"/>
            </w:pPr>
            <w:r>
              <w:rPr>
                <w:rFonts w:ascii="宋体" w:hAnsi="宋体"/>
                <w:sz w:val="18"/>
              </w:rPr>
              <w:t>22.50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4A54943">
            <w:pPr>
              <w:jc w:val="center"/>
            </w:pPr>
            <w:r>
              <w:rPr>
                <w:rFonts w:ascii="宋体" w:hAnsi="宋体"/>
                <w:sz w:val="18"/>
              </w:rPr>
              <w:t>22.50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3F831A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395DB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707970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89270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A44A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D772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607B5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669580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62FC0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A6C74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DAD4E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CAA33C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ED183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FF4C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1307C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C3290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700508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4C63E2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44B7860">
            <w:pPr>
              <w:jc w:val="left"/>
            </w:pPr>
            <w:r>
              <w:rPr>
                <w:rFonts w:ascii="宋体" w:hAnsi="宋体"/>
                <w:sz w:val="18"/>
              </w:rPr>
              <w:t>根据昌州财农【2023】20号2023年中央粮油生产保障资金预算-小麦“一喷三防”文件，购买农药6016瓶、购买农产品质量合格率100%、发放率及发放及时率达100%，项目预算控制率&lt;=100%、达到有效提高小麦产量的效果，群众满意度达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2E55A74F">
            <w:pPr>
              <w:jc w:val="left"/>
            </w:pPr>
            <w:r>
              <w:rPr>
                <w:rFonts w:ascii="宋体" w:hAnsi="宋体"/>
                <w:sz w:val="18"/>
              </w:rPr>
              <w:t>购买农药6016瓶、购买农产品质量合格率100%、发放率及发放及时率达100%，项目预算控制率&lt;=100%、达到有效提高小麦产量的效果，群众满意度达90%以上。</w:t>
            </w:r>
          </w:p>
        </w:tc>
      </w:tr>
      <w:tr w14:paraId="3A139FD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1E01D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43880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69EC7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57E5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AFDA0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F03C2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39D9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6C1B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6F47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1A59A6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DE828B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E6EC8F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B21DAA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CCDB718">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AF5F4A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8B86C5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620F0C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8C15AA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CBFB592">
            <w:pPr>
              <w:widowControl/>
              <w:jc w:val="left"/>
              <w:rPr>
                <w:rFonts w:hint="eastAsia" w:ascii="宋体" w:hAnsi="宋体" w:cs="宋体"/>
                <w:color w:val="000000"/>
                <w:kern w:val="0"/>
                <w:sz w:val="18"/>
                <w:szCs w:val="18"/>
              </w:rPr>
            </w:pPr>
          </w:p>
        </w:tc>
      </w:tr>
      <w:tr w14:paraId="15542EA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92023C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109470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BF6F18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B9C5F92">
            <w:pPr>
              <w:jc w:val="center"/>
            </w:pPr>
            <w:r>
              <w:rPr>
                <w:rFonts w:ascii="宋体" w:hAnsi="宋体"/>
                <w:sz w:val="18"/>
              </w:rPr>
              <w:t>购买农药数量</w:t>
            </w:r>
          </w:p>
        </w:tc>
        <w:tc>
          <w:tcPr>
            <w:tcW w:w="1266" w:type="dxa"/>
            <w:tcBorders>
              <w:top w:val="nil"/>
              <w:left w:val="nil"/>
              <w:bottom w:val="single" w:color="auto" w:sz="4" w:space="0"/>
              <w:right w:val="single" w:color="auto" w:sz="4" w:space="0"/>
            </w:tcBorders>
            <w:shd w:val="clear" w:color="auto" w:fill="auto"/>
            <w:vAlign w:val="center"/>
          </w:tcPr>
          <w:p w14:paraId="190B3F3B">
            <w:pPr>
              <w:jc w:val="center"/>
            </w:pPr>
            <w:r>
              <w:rPr>
                <w:rFonts w:ascii="宋体" w:hAnsi="宋体"/>
                <w:sz w:val="18"/>
              </w:rPr>
              <w:t>=6016瓶</w:t>
            </w:r>
          </w:p>
        </w:tc>
        <w:tc>
          <w:tcPr>
            <w:tcW w:w="1088" w:type="dxa"/>
            <w:tcBorders>
              <w:top w:val="nil"/>
              <w:left w:val="nil"/>
              <w:bottom w:val="single" w:color="auto" w:sz="4" w:space="0"/>
              <w:right w:val="single" w:color="auto" w:sz="4" w:space="0"/>
            </w:tcBorders>
            <w:shd w:val="clear" w:color="auto" w:fill="auto"/>
            <w:vAlign w:val="center"/>
          </w:tcPr>
          <w:p w14:paraId="5F857015">
            <w:pPr>
              <w:jc w:val="center"/>
            </w:pPr>
            <w:r>
              <w:rPr>
                <w:rFonts w:ascii="宋体" w:hAnsi="宋体"/>
                <w:sz w:val="18"/>
              </w:rPr>
              <w:t>=6016瓶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29B19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8DDCA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567F08">
            <w:pPr>
              <w:jc w:val="center"/>
            </w:pPr>
          </w:p>
        </w:tc>
      </w:tr>
      <w:tr w14:paraId="0A295F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8D65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8ED87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13AF4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388419">
            <w:pPr>
              <w:jc w:val="center"/>
            </w:pPr>
            <w:r>
              <w:rPr>
                <w:rFonts w:ascii="宋体" w:hAnsi="宋体"/>
                <w:sz w:val="18"/>
              </w:rPr>
              <w:t>购买农药质量达标率</w:t>
            </w:r>
          </w:p>
        </w:tc>
        <w:tc>
          <w:tcPr>
            <w:tcW w:w="1266" w:type="dxa"/>
            <w:tcBorders>
              <w:top w:val="nil"/>
              <w:left w:val="nil"/>
              <w:bottom w:val="single" w:color="auto" w:sz="4" w:space="0"/>
              <w:right w:val="single" w:color="auto" w:sz="4" w:space="0"/>
            </w:tcBorders>
            <w:shd w:val="clear" w:color="auto" w:fill="auto"/>
            <w:vAlign w:val="center"/>
          </w:tcPr>
          <w:p w14:paraId="2430813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3DA9F9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28E73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3B7CA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29F1AD">
            <w:pPr>
              <w:jc w:val="center"/>
            </w:pPr>
          </w:p>
        </w:tc>
      </w:tr>
      <w:tr w14:paraId="1290A9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53C36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7C08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50BF5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CA49C6">
            <w:pPr>
              <w:jc w:val="center"/>
            </w:pPr>
            <w:r>
              <w:rPr>
                <w:rFonts w:ascii="宋体" w:hAnsi="宋体"/>
                <w:sz w:val="18"/>
              </w:rPr>
              <w:t>农药发放及时率</w:t>
            </w:r>
          </w:p>
        </w:tc>
        <w:tc>
          <w:tcPr>
            <w:tcW w:w="1266" w:type="dxa"/>
            <w:tcBorders>
              <w:top w:val="nil"/>
              <w:left w:val="nil"/>
              <w:bottom w:val="single" w:color="auto" w:sz="4" w:space="0"/>
              <w:right w:val="single" w:color="auto" w:sz="4" w:space="0"/>
            </w:tcBorders>
            <w:shd w:val="clear" w:color="auto" w:fill="auto"/>
            <w:vAlign w:val="center"/>
          </w:tcPr>
          <w:p w14:paraId="007CF57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4E29DF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D2F99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BE6B5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283BF3">
            <w:pPr>
              <w:jc w:val="center"/>
            </w:pPr>
          </w:p>
        </w:tc>
      </w:tr>
      <w:tr w14:paraId="695857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B8E8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C1BB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50D06D">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588F7B">
            <w:pPr>
              <w:jc w:val="center"/>
            </w:pPr>
            <w:r>
              <w:rPr>
                <w:rFonts w:ascii="宋体" w:hAnsi="宋体"/>
                <w:sz w:val="18"/>
              </w:rPr>
              <w:t>购买药品到位及时率</w:t>
            </w:r>
          </w:p>
        </w:tc>
        <w:tc>
          <w:tcPr>
            <w:tcW w:w="1266" w:type="dxa"/>
            <w:tcBorders>
              <w:top w:val="nil"/>
              <w:left w:val="nil"/>
              <w:bottom w:val="single" w:color="auto" w:sz="4" w:space="0"/>
              <w:right w:val="single" w:color="auto" w:sz="4" w:space="0"/>
            </w:tcBorders>
            <w:shd w:val="clear" w:color="auto" w:fill="auto"/>
            <w:vAlign w:val="center"/>
          </w:tcPr>
          <w:p w14:paraId="5885502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D5FD1C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FFFF70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B43CF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942B91">
            <w:pPr>
              <w:jc w:val="center"/>
            </w:pPr>
          </w:p>
        </w:tc>
      </w:tr>
      <w:tr w14:paraId="3A0695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1B22C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132B4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B6F1E2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E57BB8">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EC7ED60">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6EA6A2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9F7DBD9">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B9E0B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EE6788">
            <w:pPr>
              <w:jc w:val="center"/>
            </w:pPr>
          </w:p>
        </w:tc>
      </w:tr>
      <w:tr w14:paraId="2EA623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AF0CE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B8E014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1D4166D">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6D2352">
            <w:pPr>
              <w:jc w:val="center"/>
            </w:pPr>
            <w:r>
              <w:rPr>
                <w:rFonts w:ascii="宋体" w:hAnsi="宋体"/>
                <w:sz w:val="18"/>
              </w:rPr>
              <w:t>有效提高小麦产量</w:t>
            </w:r>
          </w:p>
        </w:tc>
        <w:tc>
          <w:tcPr>
            <w:tcW w:w="1266" w:type="dxa"/>
            <w:tcBorders>
              <w:top w:val="nil"/>
              <w:left w:val="nil"/>
              <w:bottom w:val="single" w:color="auto" w:sz="4" w:space="0"/>
              <w:right w:val="single" w:color="auto" w:sz="4" w:space="0"/>
            </w:tcBorders>
            <w:shd w:val="clear" w:color="auto" w:fill="auto"/>
            <w:vAlign w:val="center"/>
          </w:tcPr>
          <w:p w14:paraId="05F0E4D2">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05871293">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E0536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ECE45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FFFD53">
            <w:pPr>
              <w:jc w:val="center"/>
            </w:pPr>
          </w:p>
        </w:tc>
      </w:tr>
      <w:tr w14:paraId="1919A4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A646F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3FDA92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54F302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9F84DF2">
            <w:pPr>
              <w:jc w:val="center"/>
            </w:pPr>
            <w:r>
              <w:rPr>
                <w:rFonts w:ascii="宋体" w:hAnsi="宋体"/>
                <w:sz w:val="18"/>
              </w:rPr>
              <w:t>农民满意度</w:t>
            </w:r>
          </w:p>
        </w:tc>
        <w:tc>
          <w:tcPr>
            <w:tcW w:w="1266" w:type="dxa"/>
            <w:tcBorders>
              <w:top w:val="nil"/>
              <w:left w:val="nil"/>
              <w:bottom w:val="single" w:color="auto" w:sz="4" w:space="0"/>
              <w:right w:val="single" w:color="auto" w:sz="4" w:space="0"/>
            </w:tcBorders>
            <w:shd w:val="clear" w:color="auto" w:fill="auto"/>
            <w:vAlign w:val="center"/>
          </w:tcPr>
          <w:p w14:paraId="25D312B5">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2D8182C5">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8291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0D8A6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841B56">
            <w:pPr>
              <w:jc w:val="center"/>
            </w:pPr>
          </w:p>
        </w:tc>
      </w:tr>
      <w:tr w14:paraId="73940CA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7D188C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C78206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77F72B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60E73D">
            <w:pPr>
              <w:jc w:val="center"/>
            </w:pPr>
          </w:p>
        </w:tc>
      </w:tr>
    </w:tbl>
    <w:p w14:paraId="11B6B931">
      <w:pPr>
        <w:rPr>
          <w:rFonts w:hint="eastAsia" w:ascii="宋体" w:hAnsi="宋体" w:cs="宋体"/>
          <w:b/>
          <w:bCs/>
          <w:kern w:val="0"/>
          <w:sz w:val="18"/>
          <w:szCs w:val="18"/>
        </w:rPr>
      </w:pPr>
    </w:p>
    <w:p w14:paraId="29EB41C7">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14732E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9312D0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77B5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278390C">
            <w:pPr>
              <w:jc w:val="center"/>
            </w:pPr>
            <w:r>
              <w:rPr>
                <w:rFonts w:ascii="宋体" w:hAnsi="宋体"/>
                <w:sz w:val="18"/>
              </w:rPr>
              <w:t>昌州财农（2023）37号2023年中央玉米大豆“一喷多促”项目</w:t>
            </w:r>
          </w:p>
        </w:tc>
      </w:tr>
      <w:tr w14:paraId="5D26E6F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E99D4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E881945">
            <w:pPr>
              <w:jc w:val="center"/>
            </w:pPr>
            <w:r>
              <w:rPr>
                <w:rFonts w:ascii="宋体" w:hAnsi="宋体"/>
                <w:sz w:val="18"/>
              </w:rPr>
              <w:t>奇台县东湾镇人民政府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463E56F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09C098A">
            <w:pPr>
              <w:jc w:val="center"/>
            </w:pPr>
            <w:r>
              <w:rPr>
                <w:rFonts w:ascii="宋体" w:hAnsi="宋体"/>
                <w:sz w:val="18"/>
              </w:rPr>
              <w:t>奇台县东湾镇人民政府</w:t>
            </w:r>
          </w:p>
        </w:tc>
      </w:tr>
      <w:tr w14:paraId="49256B3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77B1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D7D97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BD7A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91DC2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5A944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9A4D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31F39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FE040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78C78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8F5D1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5F357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6DFE83">
            <w:pPr>
              <w:jc w:val="center"/>
            </w:pPr>
            <w:r>
              <w:rPr>
                <w:rFonts w:ascii="宋体" w:hAnsi="宋体"/>
                <w:sz w:val="18"/>
              </w:rPr>
              <w:t>13.44</w:t>
            </w:r>
          </w:p>
        </w:tc>
        <w:tc>
          <w:tcPr>
            <w:tcW w:w="1266" w:type="dxa"/>
            <w:tcBorders>
              <w:top w:val="nil"/>
              <w:left w:val="nil"/>
              <w:bottom w:val="single" w:color="auto" w:sz="4" w:space="0"/>
              <w:right w:val="single" w:color="auto" w:sz="4" w:space="0"/>
            </w:tcBorders>
            <w:shd w:val="clear" w:color="auto" w:fill="auto"/>
            <w:noWrap/>
            <w:vAlign w:val="center"/>
          </w:tcPr>
          <w:p w14:paraId="0DC9C27B">
            <w:pPr>
              <w:jc w:val="center"/>
            </w:pPr>
            <w:r>
              <w:rPr>
                <w:rFonts w:ascii="宋体" w:hAnsi="宋体"/>
                <w:sz w:val="18"/>
              </w:rPr>
              <w:t>13.44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036A8D3">
            <w:pPr>
              <w:jc w:val="center"/>
            </w:pPr>
            <w:r>
              <w:rPr>
                <w:rFonts w:ascii="宋体" w:hAnsi="宋体"/>
                <w:sz w:val="18"/>
              </w:rPr>
              <w:t>13.44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BF76CB6">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12559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06A42AC">
            <w:pPr>
              <w:jc w:val="center"/>
            </w:pPr>
            <w:r>
              <w:rPr>
                <w:rFonts w:ascii="宋体" w:hAnsi="宋体"/>
                <w:sz w:val="18"/>
              </w:rPr>
              <w:t>10.00</w:t>
            </w:r>
          </w:p>
        </w:tc>
      </w:tr>
      <w:tr w14:paraId="3A20F34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2FBAE0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4FDC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EC11BFA">
            <w:pPr>
              <w:jc w:val="center"/>
            </w:pPr>
            <w:r>
              <w:rPr>
                <w:rFonts w:ascii="宋体" w:hAnsi="宋体"/>
                <w:sz w:val="18"/>
              </w:rPr>
              <w:t>13.44</w:t>
            </w:r>
          </w:p>
        </w:tc>
        <w:tc>
          <w:tcPr>
            <w:tcW w:w="1266" w:type="dxa"/>
            <w:tcBorders>
              <w:top w:val="nil"/>
              <w:left w:val="nil"/>
              <w:bottom w:val="single" w:color="auto" w:sz="4" w:space="0"/>
              <w:right w:val="single" w:color="auto" w:sz="4" w:space="0"/>
            </w:tcBorders>
            <w:shd w:val="clear" w:color="auto" w:fill="auto"/>
            <w:noWrap/>
            <w:vAlign w:val="center"/>
          </w:tcPr>
          <w:p w14:paraId="115B1D6A">
            <w:pPr>
              <w:jc w:val="center"/>
            </w:pPr>
            <w:r>
              <w:rPr>
                <w:rFonts w:ascii="宋体" w:hAnsi="宋体"/>
                <w:sz w:val="18"/>
              </w:rPr>
              <w:t>13.44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F842BF2">
            <w:pPr>
              <w:jc w:val="center"/>
            </w:pPr>
            <w:r>
              <w:rPr>
                <w:rFonts w:ascii="宋体" w:hAnsi="宋体"/>
                <w:sz w:val="18"/>
              </w:rPr>
              <w:t>13.44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C96C4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F0A7B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03FC9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ED12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22FB1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0654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7ED3B17">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3009AD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94076B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916C05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8DE9B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F12D1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2A2C89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4F3AD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35027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513C6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2C58C1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F6A5E5">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64715E2">
            <w:pPr>
              <w:jc w:val="left"/>
            </w:pPr>
            <w:r>
              <w:rPr>
                <w:rFonts w:ascii="宋体" w:hAnsi="宋体"/>
                <w:sz w:val="18"/>
              </w:rPr>
              <w:t>经昌吉州财政局下拨奇台县东湾镇玉米“一喷多促”资金13.44万元，进一步开展玉米“一喷多促”统一防治工作，保障玉米安全生产，助力农户秋粮增产增收。购买农药数量5900瓶，购买农药质量达标率达到100%，农药发放及时率达到100%，有效提升玉米农作物生长。</w:t>
            </w:r>
          </w:p>
        </w:tc>
        <w:tc>
          <w:tcPr>
            <w:tcW w:w="4536" w:type="dxa"/>
            <w:gridSpan w:val="7"/>
            <w:tcBorders>
              <w:top w:val="single" w:color="auto" w:sz="4" w:space="0"/>
              <w:left w:val="nil"/>
              <w:bottom w:val="single" w:color="auto" w:sz="4" w:space="0"/>
              <w:right w:val="single" w:color="000000" w:sz="4" w:space="0"/>
            </w:tcBorders>
            <w:shd w:val="clear" w:color="auto" w:fill="auto"/>
          </w:tcPr>
          <w:p w14:paraId="501F7B2F">
            <w:pPr>
              <w:jc w:val="left"/>
            </w:pPr>
            <w:r>
              <w:rPr>
                <w:rFonts w:ascii="宋体" w:hAnsi="宋体"/>
                <w:sz w:val="18"/>
              </w:rPr>
              <w:t>经昌吉州财政局下拨奇台县东湾镇玉米“一喷多促”资金13.44万元，进一步开展玉米“一喷多促”统一防治工作，保障玉米安全生产，助力农户秋粮增产增收。购买农药数量5900瓶，购买农药质量达标率达到100%，农药发放及时率达到100%，有效提升玉米农作物生长。</w:t>
            </w:r>
          </w:p>
        </w:tc>
      </w:tr>
      <w:tr w14:paraId="27B5EA3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F9D572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2246C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A755A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0DB8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0668E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9708A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7205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4693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8C76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461807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E6263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0556EE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88C5E5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C0CC7B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157020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1F5060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FF52BA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B99BD0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3F68BE4">
            <w:pPr>
              <w:widowControl/>
              <w:jc w:val="left"/>
              <w:rPr>
                <w:rFonts w:hint="eastAsia" w:ascii="宋体" w:hAnsi="宋体" w:cs="宋体"/>
                <w:color w:val="000000"/>
                <w:kern w:val="0"/>
                <w:sz w:val="18"/>
                <w:szCs w:val="18"/>
              </w:rPr>
            </w:pPr>
          </w:p>
        </w:tc>
      </w:tr>
      <w:tr w14:paraId="6D85A9B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896E5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25B63D7">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711ED3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C66D71">
            <w:pPr>
              <w:jc w:val="center"/>
            </w:pPr>
            <w:r>
              <w:rPr>
                <w:rFonts w:ascii="宋体" w:hAnsi="宋体"/>
                <w:sz w:val="18"/>
              </w:rPr>
              <w:t>购买农药数量</w:t>
            </w:r>
          </w:p>
        </w:tc>
        <w:tc>
          <w:tcPr>
            <w:tcW w:w="1266" w:type="dxa"/>
            <w:tcBorders>
              <w:top w:val="nil"/>
              <w:left w:val="nil"/>
              <w:bottom w:val="single" w:color="auto" w:sz="4" w:space="0"/>
              <w:right w:val="single" w:color="auto" w:sz="4" w:space="0"/>
            </w:tcBorders>
            <w:shd w:val="clear" w:color="auto" w:fill="auto"/>
            <w:vAlign w:val="center"/>
          </w:tcPr>
          <w:p w14:paraId="28613157">
            <w:pPr>
              <w:jc w:val="center"/>
            </w:pPr>
            <w:r>
              <w:rPr>
                <w:rFonts w:ascii="宋体" w:hAnsi="宋体"/>
                <w:sz w:val="18"/>
              </w:rPr>
              <w:t>=5900瓶</w:t>
            </w:r>
          </w:p>
        </w:tc>
        <w:tc>
          <w:tcPr>
            <w:tcW w:w="1088" w:type="dxa"/>
            <w:tcBorders>
              <w:top w:val="nil"/>
              <w:left w:val="nil"/>
              <w:bottom w:val="single" w:color="auto" w:sz="4" w:space="0"/>
              <w:right w:val="single" w:color="auto" w:sz="4" w:space="0"/>
            </w:tcBorders>
            <w:shd w:val="clear" w:color="auto" w:fill="auto"/>
            <w:vAlign w:val="center"/>
          </w:tcPr>
          <w:p w14:paraId="33AE8D4E">
            <w:pPr>
              <w:jc w:val="center"/>
            </w:pPr>
            <w:r>
              <w:rPr>
                <w:rFonts w:ascii="宋体" w:hAnsi="宋体"/>
                <w:sz w:val="18"/>
              </w:rPr>
              <w:t>=5900瓶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6FB3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4F41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96CEBC">
            <w:pPr>
              <w:jc w:val="center"/>
            </w:pPr>
          </w:p>
        </w:tc>
      </w:tr>
      <w:tr w14:paraId="650DF9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CC736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74DB0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02E7B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7F56D4">
            <w:pPr>
              <w:jc w:val="center"/>
            </w:pPr>
            <w:r>
              <w:rPr>
                <w:rFonts w:ascii="宋体" w:hAnsi="宋体"/>
                <w:sz w:val="18"/>
              </w:rPr>
              <w:t>购买农药质量达标率</w:t>
            </w:r>
          </w:p>
        </w:tc>
        <w:tc>
          <w:tcPr>
            <w:tcW w:w="1266" w:type="dxa"/>
            <w:tcBorders>
              <w:top w:val="nil"/>
              <w:left w:val="nil"/>
              <w:bottom w:val="single" w:color="auto" w:sz="4" w:space="0"/>
              <w:right w:val="single" w:color="auto" w:sz="4" w:space="0"/>
            </w:tcBorders>
            <w:shd w:val="clear" w:color="auto" w:fill="auto"/>
            <w:vAlign w:val="center"/>
          </w:tcPr>
          <w:p w14:paraId="4132E1A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80786F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D11CD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4BB0D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CC921C">
            <w:pPr>
              <w:jc w:val="center"/>
            </w:pPr>
          </w:p>
        </w:tc>
      </w:tr>
      <w:tr w14:paraId="51AC70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36736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F5855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09356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532968">
            <w:pPr>
              <w:jc w:val="center"/>
            </w:pPr>
            <w:r>
              <w:rPr>
                <w:rFonts w:ascii="宋体" w:hAnsi="宋体"/>
                <w:sz w:val="18"/>
              </w:rPr>
              <w:t>农药发放及时率</w:t>
            </w:r>
          </w:p>
        </w:tc>
        <w:tc>
          <w:tcPr>
            <w:tcW w:w="1266" w:type="dxa"/>
            <w:tcBorders>
              <w:top w:val="nil"/>
              <w:left w:val="nil"/>
              <w:bottom w:val="single" w:color="auto" w:sz="4" w:space="0"/>
              <w:right w:val="single" w:color="auto" w:sz="4" w:space="0"/>
            </w:tcBorders>
            <w:shd w:val="clear" w:color="auto" w:fill="auto"/>
            <w:vAlign w:val="center"/>
          </w:tcPr>
          <w:p w14:paraId="266844F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92A647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5CED9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12A05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9D8963">
            <w:pPr>
              <w:jc w:val="center"/>
            </w:pPr>
          </w:p>
        </w:tc>
      </w:tr>
      <w:tr w14:paraId="66B9F6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6E9B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50028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7D88A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F11EF4">
            <w:pPr>
              <w:jc w:val="center"/>
            </w:pPr>
            <w:r>
              <w:rPr>
                <w:rFonts w:ascii="宋体" w:hAnsi="宋体"/>
                <w:sz w:val="18"/>
              </w:rPr>
              <w:t>购买药品到位及时率</w:t>
            </w:r>
          </w:p>
        </w:tc>
        <w:tc>
          <w:tcPr>
            <w:tcW w:w="1266" w:type="dxa"/>
            <w:tcBorders>
              <w:top w:val="nil"/>
              <w:left w:val="nil"/>
              <w:bottom w:val="single" w:color="auto" w:sz="4" w:space="0"/>
              <w:right w:val="single" w:color="auto" w:sz="4" w:space="0"/>
            </w:tcBorders>
            <w:shd w:val="clear" w:color="auto" w:fill="auto"/>
            <w:vAlign w:val="center"/>
          </w:tcPr>
          <w:p w14:paraId="0C3D42C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537480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D2DA7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1390E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AA8B96">
            <w:pPr>
              <w:jc w:val="center"/>
            </w:pPr>
          </w:p>
        </w:tc>
      </w:tr>
      <w:tr w14:paraId="036906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4577F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191F9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1DCE4C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417DBD">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5816E29">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116C051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0B45C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380ACA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6C2F8C">
            <w:pPr>
              <w:jc w:val="center"/>
            </w:pPr>
          </w:p>
        </w:tc>
      </w:tr>
      <w:tr w14:paraId="4D5121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2AFA8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EDAA07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44B5D7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4C417E">
            <w:pPr>
              <w:jc w:val="center"/>
            </w:pPr>
            <w:r>
              <w:rPr>
                <w:rFonts w:ascii="宋体" w:hAnsi="宋体"/>
                <w:sz w:val="18"/>
              </w:rPr>
              <w:t>有效提升玉米农作物生长</w:t>
            </w:r>
          </w:p>
        </w:tc>
        <w:tc>
          <w:tcPr>
            <w:tcW w:w="1266" w:type="dxa"/>
            <w:tcBorders>
              <w:top w:val="nil"/>
              <w:left w:val="nil"/>
              <w:bottom w:val="single" w:color="auto" w:sz="4" w:space="0"/>
              <w:right w:val="single" w:color="auto" w:sz="4" w:space="0"/>
            </w:tcBorders>
            <w:shd w:val="clear" w:color="auto" w:fill="auto"/>
            <w:vAlign w:val="center"/>
          </w:tcPr>
          <w:p w14:paraId="3A795444">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5BA29835">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B60B7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E372E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BC0679">
            <w:pPr>
              <w:jc w:val="center"/>
            </w:pPr>
          </w:p>
        </w:tc>
      </w:tr>
      <w:tr w14:paraId="7DA0B9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8C967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7621A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6F5371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4F5547">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46878286">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7A72093">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9995B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10B5E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1EB8B4">
            <w:pPr>
              <w:jc w:val="center"/>
            </w:pPr>
          </w:p>
        </w:tc>
      </w:tr>
      <w:tr w14:paraId="20406B3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EC700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E937CD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B29F17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215180">
            <w:pPr>
              <w:jc w:val="center"/>
            </w:pPr>
          </w:p>
        </w:tc>
      </w:tr>
    </w:tbl>
    <w:p w14:paraId="625E4DBC">
      <w:pPr>
        <w:rPr>
          <w:rFonts w:hint="eastAsia" w:ascii="宋体" w:hAnsi="宋体" w:cs="宋体"/>
          <w:b/>
          <w:bCs/>
          <w:kern w:val="0"/>
          <w:sz w:val="18"/>
          <w:szCs w:val="18"/>
        </w:rPr>
      </w:pPr>
    </w:p>
    <w:p w14:paraId="56D911F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09232E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3B6D8E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B888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69322E">
            <w:pPr>
              <w:jc w:val="center"/>
            </w:pPr>
            <w:r>
              <w:rPr>
                <w:rFonts w:ascii="宋体" w:hAnsi="宋体"/>
                <w:sz w:val="18"/>
              </w:rPr>
              <w:t>昌州财建（2019）78号奇台县东湾镇巷道亮化项目、昌州财企（2019）29号奇台县东湾镇耕地绿化带建设项目</w:t>
            </w:r>
          </w:p>
        </w:tc>
      </w:tr>
      <w:tr w14:paraId="31D22C1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AB75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4D7C96F">
            <w:pPr>
              <w:jc w:val="center"/>
            </w:pPr>
            <w:r>
              <w:rPr>
                <w:rFonts w:ascii="宋体" w:hAnsi="宋体"/>
                <w:sz w:val="18"/>
              </w:rPr>
              <w:t>奇台县东湾镇人民政府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355773F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70910B0">
            <w:pPr>
              <w:jc w:val="center"/>
            </w:pPr>
            <w:r>
              <w:rPr>
                <w:rFonts w:ascii="宋体" w:hAnsi="宋体"/>
                <w:sz w:val="18"/>
              </w:rPr>
              <w:t>奇台县东湾镇人民政府</w:t>
            </w:r>
          </w:p>
        </w:tc>
      </w:tr>
      <w:tr w14:paraId="4426479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F26D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6B76E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EBDCB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22AFA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5D690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37720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C2192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F0529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0E38F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94FAD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67F0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78376DC">
            <w:pPr>
              <w:jc w:val="center"/>
            </w:pPr>
            <w:r>
              <w:rPr>
                <w:rFonts w:ascii="宋体" w:hAnsi="宋体"/>
                <w:sz w:val="18"/>
              </w:rPr>
              <w:t>7.94</w:t>
            </w:r>
          </w:p>
        </w:tc>
        <w:tc>
          <w:tcPr>
            <w:tcW w:w="1125" w:type="dxa"/>
            <w:tcBorders>
              <w:top w:val="nil"/>
              <w:left w:val="nil"/>
              <w:bottom w:val="single" w:color="auto" w:sz="4" w:space="0"/>
              <w:right w:val="single" w:color="auto" w:sz="4" w:space="0"/>
            </w:tcBorders>
            <w:shd w:val="clear" w:color="auto" w:fill="auto"/>
            <w:noWrap/>
            <w:vAlign w:val="center"/>
          </w:tcPr>
          <w:p w14:paraId="1973ADAA">
            <w:pPr>
              <w:jc w:val="center"/>
            </w:pPr>
            <w:r>
              <w:rPr>
                <w:rFonts w:ascii="宋体" w:hAnsi="宋体"/>
                <w:sz w:val="18"/>
              </w:rPr>
              <w:t>7.94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5DA2123">
            <w:pPr>
              <w:jc w:val="center"/>
            </w:pPr>
            <w:r>
              <w:rPr>
                <w:rFonts w:ascii="宋体" w:hAnsi="宋体"/>
                <w:sz w:val="18"/>
              </w:rPr>
              <w:t>7.94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35EF0B">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C203CB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BC6B390">
            <w:pPr>
              <w:jc w:val="center"/>
            </w:pPr>
            <w:r>
              <w:rPr>
                <w:rFonts w:ascii="宋体" w:hAnsi="宋体"/>
                <w:sz w:val="18"/>
              </w:rPr>
              <w:t>10.00</w:t>
            </w:r>
          </w:p>
        </w:tc>
      </w:tr>
      <w:tr w14:paraId="55A886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F79DF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73DB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BD9398">
            <w:pPr>
              <w:jc w:val="center"/>
            </w:pPr>
            <w:r>
              <w:rPr>
                <w:rFonts w:ascii="宋体" w:hAnsi="宋体"/>
                <w:sz w:val="18"/>
              </w:rPr>
              <w:t>7.94</w:t>
            </w:r>
          </w:p>
        </w:tc>
        <w:tc>
          <w:tcPr>
            <w:tcW w:w="1125" w:type="dxa"/>
            <w:tcBorders>
              <w:top w:val="nil"/>
              <w:left w:val="nil"/>
              <w:bottom w:val="single" w:color="auto" w:sz="4" w:space="0"/>
              <w:right w:val="single" w:color="auto" w:sz="4" w:space="0"/>
            </w:tcBorders>
            <w:shd w:val="clear" w:color="auto" w:fill="auto"/>
            <w:noWrap/>
            <w:vAlign w:val="center"/>
          </w:tcPr>
          <w:p w14:paraId="18D3FB79">
            <w:pPr>
              <w:jc w:val="center"/>
            </w:pPr>
            <w:r>
              <w:rPr>
                <w:rFonts w:ascii="宋体" w:hAnsi="宋体"/>
                <w:sz w:val="18"/>
              </w:rPr>
              <w:t>7.94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7630EDA">
            <w:pPr>
              <w:jc w:val="center"/>
            </w:pPr>
            <w:r>
              <w:rPr>
                <w:rFonts w:ascii="宋体" w:hAnsi="宋体"/>
                <w:sz w:val="18"/>
              </w:rPr>
              <w:t>7.94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E3D76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6E579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C7F95F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F5BCFB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40E7C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07FC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70AFD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515FC34">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7794CD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38537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89FFB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C87C3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877D03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03D68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ECD34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1612F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305248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77BAE6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EDEE995">
            <w:pPr>
              <w:jc w:val="left"/>
            </w:pPr>
            <w:r>
              <w:rPr>
                <w:rFonts w:ascii="宋体" w:hAnsi="宋体"/>
                <w:sz w:val="18"/>
              </w:rPr>
              <w:t>通过东湾镇巷道亮化建设项目和耕地绿化带建设项目的实施，改善村民宜居条件，提升移民村落基础设施配套力度，减少移民村生产生活薄弱环节，实现新农村基础设施建设的稳步转变，从而促进奇台县村容村貌“一年一个样、三年大变样”的总体规划的实现。路灯安装数量65盏、种植长枝榆7000株、项目竣工验收合格率100%、项目开工及时率100%、项目完工及时率100%、项目预算控制率&lt;=100%、提高了村民生活质量、农民满意度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18B3C123">
            <w:pPr>
              <w:jc w:val="left"/>
            </w:pPr>
            <w:r>
              <w:rPr>
                <w:rFonts w:ascii="宋体" w:hAnsi="宋体"/>
                <w:sz w:val="18"/>
              </w:rPr>
              <w:t>路灯安装数量80盏、种植长枝榆7000株、项目竣工验收合格率100%、项目开工及时率100%、项目完工及时率100%、项目预算控制率&lt;=100%、提高了村民生活质量、农民满意度90%以上。</w:t>
            </w:r>
          </w:p>
        </w:tc>
      </w:tr>
      <w:tr w14:paraId="5E027FD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57D79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FF78A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67D19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4230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E597D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4A3840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FE0E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853E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B64F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42BF45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0EEE26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76F481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32DF55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52B14E1">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0CCCDA4">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BF9AE25">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49AA9AB">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C6BDD75">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11BD7A0">
            <w:pPr>
              <w:widowControl/>
              <w:jc w:val="left"/>
              <w:rPr>
                <w:rFonts w:hint="eastAsia" w:ascii="宋体" w:hAnsi="宋体" w:cs="宋体"/>
                <w:color w:val="000000"/>
                <w:kern w:val="0"/>
                <w:sz w:val="18"/>
                <w:szCs w:val="18"/>
              </w:rPr>
            </w:pPr>
          </w:p>
        </w:tc>
      </w:tr>
      <w:tr w14:paraId="73E21BC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4A421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CD64FE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4C56D0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F459EB">
            <w:pPr>
              <w:jc w:val="center"/>
            </w:pPr>
            <w:r>
              <w:rPr>
                <w:rFonts w:ascii="宋体" w:hAnsi="宋体"/>
                <w:sz w:val="18"/>
              </w:rPr>
              <w:t>路灯安装数量</w:t>
            </w:r>
          </w:p>
        </w:tc>
        <w:tc>
          <w:tcPr>
            <w:tcW w:w="1125" w:type="dxa"/>
            <w:tcBorders>
              <w:top w:val="nil"/>
              <w:left w:val="nil"/>
              <w:bottom w:val="single" w:color="auto" w:sz="4" w:space="0"/>
              <w:right w:val="single" w:color="auto" w:sz="4" w:space="0"/>
            </w:tcBorders>
            <w:shd w:val="clear" w:color="auto" w:fill="auto"/>
            <w:vAlign w:val="center"/>
          </w:tcPr>
          <w:p w14:paraId="6D2A64EF">
            <w:pPr>
              <w:jc w:val="center"/>
            </w:pPr>
            <w:r>
              <w:rPr>
                <w:rFonts w:ascii="宋体" w:hAnsi="宋体"/>
                <w:sz w:val="18"/>
              </w:rPr>
              <w:t>=65盏</w:t>
            </w:r>
          </w:p>
        </w:tc>
        <w:tc>
          <w:tcPr>
            <w:tcW w:w="1229" w:type="dxa"/>
            <w:tcBorders>
              <w:top w:val="nil"/>
              <w:left w:val="nil"/>
              <w:bottom w:val="single" w:color="auto" w:sz="4" w:space="0"/>
              <w:right w:val="single" w:color="auto" w:sz="4" w:space="0"/>
            </w:tcBorders>
            <w:shd w:val="clear" w:color="auto" w:fill="auto"/>
            <w:vAlign w:val="center"/>
          </w:tcPr>
          <w:p w14:paraId="0E6F197E">
            <w:pPr>
              <w:jc w:val="center"/>
            </w:pPr>
            <w:r>
              <w:rPr>
                <w:rFonts w:ascii="宋体" w:hAnsi="宋体"/>
                <w:sz w:val="18"/>
              </w:rPr>
              <w:t>=80盏</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31A33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64EF715">
            <w:pPr>
              <w:jc w:val="center"/>
            </w:pPr>
            <w:r>
              <w:rPr>
                <w:rFonts w:ascii="宋体" w:hAnsi="宋体"/>
                <w:sz w:val="18"/>
              </w:rPr>
              <w:t>7.69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699767">
            <w:pPr>
              <w:jc w:val="center"/>
            </w:pPr>
            <w:r>
              <w:rPr>
                <w:rFonts w:ascii="宋体" w:hAnsi="宋体"/>
                <w:sz w:val="18"/>
              </w:rPr>
              <w:t>财务人员和项目干事沟通有误，改进措施：对填报人员进行培训提高准确率</w:t>
            </w:r>
          </w:p>
        </w:tc>
      </w:tr>
      <w:tr w14:paraId="0CB44B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50F84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51011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A4F9D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11CFC7">
            <w:pPr>
              <w:jc w:val="center"/>
            </w:pPr>
            <w:r>
              <w:rPr>
                <w:rFonts w:ascii="宋体" w:hAnsi="宋体"/>
                <w:sz w:val="18"/>
              </w:rPr>
              <w:t>种植长枝榆数量</w:t>
            </w:r>
          </w:p>
        </w:tc>
        <w:tc>
          <w:tcPr>
            <w:tcW w:w="1125" w:type="dxa"/>
            <w:tcBorders>
              <w:top w:val="nil"/>
              <w:left w:val="nil"/>
              <w:bottom w:val="single" w:color="auto" w:sz="4" w:space="0"/>
              <w:right w:val="single" w:color="auto" w:sz="4" w:space="0"/>
            </w:tcBorders>
            <w:shd w:val="clear" w:color="auto" w:fill="auto"/>
            <w:vAlign w:val="center"/>
          </w:tcPr>
          <w:p w14:paraId="2D5CC5E2">
            <w:pPr>
              <w:jc w:val="center"/>
            </w:pPr>
            <w:r>
              <w:rPr>
                <w:rFonts w:ascii="宋体" w:hAnsi="宋体"/>
                <w:sz w:val="18"/>
              </w:rPr>
              <w:t>=7000株</w:t>
            </w:r>
          </w:p>
        </w:tc>
        <w:tc>
          <w:tcPr>
            <w:tcW w:w="1229" w:type="dxa"/>
            <w:tcBorders>
              <w:top w:val="nil"/>
              <w:left w:val="nil"/>
              <w:bottom w:val="single" w:color="auto" w:sz="4" w:space="0"/>
              <w:right w:val="single" w:color="auto" w:sz="4" w:space="0"/>
            </w:tcBorders>
            <w:shd w:val="clear" w:color="auto" w:fill="auto"/>
            <w:vAlign w:val="center"/>
          </w:tcPr>
          <w:p w14:paraId="5B20389B">
            <w:pPr>
              <w:jc w:val="center"/>
            </w:pPr>
            <w:r>
              <w:rPr>
                <w:rFonts w:ascii="宋体" w:hAnsi="宋体"/>
                <w:sz w:val="18"/>
              </w:rPr>
              <w:t>=7000株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E28736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E092E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271A42D">
            <w:pPr>
              <w:jc w:val="center"/>
            </w:pPr>
          </w:p>
        </w:tc>
      </w:tr>
      <w:tr w14:paraId="4C018B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D2C85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5CF01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72D88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EA7649">
            <w:pPr>
              <w:jc w:val="center"/>
            </w:pPr>
            <w:r>
              <w:rPr>
                <w:rFonts w:ascii="宋体" w:hAnsi="宋体"/>
                <w:sz w:val="18"/>
              </w:rPr>
              <w:t>项目竣工验收合格率</w:t>
            </w:r>
          </w:p>
        </w:tc>
        <w:tc>
          <w:tcPr>
            <w:tcW w:w="1125" w:type="dxa"/>
            <w:tcBorders>
              <w:top w:val="nil"/>
              <w:left w:val="nil"/>
              <w:bottom w:val="single" w:color="auto" w:sz="4" w:space="0"/>
              <w:right w:val="single" w:color="auto" w:sz="4" w:space="0"/>
            </w:tcBorders>
            <w:shd w:val="clear" w:color="auto" w:fill="auto"/>
            <w:vAlign w:val="center"/>
          </w:tcPr>
          <w:p w14:paraId="75C898E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B9F7DB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A773A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30BDBA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F577CC">
            <w:pPr>
              <w:jc w:val="center"/>
            </w:pPr>
          </w:p>
        </w:tc>
      </w:tr>
      <w:tr w14:paraId="5BED7C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F996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BD3AC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855C1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2A5F7A">
            <w:pPr>
              <w:jc w:val="center"/>
            </w:pPr>
            <w:r>
              <w:rPr>
                <w:rFonts w:ascii="宋体" w:hAnsi="宋体"/>
                <w:sz w:val="18"/>
              </w:rPr>
              <w:t>项目完工及时率</w:t>
            </w:r>
          </w:p>
        </w:tc>
        <w:tc>
          <w:tcPr>
            <w:tcW w:w="1125" w:type="dxa"/>
            <w:tcBorders>
              <w:top w:val="nil"/>
              <w:left w:val="nil"/>
              <w:bottom w:val="single" w:color="auto" w:sz="4" w:space="0"/>
              <w:right w:val="single" w:color="auto" w:sz="4" w:space="0"/>
            </w:tcBorders>
            <w:shd w:val="clear" w:color="auto" w:fill="auto"/>
            <w:vAlign w:val="center"/>
          </w:tcPr>
          <w:p w14:paraId="2F9DC0F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20057B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32B43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398C6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CC628D">
            <w:pPr>
              <w:jc w:val="center"/>
            </w:pPr>
          </w:p>
        </w:tc>
      </w:tr>
      <w:tr w14:paraId="17E2F1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DBE24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83CBC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12C736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54B494">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9A04A09">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154524E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A629B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9AD28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8B73B7">
            <w:pPr>
              <w:jc w:val="center"/>
            </w:pPr>
          </w:p>
        </w:tc>
      </w:tr>
      <w:tr w14:paraId="1F3C2F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63E3E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B2BBE6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83393F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BF2BF6">
            <w:pPr>
              <w:jc w:val="center"/>
            </w:pPr>
            <w:r>
              <w:rPr>
                <w:rFonts w:ascii="宋体" w:hAnsi="宋体"/>
                <w:sz w:val="18"/>
              </w:rPr>
              <w:t>提高村民生活质量</w:t>
            </w:r>
          </w:p>
        </w:tc>
        <w:tc>
          <w:tcPr>
            <w:tcW w:w="1125" w:type="dxa"/>
            <w:tcBorders>
              <w:top w:val="nil"/>
              <w:left w:val="nil"/>
              <w:bottom w:val="single" w:color="auto" w:sz="4" w:space="0"/>
              <w:right w:val="single" w:color="auto" w:sz="4" w:space="0"/>
            </w:tcBorders>
            <w:shd w:val="clear" w:color="auto" w:fill="auto"/>
            <w:vAlign w:val="center"/>
          </w:tcPr>
          <w:p w14:paraId="2A066B0A">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53451D0C">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D783AF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87AD4E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B4633C1">
            <w:pPr>
              <w:jc w:val="center"/>
            </w:pPr>
          </w:p>
        </w:tc>
      </w:tr>
      <w:tr w14:paraId="31437A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F4714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AA238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821EC7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79D685">
            <w:pPr>
              <w:jc w:val="center"/>
            </w:pPr>
            <w:r>
              <w:rPr>
                <w:rFonts w:ascii="宋体" w:hAnsi="宋体"/>
                <w:sz w:val="18"/>
              </w:rPr>
              <w:t>农民满意度</w:t>
            </w:r>
          </w:p>
        </w:tc>
        <w:tc>
          <w:tcPr>
            <w:tcW w:w="1125" w:type="dxa"/>
            <w:tcBorders>
              <w:top w:val="nil"/>
              <w:left w:val="nil"/>
              <w:bottom w:val="single" w:color="auto" w:sz="4" w:space="0"/>
              <w:right w:val="single" w:color="auto" w:sz="4" w:space="0"/>
            </w:tcBorders>
            <w:shd w:val="clear" w:color="auto" w:fill="auto"/>
            <w:vAlign w:val="center"/>
          </w:tcPr>
          <w:p w14:paraId="652769C1">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4110F38">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81A5B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1BF5D8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741481">
            <w:pPr>
              <w:jc w:val="center"/>
            </w:pPr>
          </w:p>
        </w:tc>
      </w:tr>
      <w:tr w14:paraId="14EC83E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4BF279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45F84D5">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F77AE34">
            <w:pPr>
              <w:jc w:val="center"/>
            </w:pPr>
            <w:r>
              <w:rPr>
                <w:rFonts w:ascii="宋体" w:hAnsi="宋体"/>
                <w:sz w:val="18"/>
              </w:rPr>
              <w:t>97.69分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62DE07">
            <w:pPr>
              <w:jc w:val="center"/>
            </w:pPr>
          </w:p>
        </w:tc>
      </w:tr>
    </w:tbl>
    <w:p w14:paraId="508D8BE3">
      <w:pPr>
        <w:jc w:val="left"/>
        <w:rPr>
          <w:rFonts w:hint="eastAsia" w:ascii="宋体" w:hAnsi="宋体" w:cs="宋体"/>
          <w:b/>
          <w:bCs/>
          <w:kern w:val="0"/>
          <w:sz w:val="18"/>
          <w:szCs w:val="18"/>
        </w:rPr>
      </w:pPr>
    </w:p>
    <w:p w14:paraId="613C622C">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48F229A">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622F4802">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AEA5B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BBD8C5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1BE9B2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8524EE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8A9CEC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56F9B5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5A71EA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750333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CA1F6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723520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10F162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AD101A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F391B5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CDAB0DF">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CC033C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49022AD">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088F3393">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78BA3104">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19F76383">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42B15236">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27ABAF3F">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006EBE4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3385B08F">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2AD33BD6">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4AB5694">
      <w:pPr>
        <w:ind w:firstLine="640" w:firstLineChars="200"/>
        <w:rPr>
          <w:rFonts w:ascii="仿宋_GB2312" w:eastAsia="仿宋_GB2312"/>
          <w:sz w:val="32"/>
          <w:szCs w:val="32"/>
        </w:rPr>
      </w:pPr>
    </w:p>
    <w:p w14:paraId="3C250EB8">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0ABA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FBD6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5FBD64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DA6053"/>
    <w:rsid w:val="00071036"/>
    <w:rsid w:val="000E0FC5"/>
    <w:rsid w:val="00166935"/>
    <w:rsid w:val="00181758"/>
    <w:rsid w:val="00213C59"/>
    <w:rsid w:val="00227199"/>
    <w:rsid w:val="0024021E"/>
    <w:rsid w:val="002758B2"/>
    <w:rsid w:val="002A7641"/>
    <w:rsid w:val="003210CE"/>
    <w:rsid w:val="00350839"/>
    <w:rsid w:val="00370868"/>
    <w:rsid w:val="005A71BB"/>
    <w:rsid w:val="009E43BB"/>
    <w:rsid w:val="00AC7B27"/>
    <w:rsid w:val="00B4624E"/>
    <w:rsid w:val="00B70D59"/>
    <w:rsid w:val="00C8714D"/>
    <w:rsid w:val="00C9736F"/>
    <w:rsid w:val="00D43DBA"/>
    <w:rsid w:val="00D55F02"/>
    <w:rsid w:val="00DA6053"/>
    <w:rsid w:val="00E14701"/>
    <w:rsid w:val="00E3498A"/>
    <w:rsid w:val="00E70549"/>
    <w:rsid w:val="00E83E45"/>
    <w:rsid w:val="00ED10E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4FF50E3"/>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54EC8"/>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594989"/>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8FF0AC6"/>
    <w:rsid w:val="493D58B5"/>
    <w:rsid w:val="494A7A04"/>
    <w:rsid w:val="49605EF7"/>
    <w:rsid w:val="4A0A26D2"/>
    <w:rsid w:val="4A2019A5"/>
    <w:rsid w:val="4A241A0B"/>
    <w:rsid w:val="4A5C2BD7"/>
    <w:rsid w:val="4A7B2875"/>
    <w:rsid w:val="4A934476"/>
    <w:rsid w:val="4AAA220A"/>
    <w:rsid w:val="4AE12E67"/>
    <w:rsid w:val="4B4C0111"/>
    <w:rsid w:val="4B8553A9"/>
    <w:rsid w:val="4BDB3730"/>
    <w:rsid w:val="4C1F2AF3"/>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A0A97"/>
    <w:rsid w:val="596E7E20"/>
    <w:rsid w:val="5A5D23AA"/>
    <w:rsid w:val="5A60780B"/>
    <w:rsid w:val="5AB34579"/>
    <w:rsid w:val="5AB40E78"/>
    <w:rsid w:val="5AF80B40"/>
    <w:rsid w:val="5AFC6609"/>
    <w:rsid w:val="5B113480"/>
    <w:rsid w:val="5BD456CE"/>
    <w:rsid w:val="5C0D1F49"/>
    <w:rsid w:val="5CBB0CE2"/>
    <w:rsid w:val="5CC17177"/>
    <w:rsid w:val="5CF306BC"/>
    <w:rsid w:val="5D292A17"/>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DE3196"/>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12685</Words>
  <Characters>14974</Characters>
  <Lines>122</Lines>
  <Paragraphs>34</Paragraphs>
  <TotalTime>109</TotalTime>
  <ScaleCrop>false</ScaleCrop>
  <LinksUpToDate>false</LinksUpToDate>
  <CharactersWithSpaces>14984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2024-12-27T08:25:32Z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