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63C407">
      <w:pPr>
        <w:rPr>
          <w:rFonts w:hint="eastAsia" w:ascii="黑体" w:hAnsi="黑体" w:eastAsia="黑体"/>
          <w:sz w:val="32"/>
          <w:szCs w:val="32"/>
        </w:rPr>
      </w:pPr>
    </w:p>
    <w:p w14:paraId="5163F8BD">
      <w:pPr>
        <w:jc w:val="center"/>
        <w:rPr>
          <w:rFonts w:hint="eastAsia" w:ascii="方正小标宋_GBK" w:hAnsi="宋体" w:eastAsia="方正小标宋_GBK"/>
          <w:sz w:val="44"/>
          <w:szCs w:val="44"/>
        </w:rPr>
      </w:pPr>
    </w:p>
    <w:p w14:paraId="034A4D5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奇台县商务和工业信息化局</w:t>
      </w:r>
    </w:p>
    <w:p w14:paraId="5485E4E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FABA47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6D1A107">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31B790A">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FFF32E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C5079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64747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780015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4C076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696497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E8CC9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A1060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15AC0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1A5D8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274FD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D2142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002CC3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661B5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D8ED05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ADAC2D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5717E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E1E6B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001FEC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797EDE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A8FDB4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BDB99D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2A9BA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46A619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02E14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2C6F3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57E3A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68FF7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C145E8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47A3408">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F2B0772">
      <w:r>
        <w:rPr>
          <w:rFonts w:hint="eastAsia" w:ascii="仿宋_GB2312" w:hAnsi="仿宋_GB2312" w:eastAsia="仿宋_GB2312" w:cs="仿宋_GB2312"/>
          <w:sz w:val="32"/>
          <w:szCs w:val="32"/>
        </w:rPr>
        <w:fldChar w:fldCharType="end"/>
      </w:r>
    </w:p>
    <w:p w14:paraId="60C999DF">
      <w:pPr>
        <w:rPr>
          <w:rFonts w:ascii="仿宋_GB2312" w:eastAsia="仿宋_GB2312"/>
          <w:sz w:val="32"/>
          <w:szCs w:val="32"/>
        </w:rPr>
      </w:pPr>
      <w:r>
        <w:rPr>
          <w:rFonts w:hint="eastAsia" w:ascii="仿宋_GB2312" w:eastAsia="仿宋_GB2312"/>
          <w:sz w:val="32"/>
          <w:szCs w:val="32"/>
        </w:rPr>
        <w:br w:type="page"/>
      </w:r>
    </w:p>
    <w:p w14:paraId="3120EAC9">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6DBF4A3">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9274EDD">
      <w:pPr>
        <w:ind w:firstLine="640" w:firstLineChars="200"/>
        <w:rPr>
          <w:rFonts w:ascii="仿宋_GB2312" w:eastAsia="仿宋_GB2312"/>
          <w:sz w:val="32"/>
          <w:szCs w:val="32"/>
        </w:rPr>
      </w:pPr>
      <w:r>
        <w:rPr>
          <w:rFonts w:ascii="仿宋_GB2312" w:eastAsia="仿宋_GB2312"/>
          <w:sz w:val="32"/>
          <w:szCs w:val="32"/>
        </w:rPr>
        <w:t>（1）贯彻执行国家、自治区、自治州商务和工业信息化的法律法规和方针政策，研究商务和工业信息化发展规划和政策建议;拟订商务、工业和信息化发展的政策措施，并组织实施和监督检查</w:t>
      </w:r>
      <w:r>
        <w:rPr>
          <w:rFonts w:hint="eastAsia" w:ascii="仿宋_GB2312" w:eastAsia="仿宋_GB2312"/>
          <w:sz w:val="32"/>
          <w:szCs w:val="32"/>
        </w:rPr>
        <w:t>；</w:t>
      </w:r>
    </w:p>
    <w:p w14:paraId="641552A6">
      <w:pPr>
        <w:ind w:firstLine="640" w:firstLineChars="200"/>
        <w:rPr>
          <w:rFonts w:ascii="仿宋_GB2312" w:eastAsia="仿宋_GB2312"/>
          <w:sz w:val="32"/>
          <w:szCs w:val="32"/>
        </w:rPr>
      </w:pPr>
      <w:r>
        <w:rPr>
          <w:rFonts w:ascii="仿宋_GB2312" w:eastAsia="仿宋_GB2312"/>
          <w:sz w:val="32"/>
          <w:szCs w:val="32"/>
        </w:rPr>
        <w:t>（2）贯彻落实国家、自治区和自治州产业政策，并组织实施和监督检查;指导产业合理布局和结构调整;组织协调重点产业调整和高质量发展规划的拟订与实施；负责推进流通产业结构调整，指导大宗产品批发市场规划和城市商业网点规划，推进有关农村市场体系建设，完善农村现代流通网络;</w:t>
      </w:r>
    </w:p>
    <w:p w14:paraId="1442533E">
      <w:pPr>
        <w:ind w:firstLine="640" w:firstLineChars="200"/>
        <w:rPr>
          <w:rFonts w:ascii="仿宋_GB2312" w:eastAsia="仿宋_GB2312"/>
          <w:sz w:val="32"/>
          <w:szCs w:val="32"/>
        </w:rPr>
      </w:pPr>
      <w:r>
        <w:rPr>
          <w:rFonts w:ascii="仿宋_GB2312" w:eastAsia="仿宋_GB2312"/>
          <w:sz w:val="32"/>
          <w:szCs w:val="32"/>
        </w:rPr>
        <w:t>（3）承担牵头协调整顿和规范市场经济秩序工作的责任；承担组织实施重要消费品市场调控和重要生产资料流通管理的责任；制定电子商务发展规划和政策措施并组织实施；负责对外贸易的管理；</w:t>
      </w:r>
    </w:p>
    <w:p w14:paraId="0318172A">
      <w:pPr>
        <w:ind w:firstLine="640" w:firstLineChars="200"/>
        <w:rPr>
          <w:rFonts w:ascii="仿宋_GB2312" w:eastAsia="仿宋_GB2312"/>
          <w:sz w:val="32"/>
          <w:szCs w:val="32"/>
        </w:rPr>
      </w:pPr>
      <w:r>
        <w:rPr>
          <w:rFonts w:ascii="仿宋_GB2312" w:eastAsia="仿宋_GB2312"/>
          <w:sz w:val="32"/>
          <w:szCs w:val="32"/>
        </w:rPr>
        <w:t>（4）负责招商引资工作的协调、组织、管理；负责外商投资工作；负责与自治区各地州县及内地各省市之间的横向经济联合协作；承担工业经济运行态势监测分析、预测预警和信息引导工作；负责工业和信息化领域各行业的管理，组织拟订行业专项规划，并组织实施技术规范和标准；负责工业和信息产业及信息化建设的技术改造投资管理，负责技术改造和投资项目审核、备案；</w:t>
      </w:r>
    </w:p>
    <w:p w14:paraId="4F450654">
      <w:pPr>
        <w:ind w:firstLine="640" w:firstLineChars="200"/>
        <w:rPr>
          <w:rFonts w:ascii="仿宋_GB2312" w:eastAsia="仿宋_GB2312"/>
          <w:sz w:val="32"/>
          <w:szCs w:val="32"/>
        </w:rPr>
      </w:pPr>
      <w:r>
        <w:rPr>
          <w:rFonts w:ascii="仿宋_GB2312" w:eastAsia="仿宋_GB2312"/>
          <w:sz w:val="32"/>
          <w:szCs w:val="32"/>
        </w:rPr>
        <w:t>（5）贯彻落实工业和信息化领域资源节约和综合利用规划、政策；负责全县民爆行业管理；组织执行国家、自治区、自治州电力行业技术规范和标准；负责推进信息化工作；指导电子信息产业的发展</w:t>
      </w:r>
      <w:r>
        <w:rPr>
          <w:rFonts w:hint="eastAsia" w:ascii="仿宋_GB2312" w:eastAsia="仿宋_GB2312"/>
          <w:sz w:val="32"/>
          <w:szCs w:val="32"/>
        </w:rPr>
        <w:t>。</w:t>
      </w:r>
    </w:p>
    <w:p w14:paraId="26109AA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60B0111">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奇台县商务和工业信息化局2023年度，实有人数</w:t>
      </w:r>
      <w:r>
        <w:rPr>
          <w:rFonts w:hint="eastAsia" w:ascii="仿宋_GB2312" w:eastAsia="仿宋_GB2312"/>
          <w:sz w:val="32"/>
          <w:szCs w:val="32"/>
          <w:lang w:val="zh-CN"/>
        </w:rPr>
        <w:t>50</w:t>
      </w:r>
      <w:r>
        <w:rPr>
          <w:rFonts w:hint="eastAsia" w:ascii="仿宋_GB2312" w:eastAsia="仿宋_GB2312"/>
          <w:sz w:val="32"/>
          <w:szCs w:val="32"/>
        </w:rPr>
        <w:t>人，其中：在职人员</w:t>
      </w:r>
      <w:r>
        <w:rPr>
          <w:rFonts w:hint="eastAsia" w:ascii="仿宋_GB2312" w:eastAsia="仿宋_GB2312"/>
          <w:sz w:val="32"/>
          <w:szCs w:val="32"/>
          <w:lang w:val="zh-CN"/>
        </w:rPr>
        <w:t>25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25</w:t>
      </w:r>
      <w:r>
        <w:rPr>
          <w:rFonts w:hint="eastAsia" w:ascii="仿宋_GB2312" w:eastAsia="仿宋_GB2312"/>
          <w:sz w:val="32"/>
          <w:szCs w:val="32"/>
        </w:rPr>
        <w:t>人。</w:t>
      </w:r>
    </w:p>
    <w:p w14:paraId="65EA024C">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rPr>
        <w:t>行政办公室、工业科、商贸科、招商引资服务中心、大数据中心、安全监管科</w:t>
      </w:r>
      <w:r>
        <w:rPr>
          <w:rFonts w:hint="eastAsia" w:ascii="仿宋_GB2312" w:hAnsi="宋体" w:eastAsia="仿宋_GB2312" w:cs="宋体"/>
          <w:kern w:val="0"/>
          <w:sz w:val="32"/>
          <w:szCs w:val="32"/>
        </w:rPr>
        <w:t>。</w:t>
      </w:r>
    </w:p>
    <w:p w14:paraId="379D117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1FB2FAE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305094D6">
      <w:pPr>
        <w:ind w:firstLine="640" w:firstLineChars="200"/>
        <w:rPr>
          <w:rFonts w:ascii="仿宋_GB2312" w:eastAsia="仿宋_GB2312"/>
          <w:sz w:val="32"/>
          <w:szCs w:val="32"/>
        </w:rPr>
      </w:pPr>
      <w:r>
        <w:rPr>
          <w:rFonts w:hint="eastAsia" w:ascii="仿宋_GB2312" w:eastAsia="仿宋_GB2312"/>
          <w:sz w:val="32"/>
          <w:szCs w:val="32"/>
        </w:rPr>
        <w:t>2023年度收入总计3,933.73万元，其中：本年收入合计3,933.73万元，使用非财政拨款结余0.00万元，年初结转和结余0.00万元。</w:t>
      </w:r>
    </w:p>
    <w:p w14:paraId="1E6AA791">
      <w:pPr>
        <w:ind w:firstLine="640" w:firstLineChars="200"/>
        <w:rPr>
          <w:rFonts w:ascii="仿宋_GB2312" w:eastAsia="仿宋_GB2312"/>
          <w:sz w:val="32"/>
          <w:szCs w:val="32"/>
        </w:rPr>
      </w:pPr>
      <w:r>
        <w:rPr>
          <w:rFonts w:hint="eastAsia" w:ascii="仿宋_GB2312" w:eastAsia="仿宋_GB2312"/>
          <w:sz w:val="32"/>
          <w:szCs w:val="32"/>
        </w:rPr>
        <w:t>2023年度支出总计3,933.73万元，其中：本年支出合计3,915.51万元，结余分配0.00万元，年末结转和结余18.22万元。</w:t>
      </w:r>
    </w:p>
    <w:p w14:paraId="7CAB26A3">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增加1,015.84万元</w:t>
      </w:r>
      <w:r>
        <w:rPr>
          <w:rFonts w:hint="eastAsia" w:ascii="仿宋_GB2312" w:eastAsia="仿宋_GB2312"/>
          <w:sz w:val="32"/>
          <w:szCs w:val="32"/>
        </w:rPr>
        <w:t>，增长34.81%，主要原因是：</w:t>
      </w:r>
      <w:r>
        <w:rPr>
          <w:rFonts w:hint="eastAsia" w:ascii="仿宋_GB2312" w:hAnsi="仿宋_GB2312" w:eastAsia="仿宋_GB2312" w:cs="仿宋_GB2312"/>
          <w:sz w:val="32"/>
          <w:szCs w:val="32"/>
          <w:lang w:val="zh-CN"/>
        </w:rPr>
        <w:t>单位本年第一批中小企业欠款项目化解资金增加、自治区工业节能减排专项项目资金增加</w:t>
      </w:r>
      <w:r>
        <w:rPr>
          <w:rFonts w:hint="eastAsia" w:ascii="仿宋_GB2312" w:eastAsia="仿宋_GB2312"/>
          <w:sz w:val="32"/>
          <w:szCs w:val="32"/>
        </w:rPr>
        <w:t>。</w:t>
      </w:r>
    </w:p>
    <w:p w14:paraId="4CF62790">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A588BF7">
      <w:pPr>
        <w:ind w:firstLine="640" w:firstLineChars="200"/>
        <w:jc w:val="left"/>
        <w:rPr>
          <w:rFonts w:ascii="仿宋_GB2312" w:eastAsia="仿宋_GB2312"/>
          <w:sz w:val="32"/>
          <w:szCs w:val="32"/>
        </w:rPr>
      </w:pPr>
      <w:r>
        <w:rPr>
          <w:rFonts w:hint="eastAsia" w:ascii="仿宋_GB2312" w:eastAsia="仿宋_GB2312"/>
          <w:sz w:val="32"/>
          <w:szCs w:val="32"/>
        </w:rPr>
        <w:t>本年收入3,933.73万元，其中：财政拨款收入</w:t>
      </w:r>
      <w:r>
        <w:rPr>
          <w:rFonts w:hint="eastAsia" w:ascii="仿宋_GB2312" w:eastAsia="仿宋_GB2312"/>
          <w:sz w:val="32"/>
          <w:szCs w:val="32"/>
          <w:lang w:val="zh-CN"/>
        </w:rPr>
        <w:t>3,212.91</w:t>
      </w:r>
      <w:r>
        <w:rPr>
          <w:rFonts w:hint="eastAsia" w:ascii="仿宋_GB2312" w:eastAsia="仿宋_GB2312"/>
          <w:sz w:val="32"/>
          <w:szCs w:val="32"/>
        </w:rPr>
        <w:t>万元，占</w:t>
      </w:r>
      <w:r>
        <w:rPr>
          <w:rFonts w:hint="eastAsia" w:ascii="仿宋_GB2312" w:eastAsia="仿宋_GB2312"/>
          <w:sz w:val="32"/>
          <w:szCs w:val="32"/>
          <w:lang w:val="zh-CN"/>
        </w:rPr>
        <w:t>81.68%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720.82</w:t>
      </w:r>
      <w:r>
        <w:rPr>
          <w:rFonts w:hint="eastAsia" w:ascii="仿宋_GB2312" w:eastAsia="仿宋_GB2312"/>
          <w:sz w:val="32"/>
          <w:szCs w:val="32"/>
        </w:rPr>
        <w:t>万元，占</w:t>
      </w:r>
      <w:r>
        <w:rPr>
          <w:rFonts w:hint="eastAsia" w:ascii="仿宋_GB2312" w:eastAsia="仿宋_GB2312"/>
          <w:sz w:val="32"/>
          <w:szCs w:val="32"/>
          <w:lang w:val="zh-CN"/>
        </w:rPr>
        <w:t>18.32%</w:t>
      </w:r>
      <w:r>
        <w:rPr>
          <w:rFonts w:hint="eastAsia" w:ascii="仿宋_GB2312" w:eastAsia="仿宋_GB2312"/>
          <w:sz w:val="32"/>
          <w:szCs w:val="32"/>
        </w:rPr>
        <w:t>。</w:t>
      </w:r>
    </w:p>
    <w:p w14:paraId="51FE559A">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526CAB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本年支出3,915.51万元，其中：基本支出483.84万元，占12.36%；项目支出3,431.67万元，占87.64%；上缴上级支出0.00万元，占0.00%；经营支出0.00万元，占0.00%；对附属单位补助支出0.00万元，占0.00%。</w:t>
      </w:r>
    </w:p>
    <w:p w14:paraId="5C3C8DAC">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A13F799">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3,212.91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3,212.91</w:t>
      </w:r>
      <w:r>
        <w:rPr>
          <w:rFonts w:hint="eastAsia" w:ascii="仿宋_GB2312" w:eastAsia="仿宋_GB2312"/>
          <w:sz w:val="32"/>
          <w:szCs w:val="32"/>
        </w:rPr>
        <w:t>万元。财政拨款支出总计</w:t>
      </w:r>
      <w:r>
        <w:rPr>
          <w:rFonts w:hint="eastAsia" w:ascii="仿宋_GB2312" w:eastAsia="仿宋_GB2312"/>
          <w:sz w:val="32"/>
          <w:szCs w:val="32"/>
          <w:lang w:val="zh-CN"/>
        </w:rPr>
        <w:t>3,212.91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3,212.91</w:t>
      </w:r>
      <w:r>
        <w:rPr>
          <w:rFonts w:hint="eastAsia" w:ascii="仿宋_GB2312" w:eastAsia="仿宋_GB2312"/>
          <w:sz w:val="32"/>
          <w:szCs w:val="32"/>
        </w:rPr>
        <w:t>万元。</w:t>
      </w:r>
    </w:p>
    <w:p w14:paraId="0B0E6295">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增加305.23万元</w:t>
      </w:r>
      <w:r>
        <w:rPr>
          <w:rFonts w:hint="eastAsia" w:ascii="仿宋_GB2312" w:eastAsia="仿宋_GB2312"/>
          <w:sz w:val="32"/>
          <w:szCs w:val="32"/>
        </w:rPr>
        <w:t>，增长10.50%,主要原因是：</w:t>
      </w:r>
      <w:r>
        <w:rPr>
          <w:rFonts w:hint="eastAsia" w:ascii="仿宋_GB2312" w:hAnsi="仿宋_GB2312" w:eastAsia="仿宋_GB2312" w:cs="仿宋_GB2312"/>
          <w:sz w:val="32"/>
          <w:szCs w:val="32"/>
          <w:lang w:val="zh-CN"/>
        </w:rPr>
        <w:t>单位本年第一批中小企业欠款项目化解资金增加、自治区工业节能减排专项项目资金增加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1,378.84</w:t>
      </w:r>
      <w:r>
        <w:rPr>
          <w:rFonts w:hint="eastAsia" w:ascii="仿宋_GB2312" w:eastAsia="仿宋_GB2312"/>
          <w:sz w:val="32"/>
          <w:szCs w:val="32"/>
        </w:rPr>
        <w:t>万元，决算数</w:t>
      </w:r>
      <w:r>
        <w:rPr>
          <w:rFonts w:hint="eastAsia" w:ascii="仿宋_GB2312" w:eastAsia="仿宋_GB2312"/>
          <w:sz w:val="32"/>
          <w:szCs w:val="32"/>
          <w:lang w:val="zh-CN"/>
        </w:rPr>
        <w:t>3,212.91</w:t>
      </w:r>
      <w:r>
        <w:rPr>
          <w:rFonts w:hint="eastAsia" w:ascii="仿宋_GB2312" w:eastAsia="仿宋_GB2312"/>
          <w:sz w:val="32"/>
          <w:szCs w:val="32"/>
        </w:rPr>
        <w:t>万元，预决算差异率133.02%，主要原因是：年中追加</w:t>
      </w:r>
      <w:r>
        <w:rPr>
          <w:rFonts w:hint="eastAsia" w:ascii="仿宋_GB2312" w:hAnsi="仿宋_GB2312" w:eastAsia="仿宋_GB2312" w:cs="仿宋_GB2312"/>
          <w:sz w:val="32"/>
          <w:szCs w:val="32"/>
          <w:lang w:val="zh-CN"/>
        </w:rPr>
        <w:t>第三方专业招商信息技术服务项目经费</w:t>
      </w:r>
      <w:r>
        <w:rPr>
          <w:rFonts w:hint="eastAsia" w:ascii="仿宋_GB2312" w:eastAsia="仿宋_GB2312"/>
          <w:sz w:val="32"/>
          <w:szCs w:val="32"/>
        </w:rPr>
        <w:t>。</w:t>
      </w:r>
    </w:p>
    <w:p w14:paraId="41E891DF">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230E42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8AD0188">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2023年度一般公共预算财政拨款支出3,212.91万元，占本年支出合计的</w:t>
      </w:r>
      <w:r>
        <w:rPr>
          <w:rFonts w:hint="eastAsia" w:ascii="仿宋_GB2312" w:eastAsia="仿宋_GB2312"/>
          <w:sz w:val="32"/>
          <w:szCs w:val="32"/>
          <w:lang w:val="zh-CN"/>
        </w:rPr>
        <w:t>82.06%</w:t>
      </w:r>
      <w:r>
        <w:rPr>
          <w:rFonts w:hint="eastAsia" w:ascii="仿宋_GB2312" w:eastAsia="仿宋_GB2312"/>
          <w:sz w:val="32"/>
          <w:szCs w:val="32"/>
        </w:rPr>
        <w:t>。与上年相比，</w:t>
      </w:r>
      <w:r>
        <w:rPr>
          <w:rFonts w:hint="eastAsia" w:ascii="仿宋_GB2312" w:eastAsia="仿宋_GB2312"/>
          <w:sz w:val="32"/>
          <w:szCs w:val="32"/>
          <w:lang w:val="zh-CN"/>
        </w:rPr>
        <w:t>增加305.23万元</w:t>
      </w:r>
      <w:r>
        <w:rPr>
          <w:rFonts w:hint="eastAsia" w:ascii="仿宋_GB2312" w:eastAsia="仿宋_GB2312"/>
          <w:sz w:val="32"/>
          <w:szCs w:val="32"/>
        </w:rPr>
        <w:t>，增长10.50%,主要原因是：</w:t>
      </w:r>
      <w:r>
        <w:rPr>
          <w:rFonts w:hint="eastAsia" w:ascii="仿宋_GB2312" w:hAnsi="仿宋_GB2312" w:eastAsia="仿宋_GB2312" w:cs="仿宋_GB2312"/>
          <w:sz w:val="32"/>
          <w:szCs w:val="32"/>
          <w:lang w:val="zh-CN"/>
        </w:rPr>
        <w:t>单位本年第一批中小企业欠款项目化解资金增加、自治区工业节能减排专项项目资金增加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1,378.84</w:t>
      </w:r>
      <w:r>
        <w:rPr>
          <w:rFonts w:hint="eastAsia" w:ascii="仿宋_GB2312" w:eastAsia="仿宋_GB2312"/>
          <w:sz w:val="32"/>
          <w:szCs w:val="32"/>
        </w:rPr>
        <w:t>万元，决算数</w:t>
      </w:r>
      <w:r>
        <w:rPr>
          <w:rFonts w:hint="eastAsia" w:ascii="仿宋_GB2312" w:eastAsia="仿宋_GB2312"/>
          <w:sz w:val="32"/>
          <w:szCs w:val="32"/>
          <w:lang w:val="zh-CN"/>
        </w:rPr>
        <w:t>3,212.91</w:t>
      </w:r>
      <w:r>
        <w:rPr>
          <w:rFonts w:hint="eastAsia" w:ascii="仿宋_GB2312" w:eastAsia="仿宋_GB2312"/>
          <w:sz w:val="32"/>
          <w:szCs w:val="32"/>
        </w:rPr>
        <w:t>万元，预决算差异率</w:t>
      </w:r>
      <w:r>
        <w:rPr>
          <w:rFonts w:hint="eastAsia" w:ascii="仿宋_GB2312" w:eastAsia="仿宋_GB2312"/>
          <w:sz w:val="32"/>
          <w:szCs w:val="32"/>
          <w:lang w:val="zh-CN"/>
        </w:rPr>
        <w:t>133.02%</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第三方专业招商信息技术服务项目经费</w:t>
      </w:r>
      <w:r>
        <w:rPr>
          <w:rFonts w:hint="eastAsia" w:ascii="仿宋_GB2312" w:eastAsia="仿宋_GB2312"/>
          <w:sz w:val="32"/>
          <w:szCs w:val="32"/>
        </w:rPr>
        <w:t>。</w:t>
      </w:r>
    </w:p>
    <w:p w14:paraId="2020B10C">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134EFE7">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1,443.89</w:t>
      </w:r>
      <w:r>
        <w:rPr>
          <w:rFonts w:ascii="仿宋_GB2312" w:eastAsia="仿宋_GB2312"/>
          <w:kern w:val="2"/>
          <w:sz w:val="32"/>
          <w:szCs w:val="32"/>
          <w:lang w:val="zh-CN"/>
        </w:rPr>
        <w:t>万元，占</w:t>
      </w:r>
      <w:r>
        <w:rPr>
          <w:rFonts w:hint="eastAsia" w:ascii="仿宋_GB2312" w:eastAsia="仿宋_GB2312"/>
          <w:kern w:val="2"/>
          <w:sz w:val="32"/>
          <w:szCs w:val="32"/>
          <w:lang w:val="zh-CN"/>
        </w:rPr>
        <w:t>44.94%</w:t>
      </w:r>
      <w:r>
        <w:rPr>
          <w:rFonts w:ascii="仿宋_GB2312" w:eastAsia="仿宋_GB2312"/>
          <w:kern w:val="2"/>
          <w:sz w:val="32"/>
          <w:szCs w:val="32"/>
          <w:lang w:val="zh-CN"/>
        </w:rPr>
        <w:t>；</w:t>
      </w:r>
    </w:p>
    <w:p w14:paraId="06E442E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75.24</w:t>
      </w:r>
      <w:r>
        <w:rPr>
          <w:rFonts w:ascii="仿宋_GB2312" w:eastAsia="仿宋_GB2312"/>
          <w:kern w:val="2"/>
          <w:sz w:val="32"/>
          <w:szCs w:val="32"/>
          <w:lang w:val="zh-CN"/>
        </w:rPr>
        <w:t>万元，占</w:t>
      </w:r>
      <w:r>
        <w:rPr>
          <w:rFonts w:hint="eastAsia" w:ascii="仿宋_GB2312" w:eastAsia="仿宋_GB2312"/>
          <w:kern w:val="2"/>
          <w:sz w:val="32"/>
          <w:szCs w:val="32"/>
          <w:lang w:val="zh-CN"/>
        </w:rPr>
        <w:t>2.34%</w:t>
      </w:r>
      <w:r>
        <w:rPr>
          <w:rFonts w:ascii="仿宋_GB2312" w:eastAsia="仿宋_GB2312"/>
          <w:kern w:val="2"/>
          <w:sz w:val="32"/>
          <w:szCs w:val="32"/>
          <w:lang w:val="zh-CN"/>
        </w:rPr>
        <w:t>；</w:t>
      </w:r>
    </w:p>
    <w:p w14:paraId="7DE6F3B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21.58</w:t>
      </w:r>
      <w:r>
        <w:rPr>
          <w:rFonts w:ascii="仿宋_GB2312" w:eastAsia="仿宋_GB2312"/>
          <w:kern w:val="2"/>
          <w:sz w:val="32"/>
          <w:szCs w:val="32"/>
          <w:lang w:val="zh-CN"/>
        </w:rPr>
        <w:t>万元，占</w:t>
      </w:r>
      <w:r>
        <w:rPr>
          <w:rFonts w:hint="eastAsia" w:ascii="仿宋_GB2312" w:eastAsia="仿宋_GB2312"/>
          <w:kern w:val="2"/>
          <w:sz w:val="32"/>
          <w:szCs w:val="32"/>
          <w:lang w:val="zh-CN"/>
        </w:rPr>
        <w:t>0.67%</w:t>
      </w:r>
      <w:r>
        <w:rPr>
          <w:rFonts w:ascii="仿宋_GB2312" w:eastAsia="仿宋_GB2312"/>
          <w:kern w:val="2"/>
          <w:sz w:val="32"/>
          <w:szCs w:val="32"/>
          <w:lang w:val="zh-CN"/>
        </w:rPr>
        <w:t>；</w:t>
      </w:r>
    </w:p>
    <w:p w14:paraId="20210AA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26.00</w:t>
      </w:r>
      <w:r>
        <w:rPr>
          <w:rFonts w:ascii="仿宋_GB2312" w:eastAsia="仿宋_GB2312"/>
          <w:kern w:val="2"/>
          <w:sz w:val="32"/>
          <w:szCs w:val="32"/>
          <w:lang w:val="zh-CN"/>
        </w:rPr>
        <w:t>万元，占</w:t>
      </w:r>
      <w:r>
        <w:rPr>
          <w:rFonts w:hint="eastAsia" w:ascii="仿宋_GB2312" w:eastAsia="仿宋_GB2312"/>
          <w:kern w:val="2"/>
          <w:sz w:val="32"/>
          <w:szCs w:val="32"/>
          <w:lang w:val="zh-CN"/>
        </w:rPr>
        <w:t>0.81%</w:t>
      </w:r>
      <w:r>
        <w:rPr>
          <w:rFonts w:ascii="仿宋_GB2312" w:eastAsia="仿宋_GB2312"/>
          <w:kern w:val="2"/>
          <w:sz w:val="32"/>
          <w:szCs w:val="32"/>
          <w:lang w:val="zh-CN"/>
        </w:rPr>
        <w:t>；</w:t>
      </w:r>
    </w:p>
    <w:p w14:paraId="2EA35C1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1.80</w:t>
      </w:r>
      <w:r>
        <w:rPr>
          <w:rFonts w:ascii="仿宋_GB2312" w:eastAsia="仿宋_GB2312"/>
          <w:kern w:val="2"/>
          <w:sz w:val="32"/>
          <w:szCs w:val="32"/>
          <w:lang w:val="zh-CN"/>
        </w:rPr>
        <w:t>万元，占</w:t>
      </w:r>
      <w:r>
        <w:rPr>
          <w:rFonts w:hint="eastAsia" w:ascii="仿宋_GB2312" w:eastAsia="仿宋_GB2312"/>
          <w:kern w:val="2"/>
          <w:sz w:val="32"/>
          <w:szCs w:val="32"/>
          <w:lang w:val="zh-CN"/>
        </w:rPr>
        <w:t>0.06%</w:t>
      </w:r>
      <w:r>
        <w:rPr>
          <w:rFonts w:ascii="仿宋_GB2312" w:eastAsia="仿宋_GB2312"/>
          <w:kern w:val="2"/>
          <w:sz w:val="32"/>
          <w:szCs w:val="32"/>
          <w:lang w:val="zh-CN"/>
        </w:rPr>
        <w:t>；</w:t>
      </w:r>
    </w:p>
    <w:p w14:paraId="4C110F5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1,046.29</w:t>
      </w:r>
      <w:r>
        <w:rPr>
          <w:rFonts w:ascii="仿宋_GB2312" w:eastAsia="仿宋_GB2312"/>
          <w:kern w:val="2"/>
          <w:sz w:val="32"/>
          <w:szCs w:val="32"/>
          <w:lang w:val="zh-CN"/>
        </w:rPr>
        <w:t>万元，占</w:t>
      </w:r>
      <w:r>
        <w:rPr>
          <w:rFonts w:hint="eastAsia" w:ascii="仿宋_GB2312" w:eastAsia="仿宋_GB2312"/>
          <w:kern w:val="2"/>
          <w:sz w:val="32"/>
          <w:szCs w:val="32"/>
          <w:lang w:val="zh-CN"/>
        </w:rPr>
        <w:t>32.57%</w:t>
      </w:r>
      <w:r>
        <w:rPr>
          <w:rFonts w:ascii="仿宋_GB2312" w:eastAsia="仿宋_GB2312"/>
          <w:kern w:val="2"/>
          <w:sz w:val="32"/>
          <w:szCs w:val="32"/>
          <w:lang w:val="zh-CN"/>
        </w:rPr>
        <w:t>；</w:t>
      </w:r>
    </w:p>
    <w:p w14:paraId="4586316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.商业服务业等支出（类）</w:t>
      </w:r>
      <w:r>
        <w:rPr>
          <w:rFonts w:hint="eastAsia" w:ascii="仿宋_GB2312" w:eastAsia="仿宋_GB2312"/>
          <w:kern w:val="2"/>
          <w:sz w:val="32"/>
          <w:szCs w:val="32"/>
          <w:lang w:val="zh-CN"/>
        </w:rPr>
        <w:t>563.00</w:t>
      </w:r>
      <w:r>
        <w:rPr>
          <w:rFonts w:ascii="仿宋_GB2312" w:eastAsia="仿宋_GB2312"/>
          <w:kern w:val="2"/>
          <w:sz w:val="32"/>
          <w:szCs w:val="32"/>
          <w:lang w:val="zh-CN"/>
        </w:rPr>
        <w:t>万元，占</w:t>
      </w:r>
      <w:r>
        <w:rPr>
          <w:rFonts w:hint="eastAsia" w:ascii="仿宋_GB2312" w:eastAsia="仿宋_GB2312"/>
          <w:kern w:val="2"/>
          <w:sz w:val="32"/>
          <w:szCs w:val="32"/>
          <w:lang w:val="zh-CN"/>
        </w:rPr>
        <w:t>17.52%</w:t>
      </w:r>
      <w:r>
        <w:rPr>
          <w:rFonts w:ascii="仿宋_GB2312" w:eastAsia="仿宋_GB2312"/>
          <w:kern w:val="2"/>
          <w:sz w:val="32"/>
          <w:szCs w:val="32"/>
          <w:lang w:val="zh-CN"/>
        </w:rPr>
        <w:t>；</w:t>
      </w:r>
    </w:p>
    <w:p w14:paraId="482324F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30.11</w:t>
      </w:r>
      <w:r>
        <w:rPr>
          <w:rFonts w:ascii="仿宋_GB2312" w:eastAsia="仿宋_GB2312"/>
          <w:kern w:val="2"/>
          <w:sz w:val="32"/>
          <w:szCs w:val="32"/>
          <w:lang w:val="zh-CN"/>
        </w:rPr>
        <w:t>万元，占</w:t>
      </w:r>
      <w:r>
        <w:rPr>
          <w:rFonts w:hint="eastAsia" w:ascii="仿宋_GB2312" w:eastAsia="仿宋_GB2312"/>
          <w:kern w:val="2"/>
          <w:sz w:val="32"/>
          <w:szCs w:val="32"/>
          <w:lang w:val="zh-CN"/>
        </w:rPr>
        <w:t>0.94%</w:t>
      </w:r>
      <w:r>
        <w:rPr>
          <w:rFonts w:ascii="仿宋_GB2312" w:eastAsia="仿宋_GB2312"/>
          <w:kern w:val="2"/>
          <w:sz w:val="32"/>
          <w:szCs w:val="32"/>
          <w:lang w:val="zh-CN"/>
        </w:rPr>
        <w:t>；</w:t>
      </w:r>
    </w:p>
    <w:p w14:paraId="074E406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9</w:t>
      </w:r>
      <w:r>
        <w:rPr>
          <w:rFonts w:ascii="仿宋_GB2312" w:eastAsia="仿宋_GB2312"/>
          <w:kern w:val="2"/>
          <w:sz w:val="32"/>
          <w:szCs w:val="32"/>
          <w:lang w:val="zh-CN"/>
        </w:rPr>
        <w:t>.其他支出（类）</w:t>
      </w:r>
      <w:r>
        <w:rPr>
          <w:rFonts w:hint="eastAsia" w:ascii="仿宋_GB2312" w:eastAsia="仿宋_GB2312"/>
          <w:kern w:val="2"/>
          <w:sz w:val="32"/>
          <w:szCs w:val="32"/>
          <w:lang w:val="zh-CN"/>
        </w:rPr>
        <w:t>5.00</w:t>
      </w:r>
      <w:r>
        <w:rPr>
          <w:rFonts w:ascii="仿宋_GB2312" w:eastAsia="仿宋_GB2312"/>
          <w:kern w:val="2"/>
          <w:sz w:val="32"/>
          <w:szCs w:val="32"/>
          <w:lang w:val="zh-CN"/>
        </w:rPr>
        <w:t>万元，占</w:t>
      </w:r>
      <w:r>
        <w:rPr>
          <w:rFonts w:hint="eastAsia" w:ascii="仿宋_GB2312" w:eastAsia="仿宋_GB2312"/>
          <w:kern w:val="2"/>
          <w:sz w:val="32"/>
          <w:szCs w:val="32"/>
          <w:lang w:val="zh-CN"/>
        </w:rPr>
        <w:t>0.16%。</w:t>
      </w:r>
    </w:p>
    <w:p w14:paraId="600937A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CA927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1.卫生健康支出（类）行政事业单位医疗（款）其他行政事业单位医疗支出（项）:支出决算数为0.29万元，比上年决算增加0.15万元，增长107.14%，主要原因是：</w:t>
      </w:r>
      <w:r>
        <w:rPr>
          <w:rFonts w:hint="eastAsia" w:ascii="仿宋_GB2312" w:hAnsi="仿宋_GB2312" w:eastAsia="仿宋_GB2312" w:cs="仿宋_GB2312"/>
          <w:sz w:val="32"/>
          <w:szCs w:val="32"/>
          <w:lang w:val="zh-CN"/>
        </w:rPr>
        <w:t>单位本年职工医疗缴费较上年增加。</w:t>
      </w:r>
    </w:p>
    <w:p w14:paraId="605C98C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2.卫生健康支出（类）行政事业单位医疗（款）行政单位医疗（项）:支出决算数为19.36万元，比上年决算增加0.02万元，增长0.10%，主要原因是：</w:t>
      </w:r>
      <w:r>
        <w:rPr>
          <w:rFonts w:hint="eastAsia" w:ascii="仿宋_GB2312" w:hAnsi="仿宋_GB2312" w:eastAsia="仿宋_GB2312" w:cs="仿宋_GB2312"/>
          <w:sz w:val="32"/>
          <w:szCs w:val="32"/>
          <w:lang w:val="zh-CN"/>
        </w:rPr>
        <w:t>单位本年行政医疗缴费基数上调，相应医疗缴费增加。</w:t>
      </w:r>
    </w:p>
    <w:p w14:paraId="5B5D4D1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3.卫生健康支出（类）行政事业单位医疗（款）公务员医疗补助（项）:支出决算数为1.93万元，比上年决算减少4.07万元，下降67.83%，主要原因是：</w:t>
      </w:r>
      <w:r>
        <w:rPr>
          <w:rFonts w:hint="eastAsia" w:ascii="仿宋_GB2312" w:hAnsi="仿宋_GB2312" w:eastAsia="仿宋_GB2312" w:cs="仿宋_GB2312"/>
          <w:sz w:val="32"/>
          <w:szCs w:val="32"/>
          <w:lang w:val="zh-CN"/>
        </w:rPr>
        <w:t>单位本年公务员医疗缴费基数下调，相应公务员医疗缴费减少。</w:t>
      </w:r>
    </w:p>
    <w:p w14:paraId="2562C2B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4.住房保障支出（类）住房改革支出（款）住房公积金（项）:支出决算数为30.11万元，比上年决算增加8.60万元，增长39.98%，主要原因是：</w:t>
      </w:r>
      <w:r>
        <w:rPr>
          <w:rFonts w:hint="eastAsia" w:ascii="仿宋_GB2312" w:hAnsi="仿宋_GB2312" w:eastAsia="仿宋_GB2312" w:cs="仿宋_GB2312"/>
          <w:sz w:val="32"/>
          <w:szCs w:val="32"/>
          <w:lang w:val="zh-CN"/>
        </w:rPr>
        <w:t>单位本年公积金缴费基数上调，相应人员公积金缴费增加。</w:t>
      </w:r>
    </w:p>
    <w:p w14:paraId="58D5E1F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5.社会保障和就业支出（类）抚恤（款）死亡抚恤（项）:支出决算数为28.44万元，比上年决算增加1.86万元，增长7.00%，主要原因是：</w:t>
      </w:r>
      <w:r>
        <w:rPr>
          <w:rFonts w:hint="eastAsia" w:ascii="仿宋_GB2312" w:hAnsi="仿宋_GB2312" w:eastAsia="仿宋_GB2312" w:cs="仿宋_GB2312"/>
          <w:sz w:val="32"/>
          <w:szCs w:val="32"/>
          <w:lang w:val="zh-CN"/>
        </w:rPr>
        <w:t>单位本年人员丧葬费、抚恤金较上年增加。</w:t>
      </w:r>
    </w:p>
    <w:p w14:paraId="204BA77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6.资源勘探工业信息等支出（类）支持中小企业发展和管理支出（款）其他支持中小企业发展和管理支出（项）:支出决算数为1,011.29万元，比上年决算增加580.86万元，增长134.95%，主要原因是：</w:t>
      </w:r>
      <w:r>
        <w:rPr>
          <w:rFonts w:hint="eastAsia" w:ascii="仿宋_GB2312" w:hAnsi="仿宋_GB2312" w:eastAsia="仿宋_GB2312" w:cs="仿宋_GB2312"/>
          <w:sz w:val="32"/>
          <w:szCs w:val="32"/>
          <w:lang w:val="zh-CN"/>
        </w:rPr>
        <w:t>单位本年第一批中小企业欠款项目化解资金增加。</w:t>
      </w:r>
    </w:p>
    <w:p w14:paraId="1165349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7.社会保障和就业支出（类）行政事业单位养老支出（款）行政单位离退休（项）:支出决算数为1.69万元，比上年决算增加1.69万元，增长100%，主要原因是：</w:t>
      </w:r>
      <w:r>
        <w:rPr>
          <w:rFonts w:hint="eastAsia" w:ascii="仿宋_GB2312" w:hAnsi="仿宋_GB2312" w:eastAsia="仿宋_GB2312" w:cs="仿宋_GB2312"/>
          <w:sz w:val="32"/>
          <w:szCs w:val="32"/>
          <w:lang w:val="zh-CN"/>
        </w:rPr>
        <w:t>单位本年退休人员交通补助、取暖费增加。</w:t>
      </w:r>
    </w:p>
    <w:p w14:paraId="729E3D1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8.节能环保支出（类）能源节约利用（款）能源节约利用（项）:支出决算数为26.00万元，比上年决算增加26.00万元，增长100%，主要原因是：</w:t>
      </w:r>
      <w:r>
        <w:rPr>
          <w:rFonts w:hint="eastAsia" w:ascii="仿宋_GB2312" w:hAnsi="仿宋_GB2312" w:eastAsia="仿宋_GB2312" w:cs="仿宋_GB2312"/>
          <w:sz w:val="32"/>
          <w:szCs w:val="32"/>
          <w:lang w:val="zh-CN"/>
        </w:rPr>
        <w:t>单位本年自治区工业节能减排专项项目资金增加。</w:t>
      </w:r>
    </w:p>
    <w:p w14:paraId="3B9AB82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9.社会保障和就业支出（类）行政事业单位养老支出（款）机关事业单位职业年金缴费支出（项）:支出决算数为7.48万元，比上年决算增加7.48万元，增长100%，主要原因是：</w:t>
      </w:r>
      <w:r>
        <w:rPr>
          <w:rFonts w:hint="eastAsia" w:ascii="仿宋_GB2312" w:hAnsi="仿宋_GB2312" w:eastAsia="仿宋_GB2312" w:cs="仿宋_GB2312"/>
          <w:sz w:val="32"/>
          <w:szCs w:val="32"/>
          <w:lang w:val="zh-CN"/>
        </w:rPr>
        <w:t>单位本年补缴以前年度职业年金费用。</w:t>
      </w:r>
    </w:p>
    <w:p w14:paraId="39989D4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10.社会保障和就业支出（类）行政事业单位养老支出（款）机关事业单位基本养老保险缴费支出（项）:支出决算数为37.63万元，比上年决算增加9.06万元，增长31.71%，主要原因是：</w:t>
      </w:r>
      <w:r>
        <w:rPr>
          <w:rFonts w:hint="eastAsia" w:ascii="仿宋_GB2312" w:hAnsi="仿宋_GB2312" w:eastAsia="仿宋_GB2312" w:cs="仿宋_GB2312"/>
          <w:sz w:val="32"/>
          <w:szCs w:val="32"/>
          <w:lang w:val="zh-CN"/>
        </w:rPr>
        <w:t>单位本年社保缴费基数上调，相应人员养老保险缴费增加。</w:t>
      </w:r>
    </w:p>
    <w:p w14:paraId="2ED7254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11.一般公共服务支出（类）商贸事务（款）招商引资（项）:支出决算数为307.10万元，比上年决算增加262.62万元，增长590.42%，主要原因是：</w:t>
      </w:r>
      <w:r>
        <w:rPr>
          <w:rFonts w:hint="eastAsia" w:ascii="仿宋_GB2312" w:hAnsi="仿宋_GB2312" w:eastAsia="仿宋_GB2312" w:cs="仿宋_GB2312"/>
          <w:sz w:val="32"/>
          <w:szCs w:val="32"/>
          <w:lang w:val="zh-CN"/>
        </w:rPr>
        <w:t>单位本年第三方专业招商信息技术服务项目经费增加。</w:t>
      </w:r>
    </w:p>
    <w:p w14:paraId="0EBD14B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12.资源勘探工业信息等支出（类）支持中小企业发展和管理支出（款）中小企业发展专项（项）:支出决算数为35.00万元，比上年决算增加35.00万元，增长100%，主要原因是：</w:t>
      </w:r>
      <w:r>
        <w:rPr>
          <w:rFonts w:hint="eastAsia" w:ascii="仿宋_GB2312" w:hAnsi="仿宋_GB2312" w:eastAsia="仿宋_GB2312" w:cs="仿宋_GB2312"/>
          <w:sz w:val="32"/>
          <w:szCs w:val="32"/>
          <w:lang w:val="zh-CN"/>
        </w:rPr>
        <w:t>单位本年州本级拨付中小企业专项项目资金增加。</w:t>
      </w:r>
    </w:p>
    <w:p w14:paraId="06D1869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13.交通运输支出（类）邮政业支出（款）邮政普遍服务与特殊服务（项）:支出决算数为1.80万元，比上年决算增加0.00万元，增长0.00%，主要原因是：</w:t>
      </w:r>
      <w:r>
        <w:rPr>
          <w:rFonts w:hint="eastAsia" w:ascii="仿宋_GB2312" w:hAnsi="仿宋_GB2312" w:eastAsia="仿宋_GB2312" w:cs="仿宋_GB2312"/>
          <w:sz w:val="32"/>
          <w:szCs w:val="32"/>
          <w:lang w:val="zh-CN"/>
        </w:rPr>
        <w:t>与上年对比无差异。</w:t>
      </w:r>
    </w:p>
    <w:p w14:paraId="2F25AA0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14.商业服务业等支出（类）涉外发展服务支出（款）其他涉外发展服务支出（项）:支出决算数为563.00万元，比上年决算增加300.30万元，增长114.31%，主要原因是：</w:t>
      </w:r>
      <w:r>
        <w:rPr>
          <w:rFonts w:hint="eastAsia" w:ascii="仿宋_GB2312" w:hAnsi="仿宋_GB2312" w:eastAsia="仿宋_GB2312" w:cs="仿宋_GB2312"/>
          <w:sz w:val="32"/>
          <w:szCs w:val="32"/>
          <w:lang w:val="zh-CN"/>
        </w:rPr>
        <w:t>单位本年对外经贸专项项目资金增加。</w:t>
      </w:r>
    </w:p>
    <w:p w14:paraId="52F8671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15.一般公共服务支出（类）商贸事务（款）其他商贸事务支出（项）:支出决算数为805.16万元，比上年决算减少901.84万元，下降52.83%，主要原因是：</w:t>
      </w:r>
      <w:r>
        <w:rPr>
          <w:rFonts w:hint="eastAsia" w:ascii="仿宋_GB2312" w:hAnsi="仿宋_GB2312" w:eastAsia="仿宋_GB2312" w:cs="仿宋_GB2312"/>
          <w:sz w:val="32"/>
          <w:szCs w:val="32"/>
          <w:lang w:val="zh-CN"/>
        </w:rPr>
        <w:t>单位本年新能源汽车第一、二季度租赁项目经费减少。</w:t>
      </w:r>
    </w:p>
    <w:p w14:paraId="1E98D9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16.其他支出（类）其他支出（款）其他支出（项）:支出决算数为5.00万元，比上年决算增加5.00万元，增长100%，主要原因是：</w:t>
      </w:r>
      <w:r>
        <w:rPr>
          <w:rFonts w:hint="eastAsia" w:ascii="仿宋_GB2312" w:hAnsi="仿宋_GB2312" w:eastAsia="仿宋_GB2312" w:cs="仿宋_GB2312"/>
          <w:sz w:val="32"/>
          <w:szCs w:val="32"/>
          <w:lang w:val="zh-CN"/>
        </w:rPr>
        <w:t>单位本年自治区为民办实事、办好事社区工作专项项目经费增加。</w:t>
      </w:r>
    </w:p>
    <w:p w14:paraId="68ECD50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17.一般公共服务支出（类）商贸事务（款）行政运行（项）:支出决算数为331.62万元，比上年决算减少4.83万元，下降1.44%，主要原因是：</w:t>
      </w:r>
      <w:r>
        <w:rPr>
          <w:rFonts w:hint="eastAsia" w:ascii="仿宋_GB2312" w:hAnsi="仿宋_GB2312" w:eastAsia="仿宋_GB2312" w:cs="仿宋_GB2312"/>
          <w:sz w:val="32"/>
          <w:szCs w:val="32"/>
          <w:lang w:val="zh-CN"/>
        </w:rPr>
        <w:t>单位本年人员减少，相应人员工资、津贴补贴、奖金等人员经费减少。</w:t>
      </w:r>
    </w:p>
    <w:p w14:paraId="60B634E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18.一般公共服务支出（类）政府办公厅（室）及相关机构事务（款）行政运行（项）:支出决算数为0.00万元，比上年决算减少10.34万元，下降100%，主要原因是：本年此科目减少职业年金缴费</w:t>
      </w:r>
      <w:r>
        <w:rPr>
          <w:rFonts w:hint="eastAsia" w:ascii="仿宋_GB2312" w:hAnsi="仿宋_GB2312" w:eastAsia="仿宋_GB2312" w:cs="仿宋_GB2312"/>
          <w:sz w:val="32"/>
          <w:szCs w:val="32"/>
          <w:lang w:val="zh-CN"/>
        </w:rPr>
        <w:t>。</w:t>
      </w:r>
    </w:p>
    <w:p w14:paraId="4918724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19.社会保障和就业支出（类）就业补助（款）其他就业补助支出（项）:支出决算数为0.00万元，比上年决算减少1.80万元，下降100%，主要原因是：</w:t>
      </w:r>
      <w:r>
        <w:rPr>
          <w:rFonts w:hint="eastAsia" w:ascii="仿宋_GB2312" w:hAnsi="仿宋_GB2312" w:eastAsia="仿宋_GB2312" w:cs="仿宋_GB2312"/>
          <w:sz w:val="32"/>
          <w:szCs w:val="32"/>
          <w:lang w:val="zh-CN"/>
        </w:rPr>
        <w:t>本年减少新疆地方农牧区投递员专项补贴资金。</w:t>
      </w:r>
    </w:p>
    <w:p w14:paraId="49E62C3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20.卫生健康支出（类）行政事业单位医疗（款）事业单位医疗（项）:支出决算数为0.00万元，比上年决算减少10.15万元，下降100%，主要原因是：</w:t>
      </w:r>
      <w:r>
        <w:rPr>
          <w:rFonts w:hint="eastAsia" w:ascii="仿宋_GB2312" w:hAnsi="仿宋_GB2312" w:eastAsia="仿宋_GB2312" w:cs="仿宋_GB2312"/>
          <w:sz w:val="32"/>
          <w:szCs w:val="32"/>
          <w:lang w:val="zh-CN"/>
        </w:rPr>
        <w:t>本年此科目减少职工基本医疗保险缴费。</w:t>
      </w:r>
    </w:p>
    <w:p w14:paraId="1E3B534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21.一般公共服务支出（类）发展与改革事务（款）行政运行（项）:支出决算数为0.00万元，比上年决算减少0.40万元，下降100%，主要原因是：</w:t>
      </w:r>
      <w:r>
        <w:rPr>
          <w:rFonts w:hint="eastAsia" w:ascii="仿宋_GB2312" w:hAnsi="仿宋_GB2312" w:eastAsia="仿宋_GB2312" w:cs="仿宋_GB2312"/>
          <w:sz w:val="32"/>
          <w:szCs w:val="32"/>
          <w:lang w:val="zh-CN"/>
        </w:rPr>
        <w:t>本年此科目减少生活补助。</w:t>
      </w:r>
    </w:p>
    <w:p w14:paraId="64F6E36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E7F802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458.56万元，其中：人员经费448.16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2C640A72">
      <w:pPr>
        <w:ind w:firstLine="640" w:firstLineChars="200"/>
        <w:jc w:val="left"/>
        <w:rPr>
          <w:rFonts w:ascii="仿宋_GB2312" w:eastAsia="仿宋_GB2312"/>
          <w:sz w:val="32"/>
          <w:szCs w:val="32"/>
        </w:rPr>
      </w:pPr>
      <w:r>
        <w:rPr>
          <w:rFonts w:hint="eastAsia" w:ascii="仿宋_GB2312" w:eastAsia="仿宋_GB2312"/>
          <w:sz w:val="32"/>
          <w:szCs w:val="32"/>
        </w:rPr>
        <w:t>公用经费10.40万元，包括：办公费、水费、电费、差旅费、维修（护）费、公务用车运行维护费。</w:t>
      </w:r>
    </w:p>
    <w:p w14:paraId="14F18CC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1B1C4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“三公”经费支出1.80万元，</w:t>
      </w:r>
      <w:r>
        <w:rPr>
          <w:rFonts w:hint="eastAsia" w:ascii="仿宋_GB2312" w:eastAsia="仿宋_GB2312"/>
          <w:sz w:val="32"/>
          <w:szCs w:val="32"/>
        </w:rPr>
        <w:t>比上年</w:t>
      </w:r>
      <w:r>
        <w:rPr>
          <w:rFonts w:hint="eastAsia" w:ascii="仿宋_GB2312" w:eastAsia="仿宋_GB2312"/>
          <w:sz w:val="32"/>
          <w:szCs w:val="32"/>
          <w:lang w:val="zh-CN"/>
        </w:rPr>
        <w:t>增加0.80万元，</w:t>
      </w:r>
      <w:r>
        <w:rPr>
          <w:rFonts w:hint="eastAsia" w:ascii="仿宋_GB2312" w:eastAsia="仿宋_GB2312"/>
          <w:sz w:val="32"/>
          <w:szCs w:val="32"/>
        </w:rPr>
        <w:t>增长80.00%,</w:t>
      </w:r>
      <w:r>
        <w:rPr>
          <w:rFonts w:hint="eastAsia" w:ascii="仿宋_GB2312" w:eastAsia="仿宋_GB2312"/>
          <w:sz w:val="32"/>
          <w:szCs w:val="32"/>
          <w:lang w:val="zh-CN"/>
        </w:rPr>
        <w:t>主要原因是：</w:t>
      </w:r>
      <w:r>
        <w:rPr>
          <w:rFonts w:hint="eastAsia" w:ascii="仿宋_GB2312" w:eastAsia="仿宋_GB2312"/>
          <w:sz w:val="32"/>
          <w:szCs w:val="32"/>
        </w:rPr>
        <w:t>本年出行次数增加，车辆燃油费、维修维护费增加</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主要原因是：本年单位无此项经费；公务用车购置及运行维护费支出1.80万元，占100.00%，比上年增加0.80万元，</w:t>
      </w:r>
      <w:r>
        <w:rPr>
          <w:rFonts w:hint="eastAsia" w:ascii="仿宋_GB2312" w:eastAsia="仿宋_GB2312"/>
          <w:sz w:val="32"/>
          <w:szCs w:val="32"/>
        </w:rPr>
        <w:t>增长80.00%,</w:t>
      </w:r>
      <w:r>
        <w:rPr>
          <w:rFonts w:hint="eastAsia" w:ascii="仿宋_GB2312" w:eastAsia="仿宋_GB2312"/>
          <w:sz w:val="32"/>
          <w:szCs w:val="32"/>
          <w:lang w:val="zh-CN"/>
        </w:rPr>
        <w:t>主要原因是：</w:t>
      </w:r>
      <w:r>
        <w:rPr>
          <w:rFonts w:hint="eastAsia" w:ascii="仿宋_GB2312" w:eastAsia="仿宋_GB2312"/>
          <w:sz w:val="32"/>
          <w:szCs w:val="32"/>
        </w:rPr>
        <w:t>本年出行次数增加，车辆燃油费、维修维护费增加</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6BBAC47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7100DB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3DEA91A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1.80万元，其中：公务用车购置费0.00万元，公务用车运行维护费1.80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6AE17BD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6759DE3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预算数2.40万元，决算数1.80万元，预决算差异率-25.00%，主要原因是：</w:t>
      </w:r>
      <w:r>
        <w:rPr>
          <w:rFonts w:hint="eastAsia" w:ascii="仿宋_GB2312" w:eastAsia="仿宋_GB2312"/>
          <w:sz w:val="32"/>
          <w:szCs w:val="32"/>
        </w:rPr>
        <w:t>单位本年车辆燃油费、维修费等实际支出数小于全年预算安排资金</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预算数2.40万元，决算数1.80万元，预决算差异率-25.00%，主要原因是：</w:t>
      </w:r>
      <w:r>
        <w:rPr>
          <w:rFonts w:hint="eastAsia" w:ascii="仿宋_GB2312" w:eastAsia="仿宋_GB2312"/>
          <w:sz w:val="32"/>
          <w:szCs w:val="32"/>
        </w:rPr>
        <w:t>单位本年车辆燃油费、维修费等实际支出数小于全年预算安排资金</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7DAE0964">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8AB2A61">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985983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52C582F">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13FC888">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66FCF1DB">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0D74058">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奇台县商务和工业信息化局（行政单位和参照公务员法管理事业单位）机关运行经费支出10.40万元，</w:t>
      </w:r>
      <w:r>
        <w:rPr>
          <w:rFonts w:hint="eastAsia" w:ascii="仿宋_GB2312" w:hAnsi="仿宋_GB2312" w:eastAsia="仿宋_GB2312" w:cs="仿宋_GB2312"/>
          <w:sz w:val="32"/>
          <w:szCs w:val="32"/>
          <w:lang w:val="zh-CN"/>
        </w:rPr>
        <w:t>比上年减少58.44万元，下降84.89%，主要原因是：</w:t>
      </w:r>
      <w:r>
        <w:rPr>
          <w:rFonts w:hint="eastAsia" w:ascii="仿宋_GB2312" w:hAnsi="仿宋_GB2312" w:eastAsia="仿宋_GB2312" w:cs="仿宋_GB2312"/>
          <w:sz w:val="32"/>
          <w:szCs w:val="32"/>
        </w:rPr>
        <w:t>本年</w:t>
      </w:r>
      <w:r>
        <w:rPr>
          <w:rFonts w:hint="eastAsia" w:ascii="仿宋_GB2312" w:eastAsia="仿宋_GB2312"/>
          <w:sz w:val="32"/>
          <w:szCs w:val="32"/>
        </w:rPr>
        <w:t>办公费、水电费和差旅费减少</w:t>
      </w:r>
      <w:r>
        <w:rPr>
          <w:rFonts w:hint="eastAsia" w:ascii="仿宋_GB2312" w:hAnsi="仿宋_GB2312" w:eastAsia="仿宋_GB2312" w:cs="仿宋_GB2312"/>
          <w:sz w:val="32"/>
          <w:szCs w:val="32"/>
          <w:lang w:val="zh-CN"/>
        </w:rPr>
        <w:t>。</w:t>
      </w:r>
    </w:p>
    <w:p w14:paraId="2CCC2505">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EB4FB5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2023年度政府采购支出总额618.23万元，其中：政府采购货物支出9.13万元、政府采购工程支出0.00万元、政府采购服务支出609.09万元。</w:t>
      </w:r>
    </w:p>
    <w:p w14:paraId="701C3B1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授予中小企业合同金额618.23万元，占政府采购支出总额的100.00%，其中：授予小微企业合同金额618.23万元，占政府采购支出总额的100.00%</w:t>
      </w:r>
      <w:r>
        <w:rPr>
          <w:rFonts w:hint="eastAsia" w:ascii="仿宋_GB2312" w:hAnsi="仿宋_GB2312" w:eastAsia="仿宋_GB2312" w:cs="仿宋_GB2312"/>
          <w:sz w:val="32"/>
          <w:szCs w:val="32"/>
        </w:rPr>
        <w:t>。</w:t>
      </w:r>
    </w:p>
    <w:p w14:paraId="06139117">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37B1C79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999.26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屋1,418.73平方米，价值717.94万元。车辆3辆，价值51.46万元，其中：副部（省）级及以上领导用车0辆、主要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A42DA73">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31C34B84">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3,933.73</w:t>
      </w:r>
      <w:r>
        <w:rPr>
          <w:rFonts w:hint="eastAsia" w:ascii="仿宋_GB2312" w:eastAsia="仿宋_GB2312"/>
          <w:sz w:val="32"/>
          <w:szCs w:val="32"/>
        </w:rPr>
        <w:t>万元，实际执行总额</w:t>
      </w:r>
      <w:r>
        <w:rPr>
          <w:rFonts w:ascii="仿宋_GB2312" w:eastAsia="仿宋_GB2312"/>
          <w:sz w:val="32"/>
          <w:szCs w:val="32"/>
        </w:rPr>
        <w:t>3,915.51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1</w:t>
      </w:r>
      <w:r>
        <w:rPr>
          <w:rFonts w:hint="eastAsia" w:ascii="仿宋_GB2312" w:eastAsia="仿宋_GB2312"/>
          <w:sz w:val="32"/>
          <w:szCs w:val="32"/>
        </w:rPr>
        <w:t>4个，全年预算数</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561.7</w:t>
      </w:r>
      <w:r>
        <w:rPr>
          <w:rFonts w:hint="eastAsia" w:ascii="仿宋_GB2312" w:eastAsia="仿宋_GB2312"/>
          <w:sz w:val="32"/>
          <w:szCs w:val="32"/>
        </w:rPr>
        <w:t>0万元，全年执行数</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048.28</w:t>
      </w:r>
      <w:r>
        <w:rPr>
          <w:rFonts w:hint="eastAsia" w:ascii="仿宋_GB2312" w:eastAsia="仿宋_GB2312"/>
          <w:sz w:val="32"/>
          <w:szCs w:val="32"/>
        </w:rPr>
        <w:t>万元。预算绩效管理取得的成效：一是通过实施预算绩效管理，部门能够更好地跟踪和评估资金使用情况，及时发现问题并采取措施加以改进，从而提高了财政资金的使用效率；二是建立了全方位、全过程、全覆盖的预算绩效管理体系，实现了对财政资金的全程管理和控制。发现的问题及原因：一是部门缺乏管理意识，预算绩效管理理念薄弱；二是部门预算绩效管理缺乏专业人员。下一步改进措施：</w:t>
      </w:r>
      <w:r>
        <w:rPr>
          <w:rFonts w:hint="eastAsia" w:ascii="仿宋_GB2312" w:hAnsi="宋体" w:eastAsia="仿宋_GB2312"/>
          <w:sz w:val="32"/>
          <w:szCs w:val="32"/>
        </w:rPr>
        <w:t>一是通过培训提高单位主要领导对预算绩效管理的认识，使其充分认识到预算绩效管理，是单位内部控制小可缺少的部分，是实现单位发展规划、最大限度发挥单位职能和完成年度目标任务的有效手段；二是对单位项目负责人及预算管理人员加强业务培训，提高预算绩效管理政策理解和综合协调能力</w:t>
      </w:r>
      <w:r>
        <w:rPr>
          <w:rFonts w:hint="eastAsia" w:ascii="仿宋_GB2312" w:eastAsia="仿宋_GB2312"/>
          <w:sz w:val="32"/>
          <w:szCs w:val="32"/>
        </w:rPr>
        <w:t>。具体项目自评情况附绩效自评表及自评报告。</w:t>
      </w:r>
    </w:p>
    <w:p w14:paraId="2C34C359">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F36F03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7E6E17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9AB5C3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DFE17E1">
            <w:pPr>
              <w:jc w:val="center"/>
            </w:pPr>
            <w:r>
              <w:rPr>
                <w:rFonts w:ascii="宋体" w:hAnsi="宋体"/>
                <w:sz w:val="18"/>
              </w:rPr>
              <w:t>奇台县商务和工业信息化局</w:t>
            </w:r>
          </w:p>
        </w:tc>
      </w:tr>
      <w:tr w14:paraId="0F4259F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654E9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C845941">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C611C7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348E7CE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95AFBF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2802BB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A19B2D1">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6EDE3A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70FB267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F819D8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A857DF1">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5E3D530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1A80504">
            <w:pPr>
              <w:jc w:val="center"/>
            </w:pPr>
            <w:r>
              <w:rPr>
                <w:rFonts w:ascii="宋体" w:hAnsi="宋体"/>
                <w:sz w:val="18"/>
              </w:rPr>
              <w:t>563.00</w:t>
            </w:r>
          </w:p>
        </w:tc>
        <w:tc>
          <w:tcPr>
            <w:tcW w:w="1701" w:type="dxa"/>
            <w:tcBorders>
              <w:top w:val="nil"/>
              <w:left w:val="nil"/>
              <w:bottom w:val="single" w:color="auto" w:sz="4" w:space="0"/>
              <w:right w:val="single" w:color="auto" w:sz="4" w:space="0"/>
            </w:tcBorders>
            <w:shd w:val="clear" w:color="auto" w:fill="auto"/>
            <w:vAlign w:val="center"/>
          </w:tcPr>
          <w:p w14:paraId="55D56EDA">
            <w:pPr>
              <w:jc w:val="center"/>
            </w:pPr>
            <w:r>
              <w:rPr>
                <w:rFonts w:ascii="宋体" w:hAnsi="宋体"/>
                <w:sz w:val="18"/>
              </w:rPr>
              <w:t>563.00</w:t>
            </w:r>
          </w:p>
        </w:tc>
        <w:tc>
          <w:tcPr>
            <w:tcW w:w="1134" w:type="dxa"/>
            <w:tcBorders>
              <w:top w:val="nil"/>
              <w:left w:val="nil"/>
              <w:bottom w:val="single" w:color="auto" w:sz="4" w:space="0"/>
              <w:right w:val="single" w:color="auto" w:sz="4" w:space="0"/>
            </w:tcBorders>
            <w:shd w:val="clear" w:color="auto" w:fill="auto"/>
            <w:vAlign w:val="center"/>
          </w:tcPr>
          <w:p w14:paraId="780A798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44E55C87">
            <w:pPr>
              <w:jc w:val="center"/>
            </w:pPr>
            <w:r>
              <w:rPr>
                <w:rFonts w:ascii="宋体" w:hAnsi="宋体"/>
                <w:sz w:val="18"/>
              </w:rPr>
              <w:t>99.54%</w:t>
            </w:r>
          </w:p>
        </w:tc>
        <w:tc>
          <w:tcPr>
            <w:tcW w:w="720" w:type="dxa"/>
            <w:tcBorders>
              <w:top w:val="nil"/>
              <w:left w:val="nil"/>
              <w:bottom w:val="single" w:color="auto" w:sz="4" w:space="0"/>
              <w:right w:val="single" w:color="auto" w:sz="4" w:space="0"/>
            </w:tcBorders>
            <w:shd w:val="clear" w:color="auto" w:fill="auto"/>
            <w:vAlign w:val="center"/>
          </w:tcPr>
          <w:p w14:paraId="2E1B8647">
            <w:pPr>
              <w:jc w:val="center"/>
            </w:pPr>
            <w:r>
              <w:rPr>
                <w:rFonts w:ascii="宋体" w:hAnsi="宋体"/>
                <w:sz w:val="18"/>
              </w:rPr>
              <w:t>9.95</w:t>
            </w:r>
          </w:p>
        </w:tc>
      </w:tr>
      <w:tr w14:paraId="110E3D5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FF607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923DEA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022E7B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6205956">
            <w:pPr>
              <w:jc w:val="center"/>
            </w:pPr>
            <w:r>
              <w:rPr>
                <w:rFonts w:ascii="宋体" w:hAnsi="宋体"/>
                <w:sz w:val="18"/>
              </w:rPr>
              <w:t>26.00</w:t>
            </w:r>
          </w:p>
        </w:tc>
        <w:tc>
          <w:tcPr>
            <w:tcW w:w="1701" w:type="dxa"/>
            <w:tcBorders>
              <w:top w:val="nil"/>
              <w:left w:val="nil"/>
              <w:bottom w:val="single" w:color="auto" w:sz="4" w:space="0"/>
              <w:right w:val="single" w:color="auto" w:sz="4" w:space="0"/>
            </w:tcBorders>
            <w:shd w:val="clear" w:color="auto" w:fill="auto"/>
            <w:vAlign w:val="center"/>
          </w:tcPr>
          <w:p w14:paraId="220FE37A">
            <w:pPr>
              <w:jc w:val="center"/>
            </w:pPr>
            <w:r>
              <w:rPr>
                <w:rFonts w:ascii="宋体" w:hAnsi="宋体"/>
                <w:sz w:val="18"/>
              </w:rPr>
              <w:t>26.00</w:t>
            </w:r>
          </w:p>
        </w:tc>
        <w:tc>
          <w:tcPr>
            <w:tcW w:w="1134" w:type="dxa"/>
            <w:tcBorders>
              <w:top w:val="nil"/>
              <w:left w:val="nil"/>
              <w:bottom w:val="single" w:color="auto" w:sz="4" w:space="0"/>
              <w:right w:val="single" w:color="auto" w:sz="4" w:space="0"/>
            </w:tcBorders>
            <w:shd w:val="clear" w:color="auto" w:fill="auto"/>
            <w:vAlign w:val="center"/>
          </w:tcPr>
          <w:p w14:paraId="569691B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961F85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E821FE3">
            <w:pPr>
              <w:widowControl/>
              <w:jc w:val="center"/>
              <w:rPr>
                <w:rFonts w:hint="eastAsia" w:ascii="宋体" w:hAnsi="宋体" w:cs="宋体"/>
                <w:kern w:val="0"/>
                <w:sz w:val="18"/>
                <w:szCs w:val="18"/>
              </w:rPr>
            </w:pPr>
            <w:r>
              <w:rPr>
                <w:rFonts w:hint="eastAsia" w:ascii="宋体" w:hAnsi="宋体"/>
                <w:sz w:val="18"/>
                <w:szCs w:val="18"/>
              </w:rPr>
              <w:t>-</w:t>
            </w:r>
          </w:p>
        </w:tc>
      </w:tr>
      <w:tr w14:paraId="281E875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538EB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96DC1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108667DA">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F4AD597">
            <w:pPr>
              <w:jc w:val="center"/>
            </w:pPr>
            <w:r>
              <w:rPr>
                <w:rFonts w:ascii="宋体" w:hAnsi="宋体"/>
                <w:sz w:val="18"/>
              </w:rPr>
              <w:t>36.80</w:t>
            </w:r>
          </w:p>
        </w:tc>
        <w:tc>
          <w:tcPr>
            <w:tcW w:w="1701" w:type="dxa"/>
            <w:tcBorders>
              <w:top w:val="nil"/>
              <w:left w:val="nil"/>
              <w:bottom w:val="single" w:color="auto" w:sz="4" w:space="0"/>
              <w:right w:val="single" w:color="auto" w:sz="4" w:space="0"/>
            </w:tcBorders>
            <w:shd w:val="clear" w:color="auto" w:fill="auto"/>
            <w:vAlign w:val="center"/>
          </w:tcPr>
          <w:p w14:paraId="44F0A898">
            <w:pPr>
              <w:jc w:val="center"/>
            </w:pPr>
            <w:r>
              <w:rPr>
                <w:rFonts w:ascii="宋体" w:hAnsi="宋体"/>
                <w:sz w:val="18"/>
              </w:rPr>
              <w:t>36.80</w:t>
            </w:r>
          </w:p>
        </w:tc>
        <w:tc>
          <w:tcPr>
            <w:tcW w:w="1134" w:type="dxa"/>
            <w:tcBorders>
              <w:top w:val="nil"/>
              <w:left w:val="nil"/>
              <w:bottom w:val="single" w:color="auto" w:sz="4" w:space="0"/>
              <w:right w:val="single" w:color="auto" w:sz="4" w:space="0"/>
            </w:tcBorders>
            <w:shd w:val="clear" w:color="auto" w:fill="auto"/>
            <w:vAlign w:val="center"/>
          </w:tcPr>
          <w:p w14:paraId="5F80A58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55B5C3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CECEBC9">
            <w:pPr>
              <w:widowControl/>
              <w:jc w:val="center"/>
              <w:rPr>
                <w:rFonts w:hint="eastAsia" w:ascii="宋体" w:hAnsi="宋体" w:cs="宋体"/>
                <w:kern w:val="0"/>
                <w:sz w:val="18"/>
                <w:szCs w:val="18"/>
              </w:rPr>
            </w:pPr>
            <w:r>
              <w:rPr>
                <w:rFonts w:hint="eastAsia" w:ascii="宋体" w:hAnsi="宋体"/>
                <w:sz w:val="18"/>
                <w:szCs w:val="18"/>
              </w:rPr>
              <w:t>-</w:t>
            </w:r>
          </w:p>
        </w:tc>
      </w:tr>
      <w:tr w14:paraId="5743264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3BD2A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00E132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701DD58">
            <w:pPr>
              <w:jc w:val="center"/>
            </w:pPr>
            <w:r>
              <w:rPr>
                <w:rFonts w:ascii="宋体" w:hAnsi="宋体"/>
                <w:sz w:val="18"/>
              </w:rPr>
              <w:t>1,378.84</w:t>
            </w:r>
          </w:p>
        </w:tc>
        <w:tc>
          <w:tcPr>
            <w:tcW w:w="1276" w:type="dxa"/>
            <w:tcBorders>
              <w:top w:val="nil"/>
              <w:left w:val="nil"/>
              <w:bottom w:val="single" w:color="auto" w:sz="4" w:space="0"/>
              <w:right w:val="single" w:color="auto" w:sz="4" w:space="0"/>
            </w:tcBorders>
            <w:shd w:val="clear" w:color="auto" w:fill="auto"/>
            <w:vAlign w:val="center"/>
          </w:tcPr>
          <w:p w14:paraId="0D953D75">
            <w:pPr>
              <w:jc w:val="center"/>
            </w:pPr>
            <w:r>
              <w:rPr>
                <w:rFonts w:ascii="宋体" w:hAnsi="宋体"/>
                <w:sz w:val="18"/>
              </w:rPr>
              <w:t>2,587.11</w:t>
            </w:r>
          </w:p>
        </w:tc>
        <w:tc>
          <w:tcPr>
            <w:tcW w:w="1701" w:type="dxa"/>
            <w:tcBorders>
              <w:top w:val="nil"/>
              <w:left w:val="nil"/>
              <w:bottom w:val="single" w:color="auto" w:sz="4" w:space="0"/>
              <w:right w:val="single" w:color="auto" w:sz="4" w:space="0"/>
            </w:tcBorders>
            <w:shd w:val="clear" w:color="auto" w:fill="auto"/>
            <w:vAlign w:val="center"/>
          </w:tcPr>
          <w:p w14:paraId="316365BB">
            <w:pPr>
              <w:jc w:val="center"/>
            </w:pPr>
            <w:r>
              <w:rPr>
                <w:rFonts w:ascii="宋体" w:hAnsi="宋体"/>
                <w:sz w:val="18"/>
              </w:rPr>
              <w:t>2,587.11</w:t>
            </w:r>
          </w:p>
        </w:tc>
        <w:tc>
          <w:tcPr>
            <w:tcW w:w="1134" w:type="dxa"/>
            <w:tcBorders>
              <w:top w:val="nil"/>
              <w:left w:val="nil"/>
              <w:bottom w:val="single" w:color="auto" w:sz="4" w:space="0"/>
              <w:right w:val="single" w:color="auto" w:sz="4" w:space="0"/>
            </w:tcBorders>
            <w:shd w:val="clear" w:color="auto" w:fill="auto"/>
            <w:vAlign w:val="center"/>
          </w:tcPr>
          <w:p w14:paraId="4D42819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B7147D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3DE6E8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FC52B07">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21627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9CA564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25DAC3A">
            <w:pPr>
              <w:jc w:val="center"/>
            </w:pPr>
            <w:r>
              <w:rPr>
                <w:rFonts w:ascii="宋体" w:hAnsi="宋体"/>
                <w:sz w:val="18"/>
              </w:rPr>
              <w:t>540.57</w:t>
            </w:r>
          </w:p>
        </w:tc>
        <w:tc>
          <w:tcPr>
            <w:tcW w:w="1276" w:type="dxa"/>
            <w:tcBorders>
              <w:top w:val="nil"/>
              <w:left w:val="nil"/>
              <w:bottom w:val="single" w:color="auto" w:sz="4" w:space="0"/>
              <w:right w:val="single" w:color="auto" w:sz="4" w:space="0"/>
            </w:tcBorders>
            <w:shd w:val="clear" w:color="auto" w:fill="auto"/>
            <w:vAlign w:val="center"/>
          </w:tcPr>
          <w:p w14:paraId="4EA50842">
            <w:pPr>
              <w:jc w:val="center"/>
            </w:pPr>
            <w:r>
              <w:rPr>
                <w:rFonts w:ascii="宋体" w:hAnsi="宋体"/>
                <w:sz w:val="18"/>
              </w:rPr>
              <w:t>720.82</w:t>
            </w:r>
          </w:p>
        </w:tc>
        <w:tc>
          <w:tcPr>
            <w:tcW w:w="1701" w:type="dxa"/>
            <w:tcBorders>
              <w:top w:val="nil"/>
              <w:left w:val="nil"/>
              <w:bottom w:val="single" w:color="auto" w:sz="4" w:space="0"/>
              <w:right w:val="single" w:color="auto" w:sz="4" w:space="0"/>
            </w:tcBorders>
            <w:shd w:val="clear" w:color="auto" w:fill="auto"/>
            <w:vAlign w:val="center"/>
          </w:tcPr>
          <w:p w14:paraId="2C3AA7FD">
            <w:pPr>
              <w:jc w:val="center"/>
            </w:pPr>
            <w:r>
              <w:rPr>
                <w:rFonts w:ascii="宋体" w:hAnsi="宋体"/>
                <w:sz w:val="18"/>
              </w:rPr>
              <w:t>702.60</w:t>
            </w:r>
          </w:p>
        </w:tc>
        <w:tc>
          <w:tcPr>
            <w:tcW w:w="1134" w:type="dxa"/>
            <w:tcBorders>
              <w:top w:val="nil"/>
              <w:left w:val="nil"/>
              <w:bottom w:val="single" w:color="auto" w:sz="4" w:space="0"/>
              <w:right w:val="single" w:color="auto" w:sz="4" w:space="0"/>
            </w:tcBorders>
            <w:shd w:val="clear" w:color="auto" w:fill="auto"/>
            <w:vAlign w:val="center"/>
          </w:tcPr>
          <w:p w14:paraId="614B70D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63509C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BC5D690">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EFA208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1087C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735CE23">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631DD51">
            <w:pPr>
              <w:jc w:val="center"/>
            </w:pPr>
            <w:r>
              <w:rPr>
                <w:rFonts w:ascii="宋体" w:hAnsi="宋体"/>
                <w:sz w:val="18"/>
              </w:rPr>
              <w:t>1,919.41</w:t>
            </w:r>
          </w:p>
        </w:tc>
        <w:tc>
          <w:tcPr>
            <w:tcW w:w="1276" w:type="dxa"/>
            <w:tcBorders>
              <w:top w:val="nil"/>
              <w:left w:val="nil"/>
              <w:bottom w:val="single" w:color="auto" w:sz="4" w:space="0"/>
              <w:right w:val="single" w:color="auto" w:sz="4" w:space="0"/>
            </w:tcBorders>
            <w:shd w:val="clear" w:color="auto" w:fill="auto"/>
            <w:vAlign w:val="center"/>
          </w:tcPr>
          <w:p w14:paraId="72046D00">
            <w:pPr>
              <w:jc w:val="center"/>
            </w:pPr>
            <w:r>
              <w:rPr>
                <w:rFonts w:ascii="宋体" w:hAnsi="宋体"/>
                <w:sz w:val="18"/>
              </w:rPr>
              <w:t>3,933.73</w:t>
            </w:r>
          </w:p>
        </w:tc>
        <w:tc>
          <w:tcPr>
            <w:tcW w:w="1701" w:type="dxa"/>
            <w:tcBorders>
              <w:top w:val="nil"/>
              <w:left w:val="nil"/>
              <w:bottom w:val="single" w:color="auto" w:sz="4" w:space="0"/>
              <w:right w:val="single" w:color="auto" w:sz="4" w:space="0"/>
            </w:tcBorders>
            <w:shd w:val="clear" w:color="auto" w:fill="auto"/>
            <w:vAlign w:val="center"/>
          </w:tcPr>
          <w:p w14:paraId="2ED68D84">
            <w:pPr>
              <w:jc w:val="center"/>
            </w:pPr>
            <w:r>
              <w:rPr>
                <w:rFonts w:ascii="宋体" w:hAnsi="宋体"/>
                <w:sz w:val="18"/>
              </w:rPr>
              <w:t>3,915.51</w:t>
            </w:r>
          </w:p>
        </w:tc>
        <w:tc>
          <w:tcPr>
            <w:tcW w:w="1134" w:type="dxa"/>
            <w:tcBorders>
              <w:top w:val="nil"/>
              <w:left w:val="nil"/>
              <w:bottom w:val="single" w:color="auto" w:sz="4" w:space="0"/>
              <w:right w:val="single" w:color="auto" w:sz="4" w:space="0"/>
            </w:tcBorders>
            <w:shd w:val="clear" w:color="auto" w:fill="auto"/>
            <w:vAlign w:val="center"/>
          </w:tcPr>
          <w:p w14:paraId="77FFC5C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A5493A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9B06407">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699287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BEDFE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71A0098A">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239AD99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162D532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B2AEE1">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DEBD06C">
            <w:pPr>
              <w:jc w:val="left"/>
            </w:pPr>
            <w:r>
              <w:rPr>
                <w:rFonts w:ascii="宋体" w:hAnsi="宋体"/>
                <w:sz w:val="18"/>
              </w:rPr>
              <w:t>一是贯彻落实党的二十大精神，锚定目标谋新篇；二是加快“百亿产业”打造力度，促进重点产业提质增效实现新发展；三是深化扶企服企能力建设，加快培育经济增长点获得新突破；四是有效提升企业服务能力，推动招商引资工作取得新发展；五是加强招商引资项目谋划、做实做深精准招商获得新进展；六是抓牢抓实重点工作落实，多措并举促进商贸经济展现新气象；七是优化整合县域电商资源，加快人才效应助力经济释放新活力。</w:t>
            </w:r>
          </w:p>
        </w:tc>
        <w:tc>
          <w:tcPr>
            <w:tcW w:w="4547" w:type="dxa"/>
            <w:gridSpan w:val="4"/>
            <w:tcBorders>
              <w:top w:val="single" w:color="auto" w:sz="4" w:space="0"/>
              <w:left w:val="nil"/>
              <w:bottom w:val="single" w:color="auto" w:sz="4" w:space="0"/>
              <w:right w:val="single" w:color="auto" w:sz="4" w:space="0"/>
            </w:tcBorders>
            <w:shd w:val="clear" w:color="auto" w:fill="auto"/>
          </w:tcPr>
          <w:p w14:paraId="4AA77B2D">
            <w:pPr>
              <w:jc w:val="left"/>
            </w:pPr>
            <w:r>
              <w:rPr>
                <w:rFonts w:ascii="宋体" w:hAnsi="宋体"/>
                <w:sz w:val="18"/>
              </w:rPr>
              <w:t>2023年以来，奇台县商务和工业信息化局紧紧围绕“双五”奋斗目标、“六大主导产业”、“六大振兴举措”和“一体两翼”发展格局，锚定年初目标任务，团结一心、勇毅担当，努力推动工业经济、招商引资、商贸流通、电子商务等工作实现新跨越。党政主要领导带队外出招商6次，积极组织本地企业参加518海交会、618海创会、商博会、98投洽会等4次外出招商推介展会，举办2023年直播培训班5期，重点孵化本地优秀电商达人8人，培育直播示范企业3家，打造标准化直播间2间。</w:t>
            </w:r>
          </w:p>
        </w:tc>
      </w:tr>
      <w:tr w14:paraId="5F34CD1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3DCB96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5C21012">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0EF3FF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157657ED">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7817ED78">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8FE14A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66AE81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5E57892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1D1F1C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7ABFEB7">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C57576B">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DC192C3">
            <w:pPr>
              <w:jc w:val="center"/>
            </w:pPr>
            <w:r>
              <w:rPr>
                <w:rFonts w:ascii="宋体" w:hAnsi="宋体"/>
                <w:sz w:val="18"/>
              </w:rPr>
              <w:t>党政主要领导带队外出精准招商次数</w:t>
            </w:r>
          </w:p>
        </w:tc>
        <w:tc>
          <w:tcPr>
            <w:tcW w:w="1276" w:type="dxa"/>
            <w:tcBorders>
              <w:top w:val="nil"/>
              <w:left w:val="nil"/>
              <w:bottom w:val="single" w:color="auto" w:sz="4" w:space="0"/>
              <w:right w:val="single" w:color="auto" w:sz="4" w:space="0"/>
            </w:tcBorders>
            <w:shd w:val="clear" w:color="auto" w:fill="auto"/>
            <w:noWrap/>
            <w:vAlign w:val="center"/>
          </w:tcPr>
          <w:p w14:paraId="36283C73">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40A3DA20">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8F3C900">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14:paraId="6B72FADC">
            <w:pPr>
              <w:jc w:val="center"/>
            </w:pPr>
            <w:r>
              <w:rPr>
                <w:rFonts w:ascii="宋体" w:hAnsi="宋体"/>
                <w:sz w:val="18"/>
              </w:rPr>
              <w:t>6次</w:t>
            </w:r>
          </w:p>
        </w:tc>
        <w:tc>
          <w:tcPr>
            <w:tcW w:w="720" w:type="dxa"/>
            <w:tcBorders>
              <w:top w:val="nil"/>
              <w:left w:val="nil"/>
              <w:bottom w:val="single" w:color="auto" w:sz="4" w:space="0"/>
              <w:right w:val="single" w:color="auto" w:sz="4" w:space="0"/>
            </w:tcBorders>
            <w:shd w:val="clear" w:color="auto" w:fill="auto"/>
            <w:noWrap/>
            <w:vAlign w:val="center"/>
          </w:tcPr>
          <w:p w14:paraId="350EBF69">
            <w:pPr>
              <w:jc w:val="center"/>
            </w:pPr>
            <w:r>
              <w:rPr>
                <w:rFonts w:ascii="宋体" w:hAnsi="宋体"/>
                <w:sz w:val="18"/>
              </w:rPr>
              <w:t>23</w:t>
            </w:r>
          </w:p>
        </w:tc>
      </w:tr>
      <w:tr w14:paraId="26E1DA1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35B9A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E1F613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4E1E50F">
            <w:pPr>
              <w:jc w:val="center"/>
            </w:pPr>
            <w:r>
              <w:rPr>
                <w:rFonts w:ascii="宋体" w:hAnsi="宋体"/>
                <w:sz w:val="18"/>
              </w:rPr>
              <w:t>外出开展招商推介次数</w:t>
            </w:r>
          </w:p>
        </w:tc>
        <w:tc>
          <w:tcPr>
            <w:tcW w:w="1276" w:type="dxa"/>
            <w:tcBorders>
              <w:top w:val="nil"/>
              <w:left w:val="nil"/>
              <w:bottom w:val="single" w:color="auto" w:sz="4" w:space="0"/>
              <w:right w:val="single" w:color="auto" w:sz="4" w:space="0"/>
            </w:tcBorders>
            <w:shd w:val="clear" w:color="auto" w:fill="auto"/>
            <w:noWrap/>
            <w:vAlign w:val="center"/>
          </w:tcPr>
          <w:p w14:paraId="691D3502">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20876F4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6C50A08">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501E8576">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3DF2CE51">
            <w:pPr>
              <w:jc w:val="center"/>
            </w:pPr>
            <w:r>
              <w:rPr>
                <w:rFonts w:ascii="宋体" w:hAnsi="宋体"/>
                <w:sz w:val="18"/>
              </w:rPr>
              <w:t>20</w:t>
            </w:r>
          </w:p>
        </w:tc>
      </w:tr>
      <w:tr w14:paraId="17E1301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783D9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CE0455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2CFFE62">
            <w:pPr>
              <w:jc w:val="center"/>
            </w:pPr>
            <w:r>
              <w:rPr>
                <w:rFonts w:ascii="宋体" w:hAnsi="宋体"/>
                <w:sz w:val="18"/>
              </w:rPr>
              <w:t>打造标准化直播间个数</w:t>
            </w:r>
          </w:p>
        </w:tc>
        <w:tc>
          <w:tcPr>
            <w:tcW w:w="1276" w:type="dxa"/>
            <w:tcBorders>
              <w:top w:val="nil"/>
              <w:left w:val="nil"/>
              <w:bottom w:val="single" w:color="auto" w:sz="4" w:space="0"/>
              <w:right w:val="single" w:color="auto" w:sz="4" w:space="0"/>
            </w:tcBorders>
            <w:shd w:val="clear" w:color="auto" w:fill="auto"/>
            <w:noWrap/>
            <w:vAlign w:val="center"/>
          </w:tcPr>
          <w:p w14:paraId="005EB3CC">
            <w:pPr>
              <w:jc w:val="center"/>
            </w:pPr>
            <w:r>
              <w:rPr>
                <w:rFonts w:ascii="宋体" w:hAnsi="宋体"/>
                <w:sz w:val="18"/>
              </w:rPr>
              <w:t>&gt;=2个</w:t>
            </w:r>
          </w:p>
        </w:tc>
        <w:tc>
          <w:tcPr>
            <w:tcW w:w="1701" w:type="dxa"/>
            <w:tcBorders>
              <w:top w:val="nil"/>
              <w:left w:val="nil"/>
              <w:bottom w:val="single" w:color="auto" w:sz="4" w:space="0"/>
              <w:right w:val="single" w:color="auto" w:sz="4" w:space="0"/>
            </w:tcBorders>
            <w:shd w:val="clear" w:color="auto" w:fill="auto"/>
            <w:noWrap/>
            <w:vAlign w:val="center"/>
          </w:tcPr>
          <w:p w14:paraId="4C24437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63C4EF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72AD37A8">
            <w:pPr>
              <w:jc w:val="center"/>
            </w:pPr>
            <w:r>
              <w:rPr>
                <w:rFonts w:ascii="宋体" w:hAnsi="宋体"/>
                <w:sz w:val="18"/>
              </w:rPr>
              <w:t>2个</w:t>
            </w:r>
          </w:p>
        </w:tc>
        <w:tc>
          <w:tcPr>
            <w:tcW w:w="720" w:type="dxa"/>
            <w:tcBorders>
              <w:top w:val="nil"/>
              <w:left w:val="nil"/>
              <w:bottom w:val="single" w:color="auto" w:sz="4" w:space="0"/>
              <w:right w:val="single" w:color="auto" w:sz="4" w:space="0"/>
            </w:tcBorders>
            <w:shd w:val="clear" w:color="auto" w:fill="auto"/>
            <w:noWrap/>
            <w:vAlign w:val="center"/>
          </w:tcPr>
          <w:p w14:paraId="7A3D2C80">
            <w:pPr>
              <w:jc w:val="center"/>
            </w:pPr>
            <w:r>
              <w:rPr>
                <w:rFonts w:ascii="宋体" w:hAnsi="宋体"/>
                <w:sz w:val="18"/>
              </w:rPr>
              <w:t>10</w:t>
            </w:r>
          </w:p>
        </w:tc>
      </w:tr>
      <w:tr w14:paraId="03E52A4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4FF03D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642A03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508A99B">
            <w:pPr>
              <w:jc w:val="center"/>
            </w:pPr>
            <w:r>
              <w:rPr>
                <w:rFonts w:ascii="宋体" w:hAnsi="宋体"/>
                <w:sz w:val="18"/>
              </w:rPr>
              <w:t>电商人才培训期数</w:t>
            </w:r>
          </w:p>
        </w:tc>
        <w:tc>
          <w:tcPr>
            <w:tcW w:w="1276" w:type="dxa"/>
            <w:tcBorders>
              <w:top w:val="nil"/>
              <w:left w:val="nil"/>
              <w:bottom w:val="single" w:color="auto" w:sz="4" w:space="0"/>
              <w:right w:val="single" w:color="auto" w:sz="4" w:space="0"/>
            </w:tcBorders>
            <w:shd w:val="clear" w:color="auto" w:fill="auto"/>
            <w:noWrap/>
            <w:vAlign w:val="center"/>
          </w:tcPr>
          <w:p w14:paraId="285F7A6C">
            <w:pPr>
              <w:jc w:val="center"/>
            </w:pPr>
            <w:r>
              <w:rPr>
                <w:rFonts w:ascii="宋体" w:hAnsi="宋体"/>
                <w:sz w:val="18"/>
              </w:rPr>
              <w:t>&gt;=5期</w:t>
            </w:r>
          </w:p>
        </w:tc>
        <w:tc>
          <w:tcPr>
            <w:tcW w:w="1701" w:type="dxa"/>
            <w:tcBorders>
              <w:top w:val="nil"/>
              <w:left w:val="nil"/>
              <w:bottom w:val="single" w:color="auto" w:sz="4" w:space="0"/>
              <w:right w:val="single" w:color="auto" w:sz="4" w:space="0"/>
            </w:tcBorders>
            <w:shd w:val="clear" w:color="auto" w:fill="auto"/>
            <w:noWrap/>
            <w:vAlign w:val="center"/>
          </w:tcPr>
          <w:p w14:paraId="71E8564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942C1D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1139CF1">
            <w:pPr>
              <w:jc w:val="center"/>
            </w:pPr>
            <w:r>
              <w:rPr>
                <w:rFonts w:ascii="宋体" w:hAnsi="宋体"/>
                <w:sz w:val="18"/>
              </w:rPr>
              <w:t>5期</w:t>
            </w:r>
          </w:p>
        </w:tc>
        <w:tc>
          <w:tcPr>
            <w:tcW w:w="720" w:type="dxa"/>
            <w:tcBorders>
              <w:top w:val="nil"/>
              <w:left w:val="nil"/>
              <w:bottom w:val="single" w:color="auto" w:sz="4" w:space="0"/>
              <w:right w:val="single" w:color="auto" w:sz="4" w:space="0"/>
            </w:tcBorders>
            <w:shd w:val="clear" w:color="auto" w:fill="auto"/>
            <w:noWrap/>
            <w:vAlign w:val="center"/>
          </w:tcPr>
          <w:p w14:paraId="38788DD0">
            <w:pPr>
              <w:jc w:val="center"/>
            </w:pPr>
            <w:r>
              <w:rPr>
                <w:rFonts w:ascii="宋体" w:hAnsi="宋体"/>
                <w:sz w:val="18"/>
              </w:rPr>
              <w:t>15</w:t>
            </w:r>
          </w:p>
        </w:tc>
      </w:tr>
      <w:tr w14:paraId="6ED4F8F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9289E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5C0522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E1CA511">
            <w:pPr>
              <w:jc w:val="center"/>
            </w:pPr>
            <w:r>
              <w:rPr>
                <w:rFonts w:ascii="宋体" w:hAnsi="宋体"/>
                <w:sz w:val="18"/>
              </w:rPr>
              <w:t>培育直播示范企业</w:t>
            </w:r>
          </w:p>
        </w:tc>
        <w:tc>
          <w:tcPr>
            <w:tcW w:w="1276" w:type="dxa"/>
            <w:tcBorders>
              <w:top w:val="nil"/>
              <w:left w:val="nil"/>
              <w:bottom w:val="single" w:color="auto" w:sz="4" w:space="0"/>
              <w:right w:val="single" w:color="auto" w:sz="4" w:space="0"/>
            </w:tcBorders>
            <w:shd w:val="clear" w:color="auto" w:fill="auto"/>
            <w:noWrap/>
            <w:vAlign w:val="center"/>
          </w:tcPr>
          <w:p w14:paraId="3BF56387">
            <w:pPr>
              <w:jc w:val="center"/>
            </w:pPr>
            <w:r>
              <w:rPr>
                <w:rFonts w:ascii="宋体" w:hAnsi="宋体"/>
                <w:sz w:val="18"/>
              </w:rPr>
              <w:t>&gt;=3家</w:t>
            </w:r>
          </w:p>
        </w:tc>
        <w:tc>
          <w:tcPr>
            <w:tcW w:w="1701" w:type="dxa"/>
            <w:tcBorders>
              <w:top w:val="nil"/>
              <w:left w:val="nil"/>
              <w:bottom w:val="single" w:color="auto" w:sz="4" w:space="0"/>
              <w:right w:val="single" w:color="auto" w:sz="4" w:space="0"/>
            </w:tcBorders>
            <w:shd w:val="clear" w:color="auto" w:fill="auto"/>
            <w:noWrap/>
            <w:vAlign w:val="center"/>
          </w:tcPr>
          <w:p w14:paraId="4FF8108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A9EE6C0">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3D07608A">
            <w:pPr>
              <w:jc w:val="center"/>
            </w:pPr>
            <w:r>
              <w:rPr>
                <w:rFonts w:ascii="宋体" w:hAnsi="宋体"/>
                <w:sz w:val="18"/>
              </w:rPr>
              <w:t>3家</w:t>
            </w:r>
          </w:p>
        </w:tc>
        <w:tc>
          <w:tcPr>
            <w:tcW w:w="720" w:type="dxa"/>
            <w:tcBorders>
              <w:top w:val="nil"/>
              <w:left w:val="nil"/>
              <w:bottom w:val="single" w:color="auto" w:sz="4" w:space="0"/>
              <w:right w:val="single" w:color="auto" w:sz="4" w:space="0"/>
            </w:tcBorders>
            <w:shd w:val="clear" w:color="auto" w:fill="auto"/>
            <w:noWrap/>
            <w:vAlign w:val="center"/>
          </w:tcPr>
          <w:p w14:paraId="5F0F73A9">
            <w:pPr>
              <w:jc w:val="center"/>
            </w:pPr>
            <w:r>
              <w:rPr>
                <w:rFonts w:ascii="宋体" w:hAnsi="宋体"/>
                <w:sz w:val="18"/>
              </w:rPr>
              <w:t>22</w:t>
            </w:r>
          </w:p>
        </w:tc>
      </w:tr>
    </w:tbl>
    <w:p w14:paraId="7B5F8B51">
      <w:pPr>
        <w:rPr>
          <w:rFonts w:hint="eastAsia" w:ascii="宋体" w:hAnsi="宋体" w:cs="宋体"/>
          <w:b/>
          <w:bCs/>
          <w:kern w:val="0"/>
          <w:sz w:val="18"/>
          <w:szCs w:val="18"/>
        </w:rPr>
      </w:pPr>
    </w:p>
    <w:p w14:paraId="1B70AB2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C637D7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C44136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221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B6351C0">
            <w:pPr>
              <w:jc w:val="center"/>
            </w:pPr>
            <w:r>
              <w:rPr>
                <w:rFonts w:ascii="宋体" w:hAnsi="宋体"/>
                <w:sz w:val="18"/>
              </w:rPr>
              <w:t>2022年中小企业专项资金</w:t>
            </w:r>
          </w:p>
        </w:tc>
      </w:tr>
      <w:tr w14:paraId="5396494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A962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F3E8E7C">
            <w:pPr>
              <w:jc w:val="center"/>
            </w:pPr>
            <w:r>
              <w:rPr>
                <w:rFonts w:ascii="宋体" w:hAnsi="宋体"/>
                <w:sz w:val="18"/>
              </w:rPr>
              <w:t>奇台县商务和工业信息化局</w:t>
            </w:r>
          </w:p>
        </w:tc>
        <w:tc>
          <w:tcPr>
            <w:tcW w:w="1275" w:type="dxa"/>
            <w:gridSpan w:val="2"/>
            <w:tcBorders>
              <w:top w:val="nil"/>
              <w:left w:val="nil"/>
              <w:bottom w:val="single" w:color="auto" w:sz="4" w:space="0"/>
              <w:right w:val="single" w:color="000000" w:sz="4" w:space="0"/>
            </w:tcBorders>
            <w:shd w:val="clear" w:color="auto" w:fill="auto"/>
            <w:vAlign w:val="center"/>
          </w:tcPr>
          <w:p w14:paraId="5DECF50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67FE58D">
            <w:pPr>
              <w:jc w:val="center"/>
            </w:pPr>
            <w:r>
              <w:rPr>
                <w:rFonts w:ascii="宋体" w:hAnsi="宋体"/>
                <w:sz w:val="18"/>
              </w:rPr>
              <w:t>奇台县商务和工业信息化局</w:t>
            </w:r>
          </w:p>
        </w:tc>
      </w:tr>
      <w:tr w14:paraId="4A2A99B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8641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7A46C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1FAC6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CB0D1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6686D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3712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EBC2A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C00F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11BBC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57D9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3DC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08F2FE">
            <w:pPr>
              <w:jc w:val="center"/>
            </w:pPr>
            <w:r>
              <w:rPr>
                <w:rFonts w:ascii="宋体" w:hAnsi="宋体"/>
                <w:sz w:val="18"/>
              </w:rPr>
              <w:t>65.00</w:t>
            </w:r>
          </w:p>
        </w:tc>
        <w:tc>
          <w:tcPr>
            <w:tcW w:w="1125" w:type="dxa"/>
            <w:tcBorders>
              <w:top w:val="nil"/>
              <w:left w:val="nil"/>
              <w:bottom w:val="single" w:color="auto" w:sz="4" w:space="0"/>
              <w:right w:val="single" w:color="auto" w:sz="4" w:space="0"/>
            </w:tcBorders>
            <w:shd w:val="clear" w:color="auto" w:fill="auto"/>
            <w:noWrap/>
            <w:vAlign w:val="center"/>
          </w:tcPr>
          <w:p w14:paraId="205EBF23">
            <w:pPr>
              <w:jc w:val="center"/>
            </w:pPr>
            <w:r>
              <w:rPr>
                <w:rFonts w:ascii="宋体" w:hAnsi="宋体"/>
                <w:sz w:val="18"/>
              </w:rPr>
              <w:t>65.00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DD7526A">
            <w:pPr>
              <w:jc w:val="center"/>
            </w:pPr>
            <w:r>
              <w:rPr>
                <w:rFonts w:ascii="宋体" w:hAnsi="宋体"/>
                <w:sz w:val="18"/>
              </w:rPr>
              <w:t>35.00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881AF4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22D4F78">
            <w:pPr>
              <w:jc w:val="center"/>
            </w:pPr>
            <w:r>
              <w:rPr>
                <w:rFonts w:ascii="宋体" w:hAnsi="宋体"/>
                <w:sz w:val="18"/>
              </w:rPr>
              <w:t>53.85%</w:t>
            </w:r>
          </w:p>
        </w:tc>
        <w:tc>
          <w:tcPr>
            <w:tcW w:w="1275" w:type="dxa"/>
            <w:tcBorders>
              <w:top w:val="nil"/>
              <w:left w:val="nil"/>
              <w:bottom w:val="single" w:color="auto" w:sz="4" w:space="0"/>
              <w:right w:val="single" w:color="auto" w:sz="4" w:space="0"/>
            </w:tcBorders>
            <w:shd w:val="clear" w:color="auto" w:fill="auto"/>
            <w:vAlign w:val="center"/>
          </w:tcPr>
          <w:p w14:paraId="3F4E7600">
            <w:pPr>
              <w:jc w:val="center"/>
            </w:pPr>
            <w:r>
              <w:rPr>
                <w:rFonts w:ascii="宋体" w:hAnsi="宋体"/>
                <w:sz w:val="18"/>
              </w:rPr>
              <w:t>0.00</w:t>
            </w:r>
          </w:p>
        </w:tc>
      </w:tr>
      <w:tr w14:paraId="1237662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5EDD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748B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27658C">
            <w:pPr>
              <w:jc w:val="center"/>
            </w:pPr>
            <w:r>
              <w:rPr>
                <w:rFonts w:ascii="宋体" w:hAnsi="宋体"/>
                <w:sz w:val="18"/>
              </w:rPr>
              <w:t>65.00</w:t>
            </w:r>
          </w:p>
        </w:tc>
        <w:tc>
          <w:tcPr>
            <w:tcW w:w="1125" w:type="dxa"/>
            <w:tcBorders>
              <w:top w:val="nil"/>
              <w:left w:val="nil"/>
              <w:bottom w:val="single" w:color="auto" w:sz="4" w:space="0"/>
              <w:right w:val="single" w:color="auto" w:sz="4" w:space="0"/>
            </w:tcBorders>
            <w:shd w:val="clear" w:color="auto" w:fill="auto"/>
            <w:noWrap/>
            <w:vAlign w:val="center"/>
          </w:tcPr>
          <w:p w14:paraId="7D6F7CC7">
            <w:pPr>
              <w:jc w:val="center"/>
            </w:pPr>
            <w:r>
              <w:rPr>
                <w:rFonts w:ascii="宋体" w:hAnsi="宋体"/>
                <w:sz w:val="18"/>
              </w:rPr>
              <w:t>65.00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912E517">
            <w:pPr>
              <w:jc w:val="center"/>
            </w:pPr>
            <w:r>
              <w:rPr>
                <w:rFonts w:ascii="宋体" w:hAnsi="宋体"/>
                <w:sz w:val="18"/>
              </w:rPr>
              <w:t>35.00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4EB74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7E147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88DC7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9D20F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55EB9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3BAD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6A207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B6D3CA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8BD3D1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EDE8F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B2C49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D1CD1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CF67F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078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4642B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1D41F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D3A893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CD54DB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E127802">
            <w:pPr>
              <w:jc w:val="left"/>
            </w:pPr>
            <w:r>
              <w:rPr>
                <w:rFonts w:ascii="宋体" w:hAnsi="宋体"/>
                <w:sz w:val="18"/>
              </w:rPr>
              <w:t>通过专精特新企业和传统技术产业技术改造工作申报，确保新疆新疆骏晟能源装备有限公司、新疆豪子畜牧有限公司2家企业认定专精特新企业，支持新疆蓝山屯河有限公司1家传统产业企业开展技术改造。补助专精特新和技术改造企业精准度=100%，补助专精特新和技术改造企业=100%，拨付新疆新疆骏晟能源装备有限公司、新疆豪子畜牧有限公司专精特新成本费用20万元，拨付新疆蓝山屯河有限公司支持传统产业企业开展技术改造成本费用15万元。推进企业开展技术改造转型升级，确保补助企业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2592D678">
            <w:pPr>
              <w:jc w:val="left"/>
            </w:pPr>
            <w:r>
              <w:rPr>
                <w:rFonts w:ascii="宋体" w:hAnsi="宋体"/>
                <w:sz w:val="18"/>
              </w:rPr>
              <w:t>企业满意度：95；支持传统产业企业开展技术改造数量：1；补助专精特新企业个数：2；补助专精特新企业和技术改造企业精准度：100；补助专精特新企业和技术改造企业及时率：100%；专精特新成本费用：20；支持传统产业企业开展技术改造成本费用：15</w:t>
            </w:r>
          </w:p>
        </w:tc>
      </w:tr>
      <w:tr w14:paraId="733CD7A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AFEC9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D1400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7339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65EB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EFA6B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7FA89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69A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8410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8299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69297B4">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02AFC1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C14C12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43297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99E3A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4C05CA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2AFF52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35BF5D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F37BE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CE5CA66">
            <w:pPr>
              <w:widowControl/>
              <w:jc w:val="left"/>
              <w:rPr>
                <w:rFonts w:hint="eastAsia" w:ascii="宋体" w:hAnsi="宋体" w:cs="宋体"/>
                <w:color w:val="000000"/>
                <w:kern w:val="0"/>
                <w:sz w:val="18"/>
                <w:szCs w:val="18"/>
              </w:rPr>
            </w:pPr>
          </w:p>
        </w:tc>
      </w:tr>
      <w:tr w14:paraId="4D37300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D2966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9E0C83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F6E5E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3E1A47">
            <w:pPr>
              <w:jc w:val="center"/>
            </w:pPr>
            <w:r>
              <w:rPr>
                <w:rFonts w:ascii="宋体" w:hAnsi="宋体"/>
                <w:sz w:val="18"/>
              </w:rPr>
              <w:t>补助专精特新企业个数</w:t>
            </w:r>
          </w:p>
        </w:tc>
        <w:tc>
          <w:tcPr>
            <w:tcW w:w="1125" w:type="dxa"/>
            <w:tcBorders>
              <w:top w:val="nil"/>
              <w:left w:val="nil"/>
              <w:bottom w:val="single" w:color="auto" w:sz="4" w:space="0"/>
              <w:right w:val="single" w:color="auto" w:sz="4" w:space="0"/>
            </w:tcBorders>
            <w:shd w:val="clear" w:color="auto" w:fill="auto"/>
            <w:vAlign w:val="center"/>
          </w:tcPr>
          <w:p w14:paraId="2182C287">
            <w:pPr>
              <w:jc w:val="center"/>
            </w:pPr>
            <w:r>
              <w:rPr>
                <w:rFonts w:ascii="宋体" w:hAnsi="宋体"/>
                <w:sz w:val="18"/>
              </w:rPr>
              <w:t>=2个</w:t>
            </w:r>
          </w:p>
        </w:tc>
        <w:tc>
          <w:tcPr>
            <w:tcW w:w="1229" w:type="dxa"/>
            <w:tcBorders>
              <w:top w:val="nil"/>
              <w:left w:val="nil"/>
              <w:bottom w:val="single" w:color="auto" w:sz="4" w:space="0"/>
              <w:right w:val="single" w:color="auto" w:sz="4" w:space="0"/>
            </w:tcBorders>
            <w:shd w:val="clear" w:color="auto" w:fill="auto"/>
            <w:vAlign w:val="center"/>
          </w:tcPr>
          <w:p w14:paraId="306D7961">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D64AE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03DFB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A9ABF9">
            <w:pPr>
              <w:jc w:val="center"/>
            </w:pPr>
          </w:p>
        </w:tc>
      </w:tr>
      <w:tr w14:paraId="416B53F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B05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5CD0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B375C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B93665">
            <w:pPr>
              <w:jc w:val="center"/>
            </w:pPr>
            <w:r>
              <w:rPr>
                <w:rFonts w:ascii="宋体" w:hAnsi="宋体"/>
                <w:sz w:val="18"/>
              </w:rPr>
              <w:t>支持传统产业企业开展技术改造数量</w:t>
            </w:r>
          </w:p>
        </w:tc>
        <w:tc>
          <w:tcPr>
            <w:tcW w:w="1125" w:type="dxa"/>
            <w:tcBorders>
              <w:top w:val="nil"/>
              <w:left w:val="nil"/>
              <w:bottom w:val="single" w:color="auto" w:sz="4" w:space="0"/>
              <w:right w:val="single" w:color="auto" w:sz="4" w:space="0"/>
            </w:tcBorders>
            <w:shd w:val="clear" w:color="auto" w:fill="auto"/>
            <w:vAlign w:val="center"/>
          </w:tcPr>
          <w:p w14:paraId="42688CE5">
            <w:pPr>
              <w:jc w:val="center"/>
            </w:pPr>
            <w:r>
              <w:rPr>
                <w:rFonts w:ascii="宋体" w:hAnsi="宋体"/>
                <w:sz w:val="18"/>
              </w:rPr>
              <w:t>=1家</w:t>
            </w:r>
          </w:p>
        </w:tc>
        <w:tc>
          <w:tcPr>
            <w:tcW w:w="1229" w:type="dxa"/>
            <w:tcBorders>
              <w:top w:val="nil"/>
              <w:left w:val="nil"/>
              <w:bottom w:val="single" w:color="auto" w:sz="4" w:space="0"/>
              <w:right w:val="single" w:color="auto" w:sz="4" w:space="0"/>
            </w:tcBorders>
            <w:shd w:val="clear" w:color="auto" w:fill="auto"/>
            <w:vAlign w:val="center"/>
          </w:tcPr>
          <w:p w14:paraId="3FF1FC9E">
            <w:pPr>
              <w:jc w:val="center"/>
            </w:pPr>
            <w:r>
              <w:rPr>
                <w:rFonts w:ascii="宋体" w:hAnsi="宋体"/>
                <w:sz w:val="18"/>
              </w:rPr>
              <w:t>=1家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75018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C97B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8E1293">
            <w:pPr>
              <w:jc w:val="center"/>
            </w:pPr>
          </w:p>
        </w:tc>
      </w:tr>
      <w:tr w14:paraId="7CCC0AA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8003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0FE2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7354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872A90">
            <w:pPr>
              <w:jc w:val="center"/>
            </w:pPr>
            <w:r>
              <w:rPr>
                <w:rFonts w:ascii="宋体" w:hAnsi="宋体"/>
                <w:sz w:val="18"/>
              </w:rPr>
              <w:t>补助专精特新企业和技术改造企业精准度</w:t>
            </w:r>
          </w:p>
        </w:tc>
        <w:tc>
          <w:tcPr>
            <w:tcW w:w="1125" w:type="dxa"/>
            <w:tcBorders>
              <w:top w:val="nil"/>
              <w:left w:val="nil"/>
              <w:bottom w:val="single" w:color="auto" w:sz="4" w:space="0"/>
              <w:right w:val="single" w:color="auto" w:sz="4" w:space="0"/>
            </w:tcBorders>
            <w:shd w:val="clear" w:color="auto" w:fill="auto"/>
            <w:vAlign w:val="center"/>
          </w:tcPr>
          <w:p w14:paraId="7E787D7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F73714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CD088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CE1B1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F2CDC1">
            <w:pPr>
              <w:jc w:val="center"/>
            </w:pPr>
          </w:p>
        </w:tc>
      </w:tr>
      <w:tr w14:paraId="570A0AA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182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BB66C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6268D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5CA857">
            <w:pPr>
              <w:jc w:val="center"/>
            </w:pPr>
            <w:r>
              <w:rPr>
                <w:rFonts w:ascii="宋体" w:hAnsi="宋体"/>
                <w:sz w:val="18"/>
              </w:rPr>
              <w:t>补助专精特新企业和技术改造企业及时率</w:t>
            </w:r>
          </w:p>
        </w:tc>
        <w:tc>
          <w:tcPr>
            <w:tcW w:w="1125" w:type="dxa"/>
            <w:tcBorders>
              <w:top w:val="nil"/>
              <w:left w:val="nil"/>
              <w:bottom w:val="single" w:color="auto" w:sz="4" w:space="0"/>
              <w:right w:val="single" w:color="auto" w:sz="4" w:space="0"/>
            </w:tcBorders>
            <w:shd w:val="clear" w:color="auto" w:fill="auto"/>
            <w:vAlign w:val="center"/>
          </w:tcPr>
          <w:p w14:paraId="3BB3003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1B8243">
            <w:pPr>
              <w:jc w:val="center"/>
            </w:pPr>
            <w:r>
              <w:rPr>
                <w:rFonts w:ascii="宋体" w:hAnsi="宋体"/>
                <w:sz w:val="18"/>
              </w:rPr>
              <w:t>=53.85%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6127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25ACFE">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6A6DFA">
            <w:pPr>
              <w:jc w:val="center"/>
            </w:pPr>
            <w:r>
              <w:rPr>
                <w:rFonts w:ascii="宋体" w:hAnsi="宋体"/>
                <w:sz w:val="18"/>
              </w:rPr>
              <w:t>根据《奇台县“十四五”工业企业“升规入统”工作实施方案》为鼓励积极推进企业“升规入统”工作，按照当年度实现净增规上企业数量，给予20万元一次性奖励补助（州级给予升规入统企业10万元奖补，县级奖补10万元，具体以当年国家统计年报数据为准）。因原有企业退规，造成新升规入统企业未列入州级奖补的，县级一次性奖励补助20万元。县财政需配套奖补110万元资金，因县级奖补资金未到位，导致该笔资金未及时拨付。改进措施：积极和县财政对接，把资金支付完毕</w:t>
            </w:r>
          </w:p>
        </w:tc>
      </w:tr>
      <w:tr w14:paraId="331FA12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46912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93BC77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5FAD1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813B07">
            <w:pPr>
              <w:jc w:val="center"/>
            </w:pPr>
            <w:r>
              <w:rPr>
                <w:rFonts w:ascii="宋体" w:hAnsi="宋体"/>
                <w:sz w:val="18"/>
              </w:rPr>
              <w:t>专精特新成本费用</w:t>
            </w:r>
          </w:p>
        </w:tc>
        <w:tc>
          <w:tcPr>
            <w:tcW w:w="1125" w:type="dxa"/>
            <w:tcBorders>
              <w:top w:val="nil"/>
              <w:left w:val="nil"/>
              <w:bottom w:val="single" w:color="auto" w:sz="4" w:space="0"/>
              <w:right w:val="single" w:color="auto" w:sz="4" w:space="0"/>
            </w:tcBorders>
            <w:shd w:val="clear" w:color="auto" w:fill="auto"/>
            <w:vAlign w:val="center"/>
          </w:tcPr>
          <w:p w14:paraId="62C2615E">
            <w:pPr>
              <w:jc w:val="center"/>
            </w:pPr>
            <w:r>
              <w:rPr>
                <w:rFonts w:ascii="宋体" w:hAnsi="宋体"/>
                <w:sz w:val="18"/>
              </w:rPr>
              <w:t>=20万元</w:t>
            </w:r>
          </w:p>
        </w:tc>
        <w:tc>
          <w:tcPr>
            <w:tcW w:w="1229" w:type="dxa"/>
            <w:tcBorders>
              <w:top w:val="nil"/>
              <w:left w:val="nil"/>
              <w:bottom w:val="single" w:color="auto" w:sz="4" w:space="0"/>
              <w:right w:val="single" w:color="auto" w:sz="4" w:space="0"/>
            </w:tcBorders>
            <w:shd w:val="clear" w:color="auto" w:fill="auto"/>
            <w:vAlign w:val="center"/>
          </w:tcPr>
          <w:p w14:paraId="561E4DA8">
            <w:pPr>
              <w:jc w:val="center"/>
            </w:pPr>
            <w:r>
              <w:rPr>
                <w:rFonts w:ascii="宋体" w:hAnsi="宋体"/>
                <w:sz w:val="18"/>
              </w:rPr>
              <w:t>=20万元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95FF3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6C00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695CF3">
            <w:pPr>
              <w:jc w:val="center"/>
            </w:pPr>
          </w:p>
        </w:tc>
      </w:tr>
      <w:tr w14:paraId="4C8177E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755A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1B40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7E73A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26E764">
            <w:pPr>
              <w:jc w:val="center"/>
            </w:pPr>
            <w:r>
              <w:rPr>
                <w:rFonts w:ascii="宋体" w:hAnsi="宋体"/>
                <w:sz w:val="18"/>
              </w:rPr>
              <w:t>支持传统产业企业开展技术改造成本费用</w:t>
            </w:r>
          </w:p>
        </w:tc>
        <w:tc>
          <w:tcPr>
            <w:tcW w:w="1125" w:type="dxa"/>
            <w:tcBorders>
              <w:top w:val="nil"/>
              <w:left w:val="nil"/>
              <w:bottom w:val="single" w:color="auto" w:sz="4" w:space="0"/>
              <w:right w:val="single" w:color="auto" w:sz="4" w:space="0"/>
            </w:tcBorders>
            <w:shd w:val="clear" w:color="auto" w:fill="auto"/>
            <w:vAlign w:val="center"/>
          </w:tcPr>
          <w:p w14:paraId="3987C37E">
            <w:pPr>
              <w:jc w:val="center"/>
            </w:pPr>
            <w:r>
              <w:rPr>
                <w:rFonts w:ascii="宋体" w:hAnsi="宋体"/>
                <w:sz w:val="18"/>
              </w:rPr>
              <w:t>=15万元</w:t>
            </w:r>
          </w:p>
        </w:tc>
        <w:tc>
          <w:tcPr>
            <w:tcW w:w="1229" w:type="dxa"/>
            <w:tcBorders>
              <w:top w:val="nil"/>
              <w:left w:val="nil"/>
              <w:bottom w:val="single" w:color="auto" w:sz="4" w:space="0"/>
              <w:right w:val="single" w:color="auto" w:sz="4" w:space="0"/>
            </w:tcBorders>
            <w:shd w:val="clear" w:color="auto" w:fill="auto"/>
            <w:vAlign w:val="center"/>
          </w:tcPr>
          <w:p w14:paraId="28637C49">
            <w:pPr>
              <w:jc w:val="center"/>
            </w:pPr>
            <w:r>
              <w:rPr>
                <w:rFonts w:ascii="宋体" w:hAnsi="宋体"/>
                <w:sz w:val="18"/>
              </w:rPr>
              <w:t>=15万元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A3C94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6C4FB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3B643E">
            <w:pPr>
              <w:jc w:val="center"/>
            </w:pPr>
          </w:p>
        </w:tc>
      </w:tr>
      <w:tr w14:paraId="7C55446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E21A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153B8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9A5C3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CFF168">
            <w:pPr>
              <w:jc w:val="center"/>
            </w:pPr>
            <w:r>
              <w:rPr>
                <w:rFonts w:ascii="宋体" w:hAnsi="宋体"/>
                <w:sz w:val="18"/>
              </w:rPr>
              <w:t>中小企业升规入统补助成本费用</w:t>
            </w:r>
          </w:p>
        </w:tc>
        <w:tc>
          <w:tcPr>
            <w:tcW w:w="1125" w:type="dxa"/>
            <w:tcBorders>
              <w:top w:val="nil"/>
              <w:left w:val="nil"/>
              <w:bottom w:val="single" w:color="auto" w:sz="4" w:space="0"/>
              <w:right w:val="single" w:color="auto" w:sz="4" w:space="0"/>
            </w:tcBorders>
            <w:shd w:val="clear" w:color="auto" w:fill="auto"/>
            <w:vAlign w:val="center"/>
          </w:tcPr>
          <w:p w14:paraId="7F6D1DBC">
            <w:pPr>
              <w:jc w:val="center"/>
            </w:pPr>
            <w:r>
              <w:rPr>
                <w:rFonts w:ascii="宋体" w:hAnsi="宋体"/>
                <w:sz w:val="18"/>
              </w:rPr>
              <w:t>=30万元</w:t>
            </w:r>
          </w:p>
        </w:tc>
        <w:tc>
          <w:tcPr>
            <w:tcW w:w="1229" w:type="dxa"/>
            <w:tcBorders>
              <w:top w:val="nil"/>
              <w:left w:val="nil"/>
              <w:bottom w:val="single" w:color="auto" w:sz="4" w:space="0"/>
              <w:right w:val="single" w:color="auto" w:sz="4" w:space="0"/>
            </w:tcBorders>
            <w:shd w:val="clear" w:color="auto" w:fill="auto"/>
            <w:vAlign w:val="center"/>
          </w:tcPr>
          <w:p w14:paraId="181AB859">
            <w:pPr>
              <w:jc w:val="center"/>
            </w:pPr>
            <w:r>
              <w:rPr>
                <w:rFonts w:ascii="宋体" w:hAnsi="宋体"/>
                <w:sz w:val="18"/>
              </w:rPr>
              <w:t>=0万元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1EFC55">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C32617">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9918B2">
            <w:pPr>
              <w:jc w:val="center"/>
            </w:pPr>
            <w:r>
              <w:rPr>
                <w:rFonts w:ascii="宋体" w:hAnsi="宋体"/>
                <w:sz w:val="18"/>
              </w:rPr>
              <w:t>根据《奇台县“十四五”工业企业“升规入统”工作实施方案》为鼓励积极推进企业“升规入统”工作，按照当年度实现净增规上企业数量，给予20万元一次性奖励补助（州级给予升规入统企业10万元奖补，县级奖补10万元，具体以当年国家统计年报数据为准）。因原有企业退规，造成新升规入统企业未列入州级奖补的，县级一次性奖励补助20万元。县财政需配套奖补110万元资金，因县级奖补资金未到位，导致该笔资金未及时拨付。改进措施：积极和县财政对接，把资金支付完毕</w:t>
            </w:r>
          </w:p>
        </w:tc>
      </w:tr>
      <w:tr w14:paraId="15CB6AF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2EC25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E18A9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18EDC1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9DFCEE">
            <w:pPr>
              <w:jc w:val="center"/>
            </w:pPr>
            <w:r>
              <w:rPr>
                <w:rFonts w:ascii="宋体" w:hAnsi="宋体"/>
                <w:sz w:val="18"/>
              </w:rPr>
              <w:t>推进企业开展技术改造转型升级</w:t>
            </w:r>
          </w:p>
        </w:tc>
        <w:tc>
          <w:tcPr>
            <w:tcW w:w="1125" w:type="dxa"/>
            <w:tcBorders>
              <w:top w:val="nil"/>
              <w:left w:val="nil"/>
              <w:bottom w:val="single" w:color="auto" w:sz="4" w:space="0"/>
              <w:right w:val="single" w:color="auto" w:sz="4" w:space="0"/>
            </w:tcBorders>
            <w:shd w:val="clear" w:color="auto" w:fill="auto"/>
            <w:vAlign w:val="center"/>
          </w:tcPr>
          <w:p w14:paraId="17FCEE23">
            <w:pPr>
              <w:jc w:val="center"/>
            </w:pPr>
            <w:r>
              <w:rPr>
                <w:rFonts w:ascii="宋体" w:hAnsi="宋体"/>
                <w:sz w:val="18"/>
              </w:rPr>
              <w:t>有效推进</w:t>
            </w:r>
          </w:p>
        </w:tc>
        <w:tc>
          <w:tcPr>
            <w:tcW w:w="1229" w:type="dxa"/>
            <w:tcBorders>
              <w:top w:val="nil"/>
              <w:left w:val="nil"/>
              <w:bottom w:val="single" w:color="auto" w:sz="4" w:space="0"/>
              <w:right w:val="single" w:color="auto" w:sz="4" w:space="0"/>
            </w:tcBorders>
            <w:shd w:val="clear" w:color="auto" w:fill="auto"/>
            <w:vAlign w:val="center"/>
          </w:tcPr>
          <w:p w14:paraId="5D48669E">
            <w:pPr>
              <w:jc w:val="center"/>
            </w:pPr>
            <w:r>
              <w:rPr>
                <w:rFonts w:ascii="宋体" w:hAnsi="宋体"/>
                <w:sz w:val="18"/>
              </w:rPr>
              <w:t>得到推进</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95943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62D8A5">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1DF84D">
            <w:pPr>
              <w:jc w:val="center"/>
            </w:pPr>
            <w:r>
              <w:rPr>
                <w:rFonts w:ascii="宋体" w:hAnsi="宋体"/>
                <w:sz w:val="18"/>
              </w:rPr>
              <w:t>根据《奇台县“十四五”工业企业“升规入统”工作实施方案》为鼓励积极推进企业“升规入统”工作，按照当年度实现净增规上企业数量，给予20万元一次性奖励补助（州级给予升规入统企业10万元奖补，县级奖补10万元，具体以当年国家统计年报数据为准）。因原有企业退规，造成新升规入统企业未列入州级奖补的，县级一次性奖励补助20万元。县财政需配套奖补110万元资金，因县级奖补资金未到位，导致该笔资金未及时拨付。改进措施：积极和县财政对接，把资金支付完毕</w:t>
            </w:r>
          </w:p>
        </w:tc>
      </w:tr>
      <w:tr w14:paraId="32FE48C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D2E9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14E41C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23EA90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E7C97C">
            <w:pPr>
              <w:jc w:val="center"/>
            </w:pPr>
            <w:r>
              <w:rPr>
                <w:rFonts w:ascii="宋体" w:hAnsi="宋体"/>
                <w:sz w:val="18"/>
              </w:rPr>
              <w:t>企业满意度</w:t>
            </w:r>
          </w:p>
        </w:tc>
        <w:tc>
          <w:tcPr>
            <w:tcW w:w="1125" w:type="dxa"/>
            <w:tcBorders>
              <w:top w:val="nil"/>
              <w:left w:val="nil"/>
              <w:bottom w:val="single" w:color="auto" w:sz="4" w:space="0"/>
              <w:right w:val="single" w:color="auto" w:sz="4" w:space="0"/>
            </w:tcBorders>
            <w:shd w:val="clear" w:color="auto" w:fill="auto"/>
            <w:vAlign w:val="center"/>
          </w:tcPr>
          <w:p w14:paraId="4F29869E">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71E3CC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0F89C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2529B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BE9246">
            <w:pPr>
              <w:jc w:val="center"/>
            </w:pPr>
          </w:p>
        </w:tc>
      </w:tr>
      <w:tr w14:paraId="0991377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03A700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CE89AC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28797A5">
            <w:pPr>
              <w:jc w:val="center"/>
            </w:pPr>
            <w:r>
              <w:rPr>
                <w:rFonts w:ascii="宋体" w:hAnsi="宋体"/>
                <w:sz w:val="18"/>
              </w:rPr>
              <w:t>55分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D1615E">
            <w:pPr>
              <w:jc w:val="center"/>
            </w:pPr>
          </w:p>
        </w:tc>
      </w:tr>
    </w:tbl>
    <w:p w14:paraId="230A257A">
      <w:pPr>
        <w:rPr>
          <w:rFonts w:hint="eastAsia" w:ascii="宋体" w:hAnsi="宋体" w:cs="宋体"/>
          <w:b/>
          <w:bCs/>
          <w:kern w:val="0"/>
          <w:sz w:val="18"/>
          <w:szCs w:val="18"/>
        </w:rPr>
      </w:pPr>
    </w:p>
    <w:p w14:paraId="574C913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F6BA0E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A58129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099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EAEFE21">
            <w:pPr>
              <w:jc w:val="center"/>
            </w:pPr>
            <w:r>
              <w:rPr>
                <w:rFonts w:ascii="宋体" w:hAnsi="宋体"/>
                <w:sz w:val="18"/>
              </w:rPr>
              <w:t>2022年自治区工业节能减排奖补资金</w:t>
            </w:r>
          </w:p>
        </w:tc>
      </w:tr>
      <w:tr w14:paraId="62592D3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CD82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A10333D">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2A8A56D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8327257">
            <w:pPr>
              <w:jc w:val="center"/>
            </w:pPr>
            <w:r>
              <w:rPr>
                <w:rFonts w:ascii="宋体" w:hAnsi="宋体"/>
                <w:sz w:val="18"/>
              </w:rPr>
              <w:t>奇台县商务和工业信息化局</w:t>
            </w:r>
          </w:p>
        </w:tc>
      </w:tr>
      <w:tr w14:paraId="382FCAC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28D7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E7A86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3417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E7BA6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89FFD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D77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D540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0278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AD2FF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8414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08FB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AAA51B">
            <w:pPr>
              <w:jc w:val="center"/>
            </w:pPr>
            <w:r>
              <w:rPr>
                <w:rFonts w:ascii="宋体" w:hAnsi="宋体"/>
                <w:sz w:val="18"/>
              </w:rPr>
              <w:t>26.00</w:t>
            </w:r>
          </w:p>
        </w:tc>
        <w:tc>
          <w:tcPr>
            <w:tcW w:w="1266" w:type="dxa"/>
            <w:tcBorders>
              <w:top w:val="nil"/>
              <w:left w:val="nil"/>
              <w:bottom w:val="single" w:color="auto" w:sz="4" w:space="0"/>
              <w:right w:val="single" w:color="auto" w:sz="4" w:space="0"/>
            </w:tcBorders>
            <w:shd w:val="clear" w:color="auto" w:fill="auto"/>
            <w:noWrap/>
            <w:vAlign w:val="center"/>
          </w:tcPr>
          <w:p w14:paraId="168CF78B">
            <w:pPr>
              <w:jc w:val="center"/>
            </w:pPr>
            <w:r>
              <w:rPr>
                <w:rFonts w:ascii="宋体" w:hAnsi="宋体"/>
                <w:sz w:val="18"/>
              </w:rPr>
              <w:t>26.00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901575A">
            <w:pPr>
              <w:jc w:val="center"/>
            </w:pPr>
            <w:r>
              <w:rPr>
                <w:rFonts w:ascii="宋体" w:hAnsi="宋体"/>
                <w:sz w:val="18"/>
              </w:rPr>
              <w:t>26.00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380F8F5">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5DB79A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FD6499E">
            <w:pPr>
              <w:jc w:val="center"/>
            </w:pPr>
            <w:r>
              <w:rPr>
                <w:rFonts w:ascii="宋体" w:hAnsi="宋体"/>
                <w:sz w:val="18"/>
              </w:rPr>
              <w:t>10.00</w:t>
            </w:r>
          </w:p>
        </w:tc>
      </w:tr>
      <w:tr w14:paraId="5C86E8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9AE8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C60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E2FDA9">
            <w:pPr>
              <w:jc w:val="center"/>
            </w:pPr>
            <w:r>
              <w:rPr>
                <w:rFonts w:ascii="宋体" w:hAnsi="宋体"/>
                <w:sz w:val="18"/>
              </w:rPr>
              <w:t>26.00</w:t>
            </w:r>
          </w:p>
        </w:tc>
        <w:tc>
          <w:tcPr>
            <w:tcW w:w="1266" w:type="dxa"/>
            <w:tcBorders>
              <w:top w:val="nil"/>
              <w:left w:val="nil"/>
              <w:bottom w:val="single" w:color="auto" w:sz="4" w:space="0"/>
              <w:right w:val="single" w:color="auto" w:sz="4" w:space="0"/>
            </w:tcBorders>
            <w:shd w:val="clear" w:color="auto" w:fill="auto"/>
            <w:noWrap/>
            <w:vAlign w:val="center"/>
          </w:tcPr>
          <w:p w14:paraId="0729F7D1">
            <w:pPr>
              <w:jc w:val="center"/>
            </w:pPr>
            <w:r>
              <w:rPr>
                <w:rFonts w:ascii="宋体" w:hAnsi="宋体"/>
                <w:sz w:val="18"/>
              </w:rPr>
              <w:t>26.00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014C1F9">
            <w:pPr>
              <w:jc w:val="center"/>
            </w:pPr>
            <w:r>
              <w:rPr>
                <w:rFonts w:ascii="宋体" w:hAnsi="宋体"/>
                <w:sz w:val="18"/>
              </w:rPr>
              <w:t>26.00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7625E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CB58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B0FE9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F0CF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8F85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07FC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799B0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83D975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DE2B93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DE96F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F774F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F32E1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2A74F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5132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8096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AE228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D0E3E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D5448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4B2B600">
            <w:pPr>
              <w:jc w:val="left"/>
            </w:pPr>
            <w:r>
              <w:rPr>
                <w:rFonts w:ascii="宋体" w:hAnsi="宋体"/>
                <w:sz w:val="18"/>
              </w:rPr>
              <w:t>给予一家企业新疆蓝山屯河能源有限公司三项奖励资金，其中BDO国家级绿色设计产品10万元，PTMEG国家级绿色设计产品10万元，通过能源审计报告和节能规划审核6万元,补贴企业1家，资金使用合规性达到100%，项目预算控制率达到100%，带动投资超过10%，有效提升绿色低碳水平，企业满意度超过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6FCF85E">
            <w:pPr>
              <w:jc w:val="left"/>
            </w:pPr>
            <w:r>
              <w:rPr>
                <w:rFonts w:ascii="宋体" w:hAnsi="宋体"/>
                <w:sz w:val="18"/>
              </w:rPr>
              <w:t>及时拨付新疆蓝山屯河能源有限公司三项奖励资金26万元，其中BDO国家级绿色设计产品10万元，PTMEG国家级绿色设计产品10万元，通过能源审计报告和节能规划审核6万元,资金使用合规性达到100%，项目预算控制率达到100%，带动投资超过10%，有效提升绿色低碳水平，企业满意度达99%。</w:t>
            </w:r>
          </w:p>
        </w:tc>
      </w:tr>
      <w:tr w14:paraId="5AEC5A6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C2C4E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C093C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9582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EF97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69B29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99DC3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E79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333E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E435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8A254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552DE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6CF0D3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03B2BC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90B7CF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8C5B30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371B5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C5A9A1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AD6C7D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CBD4844">
            <w:pPr>
              <w:widowControl/>
              <w:jc w:val="left"/>
              <w:rPr>
                <w:rFonts w:hint="eastAsia" w:ascii="宋体" w:hAnsi="宋体" w:cs="宋体"/>
                <w:color w:val="000000"/>
                <w:kern w:val="0"/>
                <w:sz w:val="18"/>
                <w:szCs w:val="18"/>
              </w:rPr>
            </w:pPr>
          </w:p>
        </w:tc>
      </w:tr>
      <w:tr w14:paraId="0635DC2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C5071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BACA45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92A5C6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28ADDF">
            <w:pPr>
              <w:jc w:val="center"/>
            </w:pPr>
            <w:r>
              <w:rPr>
                <w:rFonts w:ascii="宋体" w:hAnsi="宋体"/>
                <w:sz w:val="18"/>
              </w:rPr>
              <w:t>补贴企业数</w:t>
            </w:r>
          </w:p>
        </w:tc>
        <w:tc>
          <w:tcPr>
            <w:tcW w:w="1266" w:type="dxa"/>
            <w:tcBorders>
              <w:top w:val="nil"/>
              <w:left w:val="nil"/>
              <w:bottom w:val="single" w:color="auto" w:sz="4" w:space="0"/>
              <w:right w:val="single" w:color="auto" w:sz="4" w:space="0"/>
            </w:tcBorders>
            <w:shd w:val="clear" w:color="auto" w:fill="auto"/>
            <w:vAlign w:val="center"/>
          </w:tcPr>
          <w:p w14:paraId="68A3098B">
            <w:pPr>
              <w:jc w:val="center"/>
            </w:pPr>
            <w:r>
              <w:rPr>
                <w:rFonts w:ascii="宋体" w:hAnsi="宋体"/>
                <w:sz w:val="18"/>
              </w:rPr>
              <w:t>=1家</w:t>
            </w:r>
          </w:p>
        </w:tc>
        <w:tc>
          <w:tcPr>
            <w:tcW w:w="1088" w:type="dxa"/>
            <w:tcBorders>
              <w:top w:val="nil"/>
              <w:left w:val="nil"/>
              <w:bottom w:val="single" w:color="auto" w:sz="4" w:space="0"/>
              <w:right w:val="single" w:color="auto" w:sz="4" w:space="0"/>
            </w:tcBorders>
            <w:shd w:val="clear" w:color="auto" w:fill="auto"/>
            <w:vAlign w:val="center"/>
          </w:tcPr>
          <w:p w14:paraId="51B208EA">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0CD6A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9439E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7E66AD">
            <w:pPr>
              <w:jc w:val="center"/>
            </w:pPr>
          </w:p>
        </w:tc>
      </w:tr>
      <w:tr w14:paraId="6A295B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4CA8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EFD8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43375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ADE349">
            <w:pPr>
              <w:jc w:val="center"/>
            </w:pPr>
            <w:r>
              <w:rPr>
                <w:rFonts w:ascii="宋体" w:hAnsi="宋体"/>
                <w:sz w:val="18"/>
              </w:rPr>
              <w:t>资金使用合规性</w:t>
            </w:r>
          </w:p>
        </w:tc>
        <w:tc>
          <w:tcPr>
            <w:tcW w:w="1266" w:type="dxa"/>
            <w:tcBorders>
              <w:top w:val="nil"/>
              <w:left w:val="nil"/>
              <w:bottom w:val="single" w:color="auto" w:sz="4" w:space="0"/>
              <w:right w:val="single" w:color="auto" w:sz="4" w:space="0"/>
            </w:tcBorders>
            <w:shd w:val="clear" w:color="auto" w:fill="auto"/>
            <w:vAlign w:val="center"/>
          </w:tcPr>
          <w:p w14:paraId="2CF53E9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76EDCE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1C7C2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D3CA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1B8E29">
            <w:pPr>
              <w:jc w:val="center"/>
            </w:pPr>
          </w:p>
        </w:tc>
      </w:tr>
      <w:tr w14:paraId="5DB62F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AD64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F5EF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FD48C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DD5101">
            <w:pPr>
              <w:jc w:val="center"/>
            </w:pPr>
            <w:r>
              <w:rPr>
                <w:rFonts w:ascii="宋体" w:hAnsi="宋体"/>
                <w:sz w:val="18"/>
              </w:rPr>
              <w:t>资金拨付及时性（%）</w:t>
            </w:r>
          </w:p>
        </w:tc>
        <w:tc>
          <w:tcPr>
            <w:tcW w:w="1266" w:type="dxa"/>
            <w:tcBorders>
              <w:top w:val="nil"/>
              <w:left w:val="nil"/>
              <w:bottom w:val="single" w:color="auto" w:sz="4" w:space="0"/>
              <w:right w:val="single" w:color="auto" w:sz="4" w:space="0"/>
            </w:tcBorders>
            <w:shd w:val="clear" w:color="auto" w:fill="auto"/>
            <w:vAlign w:val="center"/>
          </w:tcPr>
          <w:p w14:paraId="0279906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CA638C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DD17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D453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A3E5DD">
            <w:pPr>
              <w:jc w:val="center"/>
            </w:pPr>
          </w:p>
        </w:tc>
      </w:tr>
      <w:tr w14:paraId="25A300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45F76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3235D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475A4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5E6CD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A817BD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478F93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FD947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3558C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9B589B">
            <w:pPr>
              <w:jc w:val="center"/>
            </w:pPr>
          </w:p>
        </w:tc>
      </w:tr>
      <w:tr w14:paraId="657ED2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5293C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FFC33E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95EF88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706EDE">
            <w:pPr>
              <w:jc w:val="center"/>
            </w:pPr>
            <w:r>
              <w:rPr>
                <w:rFonts w:ascii="宋体" w:hAnsi="宋体"/>
                <w:sz w:val="18"/>
              </w:rPr>
              <w:t>带动投资</w:t>
            </w:r>
          </w:p>
        </w:tc>
        <w:tc>
          <w:tcPr>
            <w:tcW w:w="1266" w:type="dxa"/>
            <w:tcBorders>
              <w:top w:val="nil"/>
              <w:left w:val="nil"/>
              <w:bottom w:val="single" w:color="auto" w:sz="4" w:space="0"/>
              <w:right w:val="single" w:color="auto" w:sz="4" w:space="0"/>
            </w:tcBorders>
            <w:shd w:val="clear" w:color="auto" w:fill="auto"/>
            <w:vAlign w:val="center"/>
          </w:tcPr>
          <w:p w14:paraId="7359F3BE">
            <w:pPr>
              <w:jc w:val="center"/>
            </w:pPr>
            <w:r>
              <w:rPr>
                <w:rFonts w:ascii="宋体" w:hAnsi="宋体"/>
                <w:sz w:val="18"/>
              </w:rPr>
              <w:t>&gt;=10%</w:t>
            </w:r>
          </w:p>
        </w:tc>
        <w:tc>
          <w:tcPr>
            <w:tcW w:w="1088" w:type="dxa"/>
            <w:tcBorders>
              <w:top w:val="nil"/>
              <w:left w:val="nil"/>
              <w:bottom w:val="single" w:color="auto" w:sz="4" w:space="0"/>
              <w:right w:val="single" w:color="auto" w:sz="4" w:space="0"/>
            </w:tcBorders>
            <w:shd w:val="clear" w:color="auto" w:fill="auto"/>
            <w:vAlign w:val="center"/>
          </w:tcPr>
          <w:p w14:paraId="5CE8A999">
            <w:pPr>
              <w:jc w:val="center"/>
            </w:pPr>
            <w:r>
              <w:rPr>
                <w:rFonts w:ascii="宋体" w:hAnsi="宋体"/>
                <w:sz w:val="18"/>
              </w:rPr>
              <w:t>=10%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BF29DF">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B6414E">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F41964">
            <w:pPr>
              <w:jc w:val="center"/>
            </w:pPr>
          </w:p>
        </w:tc>
      </w:tr>
      <w:tr w14:paraId="114391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6A6C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CA822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F0998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3F2EE2">
            <w:pPr>
              <w:jc w:val="center"/>
            </w:pPr>
            <w:r>
              <w:rPr>
                <w:rFonts w:ascii="宋体" w:hAnsi="宋体"/>
                <w:sz w:val="18"/>
              </w:rPr>
              <w:t>提升绿色低碳水平</w:t>
            </w:r>
          </w:p>
        </w:tc>
        <w:tc>
          <w:tcPr>
            <w:tcW w:w="1266" w:type="dxa"/>
            <w:tcBorders>
              <w:top w:val="nil"/>
              <w:left w:val="nil"/>
              <w:bottom w:val="single" w:color="auto" w:sz="4" w:space="0"/>
              <w:right w:val="single" w:color="auto" w:sz="4" w:space="0"/>
            </w:tcBorders>
            <w:shd w:val="clear" w:color="auto" w:fill="auto"/>
            <w:vAlign w:val="center"/>
          </w:tcPr>
          <w:p w14:paraId="60F64F38">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6449FD3F">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8534EE">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4C362C">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C71A2A">
            <w:pPr>
              <w:jc w:val="center"/>
            </w:pPr>
          </w:p>
        </w:tc>
      </w:tr>
      <w:tr w14:paraId="3395EB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30D5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799E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CA37E2">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CEA06F">
            <w:pPr>
              <w:jc w:val="center"/>
            </w:pPr>
            <w:r>
              <w:rPr>
                <w:rFonts w:ascii="宋体" w:hAnsi="宋体"/>
                <w:sz w:val="18"/>
              </w:rPr>
              <w:t>绿色低碳可持续发展</w:t>
            </w:r>
          </w:p>
        </w:tc>
        <w:tc>
          <w:tcPr>
            <w:tcW w:w="1266" w:type="dxa"/>
            <w:tcBorders>
              <w:top w:val="nil"/>
              <w:left w:val="nil"/>
              <w:bottom w:val="single" w:color="auto" w:sz="4" w:space="0"/>
              <w:right w:val="single" w:color="auto" w:sz="4" w:space="0"/>
            </w:tcBorders>
            <w:shd w:val="clear" w:color="auto" w:fill="auto"/>
            <w:vAlign w:val="center"/>
          </w:tcPr>
          <w:p w14:paraId="51ED992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19CE1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04A03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83904F">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440C3B">
            <w:pPr>
              <w:jc w:val="center"/>
            </w:pPr>
          </w:p>
        </w:tc>
      </w:tr>
      <w:tr w14:paraId="0C4019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7D622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A2BEDE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25382E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D2923E">
            <w:pPr>
              <w:jc w:val="center"/>
            </w:pPr>
            <w:r>
              <w:rPr>
                <w:rFonts w:ascii="宋体" w:hAnsi="宋体"/>
                <w:sz w:val="18"/>
              </w:rPr>
              <w:t>企业满意度（%）</w:t>
            </w:r>
          </w:p>
        </w:tc>
        <w:tc>
          <w:tcPr>
            <w:tcW w:w="1266" w:type="dxa"/>
            <w:tcBorders>
              <w:top w:val="nil"/>
              <w:left w:val="nil"/>
              <w:bottom w:val="single" w:color="auto" w:sz="4" w:space="0"/>
              <w:right w:val="single" w:color="auto" w:sz="4" w:space="0"/>
            </w:tcBorders>
            <w:shd w:val="clear" w:color="auto" w:fill="auto"/>
            <w:vAlign w:val="center"/>
          </w:tcPr>
          <w:p w14:paraId="21412DB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C82AF9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985C2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14F60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2F2F8D">
            <w:pPr>
              <w:jc w:val="center"/>
            </w:pPr>
          </w:p>
        </w:tc>
      </w:tr>
      <w:tr w14:paraId="0161AAE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2149A3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B6D092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104B02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E593BF">
            <w:pPr>
              <w:jc w:val="center"/>
            </w:pPr>
          </w:p>
        </w:tc>
      </w:tr>
    </w:tbl>
    <w:p w14:paraId="1AE53ED3">
      <w:pPr>
        <w:rPr>
          <w:rFonts w:hint="eastAsia" w:ascii="宋体" w:hAnsi="宋体" w:cs="宋体"/>
          <w:b/>
          <w:bCs/>
          <w:kern w:val="0"/>
          <w:sz w:val="18"/>
          <w:szCs w:val="18"/>
        </w:rPr>
      </w:pPr>
    </w:p>
    <w:p w14:paraId="67A7EA4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FD2E7D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C1B821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15F1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DC1B98">
            <w:pPr>
              <w:jc w:val="center"/>
            </w:pPr>
            <w:r>
              <w:rPr>
                <w:rFonts w:ascii="宋体" w:hAnsi="宋体"/>
                <w:sz w:val="18"/>
              </w:rPr>
              <w:t>2023年奇台县隐性债务工程化解项目</w:t>
            </w:r>
          </w:p>
        </w:tc>
      </w:tr>
      <w:tr w14:paraId="4A87933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5B8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F954B4C">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1D76A4C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B9B93F2">
            <w:pPr>
              <w:jc w:val="center"/>
            </w:pPr>
            <w:r>
              <w:rPr>
                <w:rFonts w:ascii="宋体" w:hAnsi="宋体"/>
                <w:sz w:val="18"/>
              </w:rPr>
              <w:t>奇台县商务和工业信息化局</w:t>
            </w:r>
          </w:p>
        </w:tc>
      </w:tr>
      <w:tr w14:paraId="4FDCE6A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2778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531A4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2512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F43B5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39608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D5A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56FE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96A58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9B1EF7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8A0B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DBD4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733453">
            <w:pPr>
              <w:jc w:val="center"/>
            </w:pPr>
            <w:r>
              <w:rPr>
                <w:rFonts w:ascii="宋体" w:hAnsi="宋体"/>
                <w:sz w:val="18"/>
              </w:rPr>
              <w:t>15.33</w:t>
            </w:r>
          </w:p>
        </w:tc>
        <w:tc>
          <w:tcPr>
            <w:tcW w:w="1266" w:type="dxa"/>
            <w:tcBorders>
              <w:top w:val="nil"/>
              <w:left w:val="nil"/>
              <w:bottom w:val="single" w:color="auto" w:sz="4" w:space="0"/>
              <w:right w:val="single" w:color="auto" w:sz="4" w:space="0"/>
            </w:tcBorders>
            <w:shd w:val="clear" w:color="auto" w:fill="auto"/>
            <w:noWrap/>
            <w:vAlign w:val="center"/>
          </w:tcPr>
          <w:p w14:paraId="5CAB0C1F">
            <w:pPr>
              <w:jc w:val="center"/>
            </w:pPr>
            <w:r>
              <w:rPr>
                <w:rFonts w:ascii="宋体" w:hAnsi="宋体"/>
                <w:sz w:val="18"/>
              </w:rPr>
              <w:t>1,905.93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8FCF567">
            <w:pPr>
              <w:jc w:val="center"/>
            </w:pPr>
            <w:r>
              <w:rPr>
                <w:rFonts w:ascii="宋体" w:hAnsi="宋体"/>
                <w:sz w:val="18"/>
              </w:rPr>
              <w:t>1,688.61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5F38B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0FF5E9">
            <w:pPr>
              <w:jc w:val="center"/>
            </w:pPr>
            <w:r>
              <w:rPr>
                <w:rFonts w:ascii="宋体" w:hAnsi="宋体"/>
                <w:sz w:val="18"/>
              </w:rPr>
              <w:t>88.60%</w:t>
            </w:r>
          </w:p>
        </w:tc>
        <w:tc>
          <w:tcPr>
            <w:tcW w:w="1417" w:type="dxa"/>
            <w:tcBorders>
              <w:top w:val="nil"/>
              <w:left w:val="nil"/>
              <w:bottom w:val="single" w:color="auto" w:sz="4" w:space="0"/>
              <w:right w:val="single" w:color="auto" w:sz="4" w:space="0"/>
            </w:tcBorders>
            <w:shd w:val="clear" w:color="auto" w:fill="auto"/>
            <w:vAlign w:val="center"/>
          </w:tcPr>
          <w:p w14:paraId="0259CA48">
            <w:pPr>
              <w:jc w:val="center"/>
            </w:pPr>
            <w:r>
              <w:rPr>
                <w:rFonts w:ascii="宋体" w:hAnsi="宋体"/>
                <w:sz w:val="18"/>
              </w:rPr>
              <w:t>7.15</w:t>
            </w:r>
          </w:p>
        </w:tc>
      </w:tr>
      <w:tr w14:paraId="3F426E0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3BA03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7F1B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3BBCD8">
            <w:pPr>
              <w:jc w:val="center"/>
            </w:pPr>
            <w:r>
              <w:rPr>
                <w:rFonts w:ascii="宋体" w:hAnsi="宋体"/>
                <w:sz w:val="18"/>
              </w:rPr>
              <w:t>15.33</w:t>
            </w:r>
          </w:p>
        </w:tc>
        <w:tc>
          <w:tcPr>
            <w:tcW w:w="1266" w:type="dxa"/>
            <w:tcBorders>
              <w:top w:val="nil"/>
              <w:left w:val="nil"/>
              <w:bottom w:val="single" w:color="auto" w:sz="4" w:space="0"/>
              <w:right w:val="single" w:color="auto" w:sz="4" w:space="0"/>
            </w:tcBorders>
            <w:shd w:val="clear" w:color="auto" w:fill="auto"/>
            <w:noWrap/>
            <w:vAlign w:val="center"/>
          </w:tcPr>
          <w:p w14:paraId="05C88F67">
            <w:pPr>
              <w:jc w:val="center"/>
            </w:pPr>
            <w:r>
              <w:rPr>
                <w:rFonts w:ascii="宋体" w:hAnsi="宋体"/>
                <w:sz w:val="18"/>
              </w:rPr>
              <w:t>1,905.93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A32093A">
            <w:pPr>
              <w:jc w:val="center"/>
            </w:pPr>
            <w:r>
              <w:rPr>
                <w:rFonts w:ascii="宋体" w:hAnsi="宋体"/>
                <w:sz w:val="18"/>
              </w:rPr>
              <w:t>1,688.61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C98F9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B0E7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4A37E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2D9C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84F4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B489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FB969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FCDD07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5C421E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547F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4B56F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F71DC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BFCCC5">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D3AE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1D8E4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8C496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0E8C5EC">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1F938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36BACCF">
            <w:pPr>
              <w:jc w:val="left"/>
            </w:pPr>
            <w:r>
              <w:rPr>
                <w:rFonts w:ascii="宋体" w:hAnsi="宋体"/>
                <w:sz w:val="18"/>
              </w:rPr>
              <w:t>为加强食品园区基础设施建设，我单位委托新疆远西电力建设工程有限公司实施奇台县食品加工园区10KV变配电建设工程项目，项目完成后，与新疆远西电力建设工程有限公司签订隐形债务协议，每年还款15.3312万元。为履行协议，有效保障政府公信力，大力支持企业发展，每年按期还款15.3312万元。计划今年支付笔数1笔，债务资金支付完成率达100%，债务还款准确率达100%，债务资金按期支付率达100%，债务资金支付率达100%，有效保障单位良好信用，支付对象满意度达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4D16A54">
            <w:pPr>
              <w:jc w:val="left"/>
            </w:pPr>
            <w:r>
              <w:rPr>
                <w:rFonts w:ascii="宋体" w:hAnsi="宋体"/>
                <w:sz w:val="18"/>
              </w:rPr>
              <w:t>按照要求足额纳入政府预算，其中融资平台贷款按照时间节点足额偿还债务本息，考虑到我县隐性债务数额较大，无法在短时间内完成，争取2026年先行将隐性债务中政府支出事项(工程欠款)提前完成化解，化解目标如下：2023年9-12月偿还4.96亿元(其中：工程欠款1.59亿元；2023年全年完成隐性债务化解6.85亿元),2024年偿还5.86亿元(其中：工程欠款2.61元),2025年偿还8.88亿元(其中：工程欠款2.85亿元),2026年偿还7.31亿元(其中：工程欠款1.81亿元),2027年偿还5.47亿元，2028年偿还6.27亿元。奇台县商信局化债总金额为1905.925065万元,债务支付笔数=8次，债务资金支付完成率=100%，债务还款准确率=100%，债务资金按期支付率≥100%，债务资金支付率=100%，有效保障单位良好信用，支付对象满意度≥95%。</w:t>
            </w:r>
          </w:p>
        </w:tc>
      </w:tr>
      <w:tr w14:paraId="096DC0F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FDCB6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F71BC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4C47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51E6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6FB0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7FBD1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9C2E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AE3B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1A7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F5E99F">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28FFE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1D6E8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2614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FAA09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DEEF5D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35A8CD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3DA6D2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D9B12F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134643B">
            <w:pPr>
              <w:widowControl/>
              <w:jc w:val="left"/>
              <w:rPr>
                <w:rFonts w:hint="eastAsia" w:ascii="宋体" w:hAnsi="宋体" w:cs="宋体"/>
                <w:color w:val="000000"/>
                <w:kern w:val="0"/>
                <w:sz w:val="18"/>
                <w:szCs w:val="18"/>
              </w:rPr>
            </w:pPr>
          </w:p>
        </w:tc>
      </w:tr>
      <w:tr w14:paraId="7E59077F">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106FD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B9EBD4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3CF4B0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7DD894">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10EA96D6">
            <w:pPr>
              <w:jc w:val="center"/>
            </w:pPr>
            <w:r>
              <w:rPr>
                <w:rFonts w:ascii="宋体" w:hAnsi="宋体"/>
                <w:sz w:val="18"/>
              </w:rPr>
              <w:t>=8次</w:t>
            </w:r>
          </w:p>
        </w:tc>
        <w:tc>
          <w:tcPr>
            <w:tcW w:w="1088" w:type="dxa"/>
            <w:tcBorders>
              <w:top w:val="nil"/>
              <w:left w:val="nil"/>
              <w:bottom w:val="single" w:color="auto" w:sz="4" w:space="0"/>
              <w:right w:val="single" w:color="auto" w:sz="4" w:space="0"/>
            </w:tcBorders>
            <w:shd w:val="clear" w:color="auto" w:fill="auto"/>
            <w:vAlign w:val="center"/>
          </w:tcPr>
          <w:p w14:paraId="12A946E4">
            <w:pPr>
              <w:jc w:val="center"/>
            </w:pPr>
            <w:r>
              <w:rPr>
                <w:rFonts w:ascii="宋体" w:hAnsi="宋体"/>
                <w:sz w:val="18"/>
              </w:rPr>
              <w:t>=8次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1166AF">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9CF07C">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2A5A2">
            <w:pPr>
              <w:jc w:val="center"/>
            </w:pPr>
          </w:p>
        </w:tc>
      </w:tr>
      <w:tr w14:paraId="2081123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8196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79DC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1B003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E460CD">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66266F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162C43">
            <w:pPr>
              <w:jc w:val="center"/>
            </w:pPr>
            <w:r>
              <w:rPr>
                <w:rFonts w:ascii="宋体" w:hAnsi="宋体"/>
                <w:sz w:val="18"/>
              </w:rPr>
              <w:t>=88.6%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ACE833">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54A88C">
            <w:pPr>
              <w:jc w:val="center"/>
            </w:pPr>
            <w:r>
              <w:rPr>
                <w:rFonts w:ascii="宋体" w:hAnsi="宋体"/>
                <w:sz w:val="18"/>
              </w:rPr>
              <w:t>8.58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D2C94B">
            <w:pPr>
              <w:jc w:val="center"/>
            </w:pPr>
            <w:r>
              <w:rPr>
                <w:rFonts w:ascii="宋体" w:hAnsi="宋体"/>
                <w:sz w:val="18"/>
              </w:rPr>
              <w:t>奇台县隐形债务工程化解项目2023年总预算金额为19059250.65元，执行金额为16886092.65元，未执行金额为2173158元，未执行原因为：拖欠昌吉市政建设有限责任公司奇台县2023年中小企业债务项目化解（第八批）资产抵顶（第五批）和现金支付预算金额为4346326元，由于昌吉市政建设有限责任公司未及时开具发票，导致该项目只拨付了以资抵债部分的2173158元，剩余现金部分的2173158元未拨付。改进措施：下年度积极和财政对接，保证资金按时到位。</w:t>
            </w:r>
          </w:p>
        </w:tc>
      </w:tr>
      <w:tr w14:paraId="6FD6CD0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A3DAB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0B3E9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6C9D4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DA09F3">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1DBC9DB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7FB920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1D1B5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AF80F3">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F2ACA9">
            <w:pPr>
              <w:jc w:val="center"/>
            </w:pPr>
          </w:p>
        </w:tc>
      </w:tr>
      <w:tr w14:paraId="0948A9E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536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8E70B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872AB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7DBF37">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7D1D5E9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AC1ECB7">
            <w:pPr>
              <w:jc w:val="center"/>
            </w:pPr>
            <w:r>
              <w:rPr>
                <w:rFonts w:ascii="宋体" w:hAnsi="宋体"/>
                <w:sz w:val="18"/>
              </w:rPr>
              <w:t>=88.6%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A3150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6B7522">
            <w:pPr>
              <w:jc w:val="center"/>
            </w:pPr>
            <w:r>
              <w:rPr>
                <w:rFonts w:ascii="宋体" w:hAnsi="宋体"/>
                <w:sz w:val="18"/>
              </w:rPr>
              <w:t>3.57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7951EC">
            <w:pPr>
              <w:jc w:val="center"/>
            </w:pPr>
            <w:r>
              <w:rPr>
                <w:rFonts w:ascii="宋体" w:hAnsi="宋体"/>
                <w:sz w:val="18"/>
              </w:rPr>
              <w:t>奇台县隐形债务工程化解项目2023年总预算金额为19059250.65元，执行金额为16886092.65元，未执行金额为2173158元，未执行原因为：拖欠昌吉市政建设有限责任公司奇台县2023年中小企业债务项目化解（第八批）资产抵顶（第五批）和现金支付预算金额为4346326元，由于昌吉市政建设有限责任公司未及时开具发票，导致该项目只拨付了以资抵债部分的2173158元，剩余现金部分的2173158元未拨付。改进措施：下年度积极和财政对接，保证资金按时到位。</w:t>
            </w:r>
          </w:p>
        </w:tc>
      </w:tr>
      <w:tr w14:paraId="4640C3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AA83E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92A98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87E88D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558AFB">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11C1B35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F093F75">
            <w:pPr>
              <w:jc w:val="center"/>
            </w:pPr>
            <w:r>
              <w:rPr>
                <w:rFonts w:ascii="宋体" w:hAnsi="宋体"/>
                <w:sz w:val="18"/>
              </w:rPr>
              <w:t>=88.6%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4503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15DFE3">
            <w:pPr>
              <w:jc w:val="center"/>
            </w:pPr>
            <w:r>
              <w:rPr>
                <w:rFonts w:ascii="宋体" w:hAnsi="宋体"/>
                <w:sz w:val="18"/>
              </w:rPr>
              <w:t>14.3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3AF11D">
            <w:pPr>
              <w:jc w:val="center"/>
            </w:pPr>
            <w:r>
              <w:rPr>
                <w:rFonts w:ascii="宋体" w:hAnsi="宋体"/>
                <w:sz w:val="18"/>
              </w:rPr>
              <w:t>奇台县隐形债务工程化解项目2023年总预算金额为19059250.65元，执行金额为16886092.65元，未执行金额为2173158元，未执行原因为：拖欠昌吉市政建设有限责任公司奇台县2023年中小企业债务项目化解（第八批）资产抵顶（第五批）和现金支付预算金额为4346326元，由于昌吉市政建设有限责任公司未及时开具发票，导致该项目只拨付了以资抵债部分的2173158元，剩余现金部分的2173158元未拨付。改进措施：下年度积极和财政对接，保证资金按时到位。</w:t>
            </w:r>
          </w:p>
        </w:tc>
      </w:tr>
      <w:tr w14:paraId="3BA5940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150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88ACE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65E243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A0F7A0">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4E488932">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4FC4155C">
            <w:pPr>
              <w:jc w:val="center"/>
            </w:pPr>
            <w:r>
              <w:rPr>
                <w:rFonts w:ascii="宋体" w:hAnsi="宋体"/>
                <w:sz w:val="18"/>
              </w:rPr>
              <w:t>得到保障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744E3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E9DECF">
            <w:pPr>
              <w:jc w:val="center"/>
            </w:pPr>
            <w:r>
              <w:rPr>
                <w:rFonts w:ascii="宋体" w:hAnsi="宋体"/>
                <w:sz w:val="18"/>
              </w:rPr>
              <w:t>14.3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159FF0">
            <w:pPr>
              <w:jc w:val="center"/>
            </w:pPr>
            <w:r>
              <w:rPr>
                <w:rFonts w:ascii="宋体" w:hAnsi="宋体"/>
                <w:sz w:val="18"/>
              </w:rPr>
              <w:t>奇台县隐形债务工程化解项目2023年总预算金额为19059250.65元，执行金额为16886092.65元，未执行金额为2173158元，未执行原因为：拖欠昌吉市政建设有限责任公司奇台县2023年中小企业债务项目化解（第八批）资产抵顶（第五批）和现金支付预算金额为4346326元，由于昌吉市政建设有限责任公司未及时开具发票，导致该项目只拨付了以资抵债部分的2173158元，剩余现金部分的2173158元未拨付。改进措施：下年度积极和财政对接，保证资金按时到位。</w:t>
            </w:r>
          </w:p>
        </w:tc>
      </w:tr>
      <w:tr w14:paraId="67AA1F1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2CA23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57F15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1D397B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70F96A">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121D237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2E72CE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B37A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81C4D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68DB1A">
            <w:pPr>
              <w:jc w:val="center"/>
            </w:pPr>
          </w:p>
        </w:tc>
      </w:tr>
      <w:tr w14:paraId="7A79638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47729A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A86521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E076B49">
            <w:pPr>
              <w:jc w:val="center"/>
            </w:pPr>
            <w:r>
              <w:rPr>
                <w:rFonts w:ascii="宋体" w:hAnsi="宋体"/>
                <w:sz w:val="18"/>
              </w:rPr>
              <w:t>80.9分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AB94D4">
            <w:pPr>
              <w:jc w:val="center"/>
            </w:pPr>
          </w:p>
        </w:tc>
      </w:tr>
    </w:tbl>
    <w:p w14:paraId="1DEC1C12">
      <w:pPr>
        <w:rPr>
          <w:rFonts w:hint="eastAsia" w:ascii="宋体" w:hAnsi="宋体" w:cs="宋体"/>
          <w:b/>
          <w:bCs/>
          <w:kern w:val="0"/>
          <w:sz w:val="18"/>
          <w:szCs w:val="18"/>
        </w:rPr>
      </w:pPr>
    </w:p>
    <w:p w14:paraId="05FD92E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BF9F39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25185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021C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F13F830">
            <w:pPr>
              <w:jc w:val="center"/>
            </w:pPr>
            <w:r>
              <w:rPr>
                <w:rFonts w:ascii="宋体" w:hAnsi="宋体"/>
                <w:sz w:val="18"/>
              </w:rPr>
              <w:t>2023年度招商引资经费</w:t>
            </w:r>
          </w:p>
        </w:tc>
      </w:tr>
      <w:tr w14:paraId="4895996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237F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AD94696">
            <w:pPr>
              <w:jc w:val="center"/>
            </w:pPr>
            <w:r>
              <w:rPr>
                <w:rFonts w:ascii="宋体" w:hAnsi="宋体"/>
                <w:sz w:val="18"/>
              </w:rPr>
              <w:t>奇台县商务和工业信息化局</w:t>
            </w:r>
          </w:p>
        </w:tc>
        <w:tc>
          <w:tcPr>
            <w:tcW w:w="1275" w:type="dxa"/>
            <w:gridSpan w:val="2"/>
            <w:tcBorders>
              <w:top w:val="nil"/>
              <w:left w:val="nil"/>
              <w:bottom w:val="single" w:color="auto" w:sz="4" w:space="0"/>
              <w:right w:val="single" w:color="000000" w:sz="4" w:space="0"/>
            </w:tcBorders>
            <w:shd w:val="clear" w:color="auto" w:fill="auto"/>
            <w:vAlign w:val="center"/>
          </w:tcPr>
          <w:p w14:paraId="4C75A66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87CD8CA">
            <w:pPr>
              <w:jc w:val="center"/>
            </w:pPr>
            <w:r>
              <w:rPr>
                <w:rFonts w:ascii="宋体" w:hAnsi="宋体"/>
                <w:sz w:val="18"/>
              </w:rPr>
              <w:t>奇台县商务和工业信息化局</w:t>
            </w:r>
          </w:p>
        </w:tc>
      </w:tr>
      <w:tr w14:paraId="1C0C2D4C">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2A93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6E5C7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EDDCD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E2518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03A65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B43E1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26C2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80DFF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CF2D9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3281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9ACF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2258E4">
            <w:pPr>
              <w:jc w:val="center"/>
            </w:pPr>
            <w:r>
              <w:rPr>
                <w:rFonts w:ascii="宋体" w:hAnsi="宋体"/>
                <w:sz w:val="18"/>
              </w:rPr>
              <w:t>30.00</w:t>
            </w:r>
          </w:p>
        </w:tc>
        <w:tc>
          <w:tcPr>
            <w:tcW w:w="1125" w:type="dxa"/>
            <w:tcBorders>
              <w:top w:val="nil"/>
              <w:left w:val="nil"/>
              <w:bottom w:val="single" w:color="auto" w:sz="4" w:space="0"/>
              <w:right w:val="single" w:color="auto" w:sz="4" w:space="0"/>
            </w:tcBorders>
            <w:shd w:val="clear" w:color="auto" w:fill="auto"/>
            <w:noWrap/>
            <w:vAlign w:val="center"/>
          </w:tcPr>
          <w:p w14:paraId="24B8FADF">
            <w:pPr>
              <w:jc w:val="center"/>
            </w:pPr>
            <w:r>
              <w:rPr>
                <w:rFonts w:ascii="宋体" w:hAnsi="宋体"/>
                <w:sz w:val="18"/>
              </w:rPr>
              <w:t>95.00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77D00E5">
            <w:pPr>
              <w:jc w:val="center"/>
            </w:pPr>
            <w:r>
              <w:rPr>
                <w:rFonts w:ascii="宋体" w:hAnsi="宋体"/>
                <w:sz w:val="18"/>
              </w:rPr>
              <w:t>79.10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19840C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8F93E14">
            <w:pPr>
              <w:jc w:val="center"/>
            </w:pPr>
            <w:r>
              <w:rPr>
                <w:rFonts w:ascii="宋体" w:hAnsi="宋体"/>
                <w:sz w:val="18"/>
              </w:rPr>
              <w:t>83.26%</w:t>
            </w:r>
          </w:p>
        </w:tc>
        <w:tc>
          <w:tcPr>
            <w:tcW w:w="1275" w:type="dxa"/>
            <w:tcBorders>
              <w:top w:val="nil"/>
              <w:left w:val="nil"/>
              <w:bottom w:val="single" w:color="auto" w:sz="4" w:space="0"/>
              <w:right w:val="single" w:color="auto" w:sz="4" w:space="0"/>
            </w:tcBorders>
            <w:shd w:val="clear" w:color="auto" w:fill="auto"/>
            <w:vAlign w:val="center"/>
          </w:tcPr>
          <w:p w14:paraId="5CCF3272">
            <w:pPr>
              <w:jc w:val="center"/>
            </w:pPr>
            <w:r>
              <w:rPr>
                <w:rFonts w:ascii="宋体" w:hAnsi="宋体"/>
                <w:sz w:val="18"/>
              </w:rPr>
              <w:t>5.82</w:t>
            </w:r>
          </w:p>
        </w:tc>
      </w:tr>
      <w:tr w14:paraId="4674B64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13A1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1D76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4F68D1">
            <w:pPr>
              <w:jc w:val="center"/>
            </w:pPr>
            <w:r>
              <w:rPr>
                <w:rFonts w:ascii="宋体" w:hAnsi="宋体"/>
                <w:sz w:val="18"/>
              </w:rPr>
              <w:t>30.00</w:t>
            </w:r>
          </w:p>
        </w:tc>
        <w:tc>
          <w:tcPr>
            <w:tcW w:w="1125" w:type="dxa"/>
            <w:tcBorders>
              <w:top w:val="nil"/>
              <w:left w:val="nil"/>
              <w:bottom w:val="single" w:color="auto" w:sz="4" w:space="0"/>
              <w:right w:val="single" w:color="auto" w:sz="4" w:space="0"/>
            </w:tcBorders>
            <w:shd w:val="clear" w:color="auto" w:fill="auto"/>
            <w:noWrap/>
            <w:vAlign w:val="center"/>
          </w:tcPr>
          <w:p w14:paraId="047510C4">
            <w:pPr>
              <w:jc w:val="center"/>
            </w:pPr>
            <w:r>
              <w:rPr>
                <w:rFonts w:ascii="宋体" w:hAnsi="宋体"/>
                <w:sz w:val="18"/>
              </w:rPr>
              <w:t>95.00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A10E5D4">
            <w:pPr>
              <w:jc w:val="center"/>
            </w:pPr>
            <w:r>
              <w:rPr>
                <w:rFonts w:ascii="宋体" w:hAnsi="宋体"/>
                <w:sz w:val="18"/>
              </w:rPr>
              <w:t>79.10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54DB9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D05C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188C1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85B75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8092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7411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D8D67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1A7D75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EFDDF9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C7808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3E977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A6B5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01584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D76E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3AAB2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67B9B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AB0C03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A5437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C19D644">
            <w:pPr>
              <w:jc w:val="left"/>
            </w:pPr>
            <w:r>
              <w:rPr>
                <w:rFonts w:ascii="宋体" w:hAnsi="宋体"/>
                <w:sz w:val="18"/>
              </w:rPr>
              <w:t>2023年实现到位资金94亿元,其中,新引进招商引资项目占比不得低于45%,工业项目占比不得低于60%,自治区组织的重大招商活动履约率不得低于90%;招商引资对固投贡献率超过50%。达到有效改善营商环境，提高企业满意度，邀请疆外来访企业洽谈企业数量超过20家，接待企业投资客商人数大于120人次，外来企业招商洽谈成交率大于10%，招商工作完成及时率100%，项目预算控制率100%的总体目标。</w:t>
            </w:r>
          </w:p>
        </w:tc>
        <w:tc>
          <w:tcPr>
            <w:tcW w:w="4677" w:type="dxa"/>
            <w:gridSpan w:val="7"/>
            <w:tcBorders>
              <w:top w:val="single" w:color="auto" w:sz="4" w:space="0"/>
              <w:left w:val="nil"/>
              <w:bottom w:val="single" w:color="auto" w:sz="4" w:space="0"/>
              <w:right w:val="single" w:color="000000" w:sz="4" w:space="0"/>
            </w:tcBorders>
            <w:shd w:val="clear" w:color="auto" w:fill="auto"/>
          </w:tcPr>
          <w:p w14:paraId="463DC4B9">
            <w:pPr>
              <w:jc w:val="left"/>
            </w:pPr>
            <w:r>
              <w:rPr>
                <w:rFonts w:ascii="宋体" w:hAnsi="宋体"/>
                <w:sz w:val="18"/>
              </w:rPr>
              <w:t>邀请疆外来访洽谈企业数量82家，接待企业投资客商人数178人，外来企业招商洽谈成交率84.14%，招商工作完成及时率100%，项目预算控制率83.26%，营商环境得到改善，企业满意度95.5%</w:t>
            </w:r>
          </w:p>
        </w:tc>
      </w:tr>
      <w:tr w14:paraId="3614090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CB54C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810D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9E5FC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15D4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B8C16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8448A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8C6C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1CE9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2A76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A60C5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9ABDFC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1B5E8D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AB2FF8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020CC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9B0F83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5306D7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DE358C0">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5D0894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2F463B">
            <w:pPr>
              <w:widowControl/>
              <w:jc w:val="left"/>
              <w:rPr>
                <w:rFonts w:hint="eastAsia" w:ascii="宋体" w:hAnsi="宋体" w:cs="宋体"/>
                <w:color w:val="000000"/>
                <w:kern w:val="0"/>
                <w:sz w:val="18"/>
                <w:szCs w:val="18"/>
              </w:rPr>
            </w:pPr>
          </w:p>
        </w:tc>
      </w:tr>
      <w:tr w14:paraId="22A37FC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3352D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0FD229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A2424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9A9262">
            <w:pPr>
              <w:jc w:val="center"/>
            </w:pPr>
            <w:r>
              <w:rPr>
                <w:rFonts w:ascii="宋体" w:hAnsi="宋体"/>
                <w:sz w:val="18"/>
              </w:rPr>
              <w:t>邀请疆外来访洽谈企业数量</w:t>
            </w:r>
          </w:p>
        </w:tc>
        <w:tc>
          <w:tcPr>
            <w:tcW w:w="1125" w:type="dxa"/>
            <w:tcBorders>
              <w:top w:val="nil"/>
              <w:left w:val="nil"/>
              <w:bottom w:val="single" w:color="auto" w:sz="4" w:space="0"/>
              <w:right w:val="single" w:color="auto" w:sz="4" w:space="0"/>
            </w:tcBorders>
            <w:shd w:val="clear" w:color="auto" w:fill="auto"/>
            <w:vAlign w:val="center"/>
          </w:tcPr>
          <w:p w14:paraId="3FEE81AF">
            <w:pPr>
              <w:jc w:val="center"/>
            </w:pPr>
            <w:r>
              <w:rPr>
                <w:rFonts w:ascii="宋体" w:hAnsi="宋体"/>
                <w:sz w:val="18"/>
              </w:rPr>
              <w:t>&gt;=80家</w:t>
            </w:r>
          </w:p>
        </w:tc>
        <w:tc>
          <w:tcPr>
            <w:tcW w:w="1229" w:type="dxa"/>
            <w:tcBorders>
              <w:top w:val="nil"/>
              <w:left w:val="nil"/>
              <w:bottom w:val="single" w:color="auto" w:sz="4" w:space="0"/>
              <w:right w:val="single" w:color="auto" w:sz="4" w:space="0"/>
            </w:tcBorders>
            <w:shd w:val="clear" w:color="auto" w:fill="auto"/>
            <w:vAlign w:val="center"/>
          </w:tcPr>
          <w:p w14:paraId="3BF1E660">
            <w:pPr>
              <w:jc w:val="center"/>
            </w:pPr>
            <w:r>
              <w:rPr>
                <w:rFonts w:ascii="宋体" w:hAnsi="宋体"/>
                <w:sz w:val="18"/>
              </w:rPr>
              <w:t>=82家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1FB582">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8324C1">
            <w:pPr>
              <w:jc w:val="center"/>
            </w:pPr>
            <w:r>
              <w:rPr>
                <w:rFonts w:ascii="宋体" w:hAnsi="宋体"/>
                <w:sz w:val="18"/>
              </w:rPr>
              <w:t>14.63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25C27F">
            <w:pPr>
              <w:jc w:val="center"/>
            </w:pPr>
            <w:r>
              <w:rPr>
                <w:rFonts w:ascii="宋体" w:hAnsi="宋体"/>
                <w:sz w:val="18"/>
              </w:rPr>
              <w:t>2023年我县重视招商引资工作，加大工作力度，组织外出招商小分队集中外出招商，邀请多家企业来访座谈，下年度根据来访企业数量，设定目标值。</w:t>
            </w:r>
          </w:p>
        </w:tc>
      </w:tr>
      <w:tr w14:paraId="50BF272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6A59B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01EDC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0B824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926E61">
            <w:pPr>
              <w:jc w:val="center"/>
            </w:pPr>
            <w:r>
              <w:rPr>
                <w:rFonts w:ascii="宋体" w:hAnsi="宋体"/>
                <w:sz w:val="18"/>
              </w:rPr>
              <w:t>接待企业投资客商人数</w:t>
            </w:r>
          </w:p>
        </w:tc>
        <w:tc>
          <w:tcPr>
            <w:tcW w:w="1125" w:type="dxa"/>
            <w:tcBorders>
              <w:top w:val="nil"/>
              <w:left w:val="nil"/>
              <w:bottom w:val="single" w:color="auto" w:sz="4" w:space="0"/>
              <w:right w:val="single" w:color="auto" w:sz="4" w:space="0"/>
            </w:tcBorders>
            <w:shd w:val="clear" w:color="auto" w:fill="auto"/>
            <w:vAlign w:val="center"/>
          </w:tcPr>
          <w:p w14:paraId="19A1781A">
            <w:pPr>
              <w:jc w:val="center"/>
            </w:pPr>
            <w:r>
              <w:rPr>
                <w:rFonts w:ascii="宋体" w:hAnsi="宋体"/>
                <w:sz w:val="18"/>
              </w:rPr>
              <w:t>&gt;=170人</w:t>
            </w:r>
          </w:p>
        </w:tc>
        <w:tc>
          <w:tcPr>
            <w:tcW w:w="1229" w:type="dxa"/>
            <w:tcBorders>
              <w:top w:val="nil"/>
              <w:left w:val="nil"/>
              <w:bottom w:val="single" w:color="auto" w:sz="4" w:space="0"/>
              <w:right w:val="single" w:color="auto" w:sz="4" w:space="0"/>
            </w:tcBorders>
            <w:shd w:val="clear" w:color="auto" w:fill="auto"/>
            <w:vAlign w:val="center"/>
          </w:tcPr>
          <w:p w14:paraId="62893078">
            <w:pPr>
              <w:jc w:val="center"/>
            </w:pPr>
            <w:r>
              <w:rPr>
                <w:rFonts w:ascii="宋体" w:hAnsi="宋体"/>
                <w:sz w:val="18"/>
              </w:rPr>
              <w:t>=178人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15602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17B6D5">
            <w:pPr>
              <w:jc w:val="center"/>
            </w:pPr>
            <w:r>
              <w:rPr>
                <w:rFonts w:ascii="宋体" w:hAnsi="宋体"/>
                <w:sz w:val="18"/>
              </w:rPr>
              <w:t>9.6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CDAEFE">
            <w:pPr>
              <w:jc w:val="center"/>
            </w:pPr>
            <w:r>
              <w:rPr>
                <w:rFonts w:ascii="宋体" w:hAnsi="宋体"/>
                <w:sz w:val="18"/>
              </w:rPr>
              <w:t>2023年我县重视招商引资工作，加大工作力度，组织外出招商小分队集中外出招商，邀请多家企业来访座谈，接待企业来访人员数量增多，下年度根据来访企业数量，设定目标值。</w:t>
            </w:r>
          </w:p>
        </w:tc>
      </w:tr>
      <w:tr w14:paraId="182BE24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4E15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8A86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5CF3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FC7450">
            <w:pPr>
              <w:jc w:val="center"/>
            </w:pPr>
            <w:r>
              <w:rPr>
                <w:rFonts w:ascii="宋体" w:hAnsi="宋体"/>
                <w:sz w:val="18"/>
              </w:rPr>
              <w:t>外来企业招商洽谈成交率</w:t>
            </w:r>
          </w:p>
        </w:tc>
        <w:tc>
          <w:tcPr>
            <w:tcW w:w="1125" w:type="dxa"/>
            <w:tcBorders>
              <w:top w:val="nil"/>
              <w:left w:val="nil"/>
              <w:bottom w:val="single" w:color="auto" w:sz="4" w:space="0"/>
              <w:right w:val="single" w:color="auto" w:sz="4" w:space="0"/>
            </w:tcBorders>
            <w:shd w:val="clear" w:color="auto" w:fill="auto"/>
            <w:vAlign w:val="center"/>
          </w:tcPr>
          <w:p w14:paraId="3306D357">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27E685E0">
            <w:pPr>
              <w:jc w:val="center"/>
            </w:pPr>
            <w:r>
              <w:rPr>
                <w:rFonts w:ascii="宋体" w:hAnsi="宋体"/>
                <w:sz w:val="18"/>
              </w:rPr>
              <w:t>=84.14%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AAB0F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542F0E">
            <w:pPr>
              <w:jc w:val="center"/>
            </w:pPr>
            <w:r>
              <w:rPr>
                <w:rFonts w:ascii="宋体" w:hAnsi="宋体"/>
                <w:sz w:val="18"/>
              </w:rPr>
              <w:t>9.48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9DE375">
            <w:pPr>
              <w:jc w:val="center"/>
            </w:pPr>
            <w:r>
              <w:rPr>
                <w:rFonts w:ascii="宋体" w:hAnsi="宋体"/>
                <w:sz w:val="18"/>
              </w:rPr>
              <w:t>2023年我县重视招商引资工作，加大工作力度，组织外出招商小分队集中外出招商，来访企业洽谈成交率超出目标值，下年度根据来访企业数量，设定目标值。</w:t>
            </w:r>
          </w:p>
        </w:tc>
      </w:tr>
      <w:tr w14:paraId="130C57A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3E7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1B63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D6827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574474">
            <w:pPr>
              <w:jc w:val="center"/>
            </w:pPr>
            <w:r>
              <w:rPr>
                <w:rFonts w:ascii="宋体" w:hAnsi="宋体"/>
                <w:sz w:val="18"/>
              </w:rPr>
              <w:t>招商工作完成及时率</w:t>
            </w:r>
          </w:p>
        </w:tc>
        <w:tc>
          <w:tcPr>
            <w:tcW w:w="1125" w:type="dxa"/>
            <w:tcBorders>
              <w:top w:val="nil"/>
              <w:left w:val="nil"/>
              <w:bottom w:val="single" w:color="auto" w:sz="4" w:space="0"/>
              <w:right w:val="single" w:color="auto" w:sz="4" w:space="0"/>
            </w:tcBorders>
            <w:shd w:val="clear" w:color="auto" w:fill="auto"/>
            <w:vAlign w:val="center"/>
          </w:tcPr>
          <w:p w14:paraId="2AE9E55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A10143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E48B7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C786B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87C138">
            <w:pPr>
              <w:jc w:val="center"/>
            </w:pPr>
          </w:p>
        </w:tc>
      </w:tr>
      <w:tr w14:paraId="71BCF6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BD1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FD66E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D6201F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F31EB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30EE9AEA">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CB9D893">
            <w:pPr>
              <w:jc w:val="center"/>
            </w:pPr>
            <w:r>
              <w:rPr>
                <w:rFonts w:ascii="宋体" w:hAnsi="宋体"/>
                <w:sz w:val="18"/>
              </w:rPr>
              <w:t>=83.26%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B669E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08947C">
            <w:pPr>
              <w:jc w:val="center"/>
            </w:pPr>
            <w:r>
              <w:rPr>
                <w:rFonts w:ascii="宋体" w:hAnsi="宋体"/>
                <w:sz w:val="18"/>
              </w:rPr>
              <w:t>11.63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353849">
            <w:pPr>
              <w:jc w:val="center"/>
            </w:pPr>
            <w:r>
              <w:rPr>
                <w:rFonts w:ascii="宋体" w:hAnsi="宋体"/>
                <w:sz w:val="18"/>
              </w:rPr>
              <w:t>2023年招商引资服务中心外出招商差旅费，接待费等相关费用发票未及时开具，下年度招商引资费用支出及时开具相关发票，及时报销。</w:t>
            </w:r>
          </w:p>
        </w:tc>
      </w:tr>
      <w:tr w14:paraId="0CB488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55E03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882C3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9164D9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AC936B">
            <w:pPr>
              <w:jc w:val="center"/>
            </w:pPr>
            <w:r>
              <w:rPr>
                <w:rFonts w:ascii="宋体" w:hAnsi="宋体"/>
                <w:sz w:val="18"/>
              </w:rPr>
              <w:t>有效改善营商环境</w:t>
            </w:r>
          </w:p>
        </w:tc>
        <w:tc>
          <w:tcPr>
            <w:tcW w:w="1125" w:type="dxa"/>
            <w:tcBorders>
              <w:top w:val="nil"/>
              <w:left w:val="nil"/>
              <w:bottom w:val="single" w:color="auto" w:sz="4" w:space="0"/>
              <w:right w:val="single" w:color="auto" w:sz="4" w:space="0"/>
            </w:tcBorders>
            <w:shd w:val="clear" w:color="auto" w:fill="auto"/>
            <w:vAlign w:val="center"/>
          </w:tcPr>
          <w:p w14:paraId="62A054CC">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3BE209A6">
            <w:pPr>
              <w:jc w:val="center"/>
            </w:pPr>
            <w:r>
              <w:rPr>
                <w:rFonts w:ascii="宋体" w:hAnsi="宋体"/>
                <w:sz w:val="18"/>
              </w:rPr>
              <w:t>得到改善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99029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053A2A">
            <w:pPr>
              <w:jc w:val="center"/>
            </w:pPr>
            <w:r>
              <w:rPr>
                <w:rFonts w:ascii="宋体" w:hAnsi="宋体"/>
                <w:sz w:val="18"/>
              </w:rPr>
              <w:t>16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9538E6">
            <w:pPr>
              <w:jc w:val="center"/>
            </w:pPr>
            <w:r>
              <w:rPr>
                <w:rFonts w:ascii="宋体" w:hAnsi="宋体"/>
                <w:sz w:val="18"/>
              </w:rPr>
              <w:t>2023年招商引资服务中心外出招商差旅费，接待费等相关费用发票未及时开具，下年度招商引资费用支出及时开具相关发票，及时报销。</w:t>
            </w:r>
          </w:p>
        </w:tc>
      </w:tr>
      <w:tr w14:paraId="033DDAC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EB31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E55B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30589F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8A98E8">
            <w:pPr>
              <w:jc w:val="center"/>
            </w:pPr>
            <w:r>
              <w:rPr>
                <w:rFonts w:ascii="宋体" w:hAnsi="宋体"/>
                <w:sz w:val="18"/>
              </w:rPr>
              <w:t>企业满意度</w:t>
            </w:r>
          </w:p>
        </w:tc>
        <w:tc>
          <w:tcPr>
            <w:tcW w:w="1125" w:type="dxa"/>
            <w:tcBorders>
              <w:top w:val="nil"/>
              <w:left w:val="nil"/>
              <w:bottom w:val="single" w:color="auto" w:sz="4" w:space="0"/>
              <w:right w:val="single" w:color="auto" w:sz="4" w:space="0"/>
            </w:tcBorders>
            <w:shd w:val="clear" w:color="auto" w:fill="auto"/>
            <w:vAlign w:val="center"/>
          </w:tcPr>
          <w:p w14:paraId="7E18BD8A">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62C5F5B">
            <w:pPr>
              <w:jc w:val="center"/>
            </w:pPr>
            <w:r>
              <w:rPr>
                <w:rFonts w:ascii="宋体" w:hAnsi="宋体"/>
                <w:sz w:val="18"/>
              </w:rPr>
              <w:t>=95.5%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F52E23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BD9F7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9A79C2">
            <w:pPr>
              <w:jc w:val="center"/>
            </w:pPr>
            <w:r>
              <w:rPr>
                <w:rFonts w:ascii="宋体" w:hAnsi="宋体"/>
                <w:sz w:val="18"/>
              </w:rPr>
              <w:t>2023年我县重视招商引资工作，加大工作力度，成立招商引资项目前期手续代办处，提高企业满意度。</w:t>
            </w:r>
          </w:p>
        </w:tc>
      </w:tr>
      <w:tr w14:paraId="1721B27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FF9D5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74445F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13DBF9F">
            <w:pPr>
              <w:jc w:val="center"/>
            </w:pPr>
            <w:r>
              <w:rPr>
                <w:rFonts w:ascii="宋体" w:hAnsi="宋体"/>
                <w:sz w:val="18"/>
              </w:rPr>
              <w:t>82.16分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ECFFE4">
            <w:pPr>
              <w:jc w:val="center"/>
            </w:pPr>
          </w:p>
        </w:tc>
      </w:tr>
    </w:tbl>
    <w:p w14:paraId="02C80A2D">
      <w:pPr>
        <w:rPr>
          <w:rFonts w:hint="eastAsia" w:ascii="宋体" w:hAnsi="宋体" w:cs="宋体"/>
          <w:b/>
          <w:bCs/>
          <w:kern w:val="0"/>
          <w:sz w:val="18"/>
          <w:szCs w:val="18"/>
        </w:rPr>
      </w:pPr>
    </w:p>
    <w:p w14:paraId="4F3B016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5B1372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04B6A9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D3A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CD7DD24">
            <w:pPr>
              <w:jc w:val="center"/>
            </w:pPr>
            <w:r>
              <w:rPr>
                <w:rFonts w:ascii="宋体" w:hAnsi="宋体"/>
                <w:sz w:val="18"/>
              </w:rPr>
              <w:t>奇台县口岸经济协作办办公经费</w:t>
            </w:r>
          </w:p>
        </w:tc>
      </w:tr>
      <w:tr w14:paraId="33A32D2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462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6440824">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7AF8FBE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CE4E147">
            <w:pPr>
              <w:jc w:val="center"/>
            </w:pPr>
            <w:r>
              <w:rPr>
                <w:rFonts w:ascii="宋体" w:hAnsi="宋体"/>
                <w:sz w:val="18"/>
              </w:rPr>
              <w:t>奇台县商务和工业信息化局</w:t>
            </w:r>
          </w:p>
        </w:tc>
      </w:tr>
      <w:tr w14:paraId="302D379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07C1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A2BBC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8098C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156EC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EBD29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9FD2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ACCE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3781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E3707B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B9CB1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B0C5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A18698">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1EB53A61">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98D67D1">
            <w:pPr>
              <w:jc w:val="center"/>
            </w:pPr>
            <w:r>
              <w:rPr>
                <w:rFonts w:ascii="宋体" w:hAnsi="宋体"/>
                <w:sz w:val="18"/>
              </w:rPr>
              <w:t>4.80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D488D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49206ED">
            <w:pPr>
              <w:jc w:val="center"/>
            </w:pPr>
            <w:r>
              <w:rPr>
                <w:rFonts w:ascii="宋体" w:hAnsi="宋体"/>
                <w:sz w:val="18"/>
              </w:rPr>
              <w:t>96.00%</w:t>
            </w:r>
          </w:p>
        </w:tc>
        <w:tc>
          <w:tcPr>
            <w:tcW w:w="1417" w:type="dxa"/>
            <w:tcBorders>
              <w:top w:val="nil"/>
              <w:left w:val="nil"/>
              <w:bottom w:val="single" w:color="auto" w:sz="4" w:space="0"/>
              <w:right w:val="single" w:color="auto" w:sz="4" w:space="0"/>
            </w:tcBorders>
            <w:shd w:val="clear" w:color="auto" w:fill="auto"/>
            <w:vAlign w:val="center"/>
          </w:tcPr>
          <w:p w14:paraId="5120B11A">
            <w:pPr>
              <w:jc w:val="center"/>
            </w:pPr>
            <w:r>
              <w:rPr>
                <w:rFonts w:ascii="宋体" w:hAnsi="宋体"/>
                <w:sz w:val="18"/>
              </w:rPr>
              <w:t>9.00</w:t>
            </w:r>
          </w:p>
        </w:tc>
      </w:tr>
      <w:tr w14:paraId="5B240A2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2FC6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CEDB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D84487">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20C9CDAE">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E44F7E">
            <w:pPr>
              <w:jc w:val="center"/>
            </w:pPr>
            <w:r>
              <w:rPr>
                <w:rFonts w:ascii="宋体" w:hAnsi="宋体"/>
                <w:sz w:val="18"/>
              </w:rPr>
              <w:t>4.80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CA99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C68C5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A5CF4B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C565F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A5A07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0A58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E8EA6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275C9D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BCBFA3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B4AFF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7266A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7CB3B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FD5586">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E530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080EB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CC9C0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B904B0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BC6A9C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F6B342B">
            <w:pPr>
              <w:jc w:val="left"/>
            </w:pPr>
            <w:r>
              <w:rPr>
                <w:rFonts w:ascii="宋体" w:hAnsi="宋体"/>
                <w:sz w:val="18"/>
              </w:rPr>
              <w:t>车辆保养维修5次、办公经费1万元、车辆加油确保做好口岸经济协调服务超过10次，保障口岸办工作正常运转，推进口岸经济发展建设项目有序进行，</w:t>
            </w:r>
          </w:p>
        </w:tc>
        <w:tc>
          <w:tcPr>
            <w:tcW w:w="4536" w:type="dxa"/>
            <w:gridSpan w:val="7"/>
            <w:tcBorders>
              <w:top w:val="single" w:color="auto" w:sz="4" w:space="0"/>
              <w:left w:val="nil"/>
              <w:bottom w:val="single" w:color="auto" w:sz="4" w:space="0"/>
              <w:right w:val="single" w:color="000000" w:sz="4" w:space="0"/>
            </w:tcBorders>
            <w:shd w:val="clear" w:color="auto" w:fill="auto"/>
          </w:tcPr>
          <w:p w14:paraId="3EBD3468">
            <w:pPr>
              <w:jc w:val="left"/>
            </w:pPr>
            <w:r>
              <w:rPr>
                <w:rFonts w:ascii="宋体" w:hAnsi="宋体"/>
                <w:sz w:val="18"/>
              </w:rPr>
              <w:t>2023年口岸办各项指标都能按照预期指标按时完成，主要用作于前往乌拉斯台口岸出差、车辆维修、加油，办公耗材支出。办公耗材购买数量=3件，车辆加油次数＞=8次，车辆维修保养次数=5次，办公耗材验收合格率&gt;=98%，车辆维修验收合格率&gt;=95%，办公耗材送达及时率100%，车辆维修及时率100%，办公耗材支出=1万元，车辆加油支出=1万元，车辆维修支出=2.3万元，保障口岸办工作正常运转=95%，口岸办工作人员满意度=95%。</w:t>
            </w:r>
          </w:p>
        </w:tc>
      </w:tr>
      <w:tr w14:paraId="5935BE5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9A3B4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CE206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61AEE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3336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1D065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2C5E8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70AF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00E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EBCD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14F6DC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DD422B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43A94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4C2060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6CF57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912547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F3F188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29D78F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3782B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29E632D">
            <w:pPr>
              <w:widowControl/>
              <w:jc w:val="left"/>
              <w:rPr>
                <w:rFonts w:hint="eastAsia" w:ascii="宋体" w:hAnsi="宋体" w:cs="宋体"/>
                <w:color w:val="000000"/>
                <w:kern w:val="0"/>
                <w:sz w:val="18"/>
                <w:szCs w:val="18"/>
              </w:rPr>
            </w:pPr>
          </w:p>
        </w:tc>
      </w:tr>
      <w:tr w14:paraId="4242F01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32EFC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026055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DA7456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1E4ABE">
            <w:pPr>
              <w:jc w:val="center"/>
            </w:pPr>
            <w:r>
              <w:rPr>
                <w:rFonts w:ascii="宋体" w:hAnsi="宋体"/>
                <w:sz w:val="18"/>
              </w:rPr>
              <w:t>车辆维修保养次数</w:t>
            </w:r>
          </w:p>
        </w:tc>
        <w:tc>
          <w:tcPr>
            <w:tcW w:w="1266" w:type="dxa"/>
            <w:tcBorders>
              <w:top w:val="nil"/>
              <w:left w:val="nil"/>
              <w:bottom w:val="single" w:color="auto" w:sz="4" w:space="0"/>
              <w:right w:val="single" w:color="auto" w:sz="4" w:space="0"/>
            </w:tcBorders>
            <w:shd w:val="clear" w:color="auto" w:fill="auto"/>
            <w:vAlign w:val="center"/>
          </w:tcPr>
          <w:p w14:paraId="2626626C">
            <w:pPr>
              <w:jc w:val="center"/>
            </w:pPr>
            <w:r>
              <w:rPr>
                <w:rFonts w:ascii="宋体" w:hAnsi="宋体"/>
                <w:sz w:val="18"/>
              </w:rPr>
              <w:t>&lt;=5次</w:t>
            </w:r>
          </w:p>
        </w:tc>
        <w:tc>
          <w:tcPr>
            <w:tcW w:w="1088" w:type="dxa"/>
            <w:tcBorders>
              <w:top w:val="nil"/>
              <w:left w:val="nil"/>
              <w:bottom w:val="single" w:color="auto" w:sz="4" w:space="0"/>
              <w:right w:val="single" w:color="auto" w:sz="4" w:space="0"/>
            </w:tcBorders>
            <w:shd w:val="clear" w:color="auto" w:fill="auto"/>
            <w:vAlign w:val="center"/>
          </w:tcPr>
          <w:p w14:paraId="299A8567">
            <w:pPr>
              <w:jc w:val="center"/>
            </w:pPr>
            <w:r>
              <w:rPr>
                <w:rFonts w:ascii="宋体" w:hAnsi="宋体"/>
                <w:sz w:val="18"/>
              </w:rPr>
              <w:t>=5次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FC94C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E4D117">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3632AD">
            <w:pPr>
              <w:jc w:val="center"/>
            </w:pPr>
          </w:p>
        </w:tc>
      </w:tr>
      <w:tr w14:paraId="4A20F7C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0162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3227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32ED6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CAE36F">
            <w:pPr>
              <w:jc w:val="center"/>
            </w:pPr>
            <w:r>
              <w:rPr>
                <w:rFonts w:ascii="宋体" w:hAnsi="宋体"/>
                <w:sz w:val="18"/>
              </w:rPr>
              <w:t>车辆加油次数</w:t>
            </w:r>
          </w:p>
        </w:tc>
        <w:tc>
          <w:tcPr>
            <w:tcW w:w="1266" w:type="dxa"/>
            <w:tcBorders>
              <w:top w:val="nil"/>
              <w:left w:val="nil"/>
              <w:bottom w:val="single" w:color="auto" w:sz="4" w:space="0"/>
              <w:right w:val="single" w:color="auto" w:sz="4" w:space="0"/>
            </w:tcBorders>
            <w:shd w:val="clear" w:color="auto" w:fill="auto"/>
            <w:vAlign w:val="center"/>
          </w:tcPr>
          <w:p w14:paraId="6283F0C4">
            <w:pPr>
              <w:jc w:val="center"/>
            </w:pPr>
            <w:r>
              <w:rPr>
                <w:rFonts w:ascii="宋体" w:hAnsi="宋体"/>
                <w:sz w:val="18"/>
              </w:rPr>
              <w:t>＞=10次</w:t>
            </w:r>
          </w:p>
        </w:tc>
        <w:tc>
          <w:tcPr>
            <w:tcW w:w="1088" w:type="dxa"/>
            <w:tcBorders>
              <w:top w:val="nil"/>
              <w:left w:val="nil"/>
              <w:bottom w:val="single" w:color="auto" w:sz="4" w:space="0"/>
              <w:right w:val="single" w:color="auto" w:sz="4" w:space="0"/>
            </w:tcBorders>
            <w:shd w:val="clear" w:color="auto" w:fill="auto"/>
            <w:vAlign w:val="center"/>
          </w:tcPr>
          <w:p w14:paraId="7AB86811">
            <w:pPr>
              <w:jc w:val="center"/>
            </w:pPr>
            <w:r>
              <w:rPr>
                <w:rFonts w:ascii="宋体" w:hAnsi="宋体"/>
                <w:sz w:val="18"/>
              </w:rPr>
              <w:t>=8%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7D3E5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CDC502">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0BAE0D">
            <w:pPr>
              <w:jc w:val="center"/>
            </w:pPr>
            <w:r>
              <w:rPr>
                <w:rFonts w:ascii="宋体" w:hAnsi="宋体"/>
                <w:sz w:val="18"/>
              </w:rPr>
              <w:t>因机构调整，个别工作重新划分，导致出现偏差。整改措施：严格进准把握财务预算，吃透采购文件精神，确保不出现偏差；</w:t>
            </w:r>
          </w:p>
        </w:tc>
      </w:tr>
      <w:tr w14:paraId="4D49A3F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CE32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784F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95AB4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D910FF">
            <w:pPr>
              <w:jc w:val="center"/>
            </w:pPr>
            <w:r>
              <w:rPr>
                <w:rFonts w:ascii="宋体" w:hAnsi="宋体"/>
                <w:sz w:val="18"/>
              </w:rPr>
              <w:t>办公耗材购买数量</w:t>
            </w:r>
          </w:p>
        </w:tc>
        <w:tc>
          <w:tcPr>
            <w:tcW w:w="1266" w:type="dxa"/>
            <w:tcBorders>
              <w:top w:val="nil"/>
              <w:left w:val="nil"/>
              <w:bottom w:val="single" w:color="auto" w:sz="4" w:space="0"/>
              <w:right w:val="single" w:color="auto" w:sz="4" w:space="0"/>
            </w:tcBorders>
            <w:shd w:val="clear" w:color="auto" w:fill="auto"/>
            <w:vAlign w:val="center"/>
          </w:tcPr>
          <w:p w14:paraId="3E6DDBAE">
            <w:pPr>
              <w:jc w:val="center"/>
            </w:pPr>
            <w:r>
              <w:rPr>
                <w:rFonts w:ascii="宋体" w:hAnsi="宋体"/>
                <w:sz w:val="18"/>
              </w:rPr>
              <w:t>&gt;=2件</w:t>
            </w:r>
          </w:p>
        </w:tc>
        <w:tc>
          <w:tcPr>
            <w:tcW w:w="1088" w:type="dxa"/>
            <w:tcBorders>
              <w:top w:val="nil"/>
              <w:left w:val="nil"/>
              <w:bottom w:val="single" w:color="auto" w:sz="4" w:space="0"/>
              <w:right w:val="single" w:color="auto" w:sz="4" w:space="0"/>
            </w:tcBorders>
            <w:shd w:val="clear" w:color="auto" w:fill="auto"/>
            <w:vAlign w:val="center"/>
          </w:tcPr>
          <w:p w14:paraId="17918246">
            <w:pPr>
              <w:jc w:val="center"/>
            </w:pPr>
            <w:r>
              <w:rPr>
                <w:rFonts w:ascii="宋体" w:hAnsi="宋体"/>
                <w:sz w:val="18"/>
              </w:rPr>
              <w:t>=3件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3F65A9">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2BE101">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63D0AF">
            <w:pPr>
              <w:jc w:val="center"/>
            </w:pPr>
            <w:r>
              <w:rPr>
                <w:rFonts w:ascii="宋体" w:hAnsi="宋体"/>
                <w:sz w:val="18"/>
              </w:rPr>
              <w:t>因办公采购文件把握不够精准，导致出现偏差。整改措施根据州县各项文件精神，严格落实政府采购制度，吃透学透文件精神，做到政府采购执行100%。</w:t>
            </w:r>
          </w:p>
        </w:tc>
      </w:tr>
      <w:tr w14:paraId="554C5E6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230A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4E02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BC6E1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D841D3">
            <w:pPr>
              <w:jc w:val="center"/>
            </w:pPr>
            <w:r>
              <w:rPr>
                <w:rFonts w:ascii="宋体" w:hAnsi="宋体"/>
                <w:sz w:val="18"/>
              </w:rPr>
              <w:t>办公耗材验收合格率</w:t>
            </w:r>
          </w:p>
        </w:tc>
        <w:tc>
          <w:tcPr>
            <w:tcW w:w="1266" w:type="dxa"/>
            <w:tcBorders>
              <w:top w:val="nil"/>
              <w:left w:val="nil"/>
              <w:bottom w:val="single" w:color="auto" w:sz="4" w:space="0"/>
              <w:right w:val="single" w:color="auto" w:sz="4" w:space="0"/>
            </w:tcBorders>
            <w:shd w:val="clear" w:color="auto" w:fill="auto"/>
            <w:vAlign w:val="center"/>
          </w:tcPr>
          <w:p w14:paraId="7561EA7B">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486D5EA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D6059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A042AB">
            <w:pPr>
              <w:jc w:val="center"/>
            </w:pPr>
            <w:r>
              <w:rPr>
                <w:rFonts w:ascii="宋体" w:hAnsi="宋体"/>
                <w:sz w:val="18"/>
              </w:rPr>
              <w:t>4.9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2AA6C3">
            <w:pPr>
              <w:jc w:val="center"/>
            </w:pPr>
            <w:r>
              <w:rPr>
                <w:rFonts w:ascii="宋体" w:hAnsi="宋体"/>
                <w:sz w:val="18"/>
              </w:rPr>
              <w:t>办公耗材采购文件学习不够透彻，导致办公耗材验收合格率有偏差。整改措施：严格进准把握财务预算，确保不出现偏差；</w:t>
            </w:r>
          </w:p>
        </w:tc>
      </w:tr>
      <w:tr w14:paraId="5BB832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CF88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BE82C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ABA8F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7EE18D">
            <w:pPr>
              <w:jc w:val="center"/>
            </w:pPr>
            <w:r>
              <w:rPr>
                <w:rFonts w:ascii="宋体" w:hAnsi="宋体"/>
                <w:sz w:val="18"/>
              </w:rPr>
              <w:t>车辆维修验收合格率</w:t>
            </w:r>
          </w:p>
        </w:tc>
        <w:tc>
          <w:tcPr>
            <w:tcW w:w="1266" w:type="dxa"/>
            <w:tcBorders>
              <w:top w:val="nil"/>
              <w:left w:val="nil"/>
              <w:bottom w:val="single" w:color="auto" w:sz="4" w:space="0"/>
              <w:right w:val="single" w:color="auto" w:sz="4" w:space="0"/>
            </w:tcBorders>
            <w:shd w:val="clear" w:color="auto" w:fill="auto"/>
            <w:vAlign w:val="center"/>
          </w:tcPr>
          <w:p w14:paraId="429FD0C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819A4E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D74139">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EE20B8">
            <w:pPr>
              <w:jc w:val="center"/>
            </w:pPr>
            <w:r>
              <w:rPr>
                <w:rFonts w:ascii="宋体" w:hAnsi="宋体"/>
                <w:sz w:val="18"/>
              </w:rPr>
              <w:t>5.68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69F3BB">
            <w:pPr>
              <w:jc w:val="center"/>
            </w:pPr>
            <w:r>
              <w:rPr>
                <w:rFonts w:ascii="宋体" w:hAnsi="宋体"/>
                <w:sz w:val="18"/>
              </w:rPr>
              <w:t>因机构调整，个别工作重新划分，导致出现偏差；整改措施：严格按照国家政策和财务项目管理绩效系统落实，确保准确无误上报预算数据，不再出现预算调整</w:t>
            </w:r>
          </w:p>
        </w:tc>
      </w:tr>
      <w:tr w14:paraId="62990F2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EF7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20DF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2AECB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C72F52">
            <w:pPr>
              <w:jc w:val="center"/>
            </w:pPr>
            <w:r>
              <w:rPr>
                <w:rFonts w:ascii="宋体" w:hAnsi="宋体"/>
                <w:sz w:val="18"/>
              </w:rPr>
              <w:t>办公耗材送达及时率</w:t>
            </w:r>
          </w:p>
        </w:tc>
        <w:tc>
          <w:tcPr>
            <w:tcW w:w="1266" w:type="dxa"/>
            <w:tcBorders>
              <w:top w:val="nil"/>
              <w:left w:val="nil"/>
              <w:bottom w:val="single" w:color="auto" w:sz="4" w:space="0"/>
              <w:right w:val="single" w:color="auto" w:sz="4" w:space="0"/>
            </w:tcBorders>
            <w:shd w:val="clear" w:color="auto" w:fill="auto"/>
            <w:vAlign w:val="center"/>
          </w:tcPr>
          <w:p w14:paraId="316F41A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4361D2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091C3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8C228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165A75">
            <w:pPr>
              <w:jc w:val="center"/>
            </w:pPr>
          </w:p>
        </w:tc>
      </w:tr>
      <w:tr w14:paraId="0239EDA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E7EE9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B7F3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05C35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34627">
            <w:pPr>
              <w:jc w:val="center"/>
            </w:pPr>
            <w:r>
              <w:rPr>
                <w:rFonts w:ascii="宋体" w:hAnsi="宋体"/>
                <w:sz w:val="18"/>
              </w:rPr>
              <w:t>车辆维修及时率</w:t>
            </w:r>
          </w:p>
        </w:tc>
        <w:tc>
          <w:tcPr>
            <w:tcW w:w="1266" w:type="dxa"/>
            <w:tcBorders>
              <w:top w:val="nil"/>
              <w:left w:val="nil"/>
              <w:bottom w:val="single" w:color="auto" w:sz="4" w:space="0"/>
              <w:right w:val="single" w:color="auto" w:sz="4" w:space="0"/>
            </w:tcBorders>
            <w:shd w:val="clear" w:color="auto" w:fill="auto"/>
            <w:vAlign w:val="center"/>
          </w:tcPr>
          <w:p w14:paraId="384741C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0B424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D8B522">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A9B716">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E1A9C0">
            <w:pPr>
              <w:jc w:val="center"/>
            </w:pPr>
          </w:p>
        </w:tc>
      </w:tr>
      <w:tr w14:paraId="3F697FC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5F4E1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A440FE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022838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1B7C6C">
            <w:pPr>
              <w:jc w:val="center"/>
            </w:pPr>
            <w:r>
              <w:rPr>
                <w:rFonts w:ascii="宋体" w:hAnsi="宋体"/>
                <w:sz w:val="18"/>
              </w:rPr>
              <w:t>车辆加油支出</w:t>
            </w:r>
          </w:p>
        </w:tc>
        <w:tc>
          <w:tcPr>
            <w:tcW w:w="1266" w:type="dxa"/>
            <w:tcBorders>
              <w:top w:val="nil"/>
              <w:left w:val="nil"/>
              <w:bottom w:val="single" w:color="auto" w:sz="4" w:space="0"/>
              <w:right w:val="single" w:color="auto" w:sz="4" w:space="0"/>
            </w:tcBorders>
            <w:shd w:val="clear" w:color="auto" w:fill="auto"/>
            <w:vAlign w:val="center"/>
          </w:tcPr>
          <w:p w14:paraId="24811A8C">
            <w:pPr>
              <w:jc w:val="center"/>
            </w:pPr>
            <w:r>
              <w:rPr>
                <w:rFonts w:ascii="宋体" w:hAnsi="宋体"/>
                <w:sz w:val="18"/>
              </w:rPr>
              <w:t>&lt;=2.5万元</w:t>
            </w:r>
          </w:p>
        </w:tc>
        <w:tc>
          <w:tcPr>
            <w:tcW w:w="1088" w:type="dxa"/>
            <w:tcBorders>
              <w:top w:val="nil"/>
              <w:left w:val="nil"/>
              <w:bottom w:val="single" w:color="auto" w:sz="4" w:space="0"/>
              <w:right w:val="single" w:color="auto" w:sz="4" w:space="0"/>
            </w:tcBorders>
            <w:shd w:val="clear" w:color="auto" w:fill="auto"/>
            <w:vAlign w:val="center"/>
          </w:tcPr>
          <w:p w14:paraId="07E42223">
            <w:pPr>
              <w:jc w:val="center"/>
            </w:pPr>
            <w:r>
              <w:rPr>
                <w:rFonts w:ascii="宋体" w:hAnsi="宋体"/>
                <w:sz w:val="18"/>
              </w:rPr>
              <w:t>=1万元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FE51CF">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955BC7">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EE9226">
            <w:pPr>
              <w:jc w:val="center"/>
            </w:pPr>
            <w:r>
              <w:rPr>
                <w:rFonts w:ascii="宋体" w:hAnsi="宋体"/>
                <w:sz w:val="18"/>
              </w:rPr>
              <w:t>年初的预算执行时，因对各项费用预算不是很精准，导致出现偏差。整改措施：严格进准把握财务预算，吃透采购文件精神，确保不出现偏差</w:t>
            </w:r>
          </w:p>
        </w:tc>
      </w:tr>
      <w:tr w14:paraId="2E63C4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5752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0014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19949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6735A8">
            <w:pPr>
              <w:jc w:val="center"/>
            </w:pPr>
            <w:r>
              <w:rPr>
                <w:rFonts w:ascii="宋体" w:hAnsi="宋体"/>
                <w:sz w:val="18"/>
              </w:rPr>
              <w:t>办公耗材支出</w:t>
            </w:r>
          </w:p>
        </w:tc>
        <w:tc>
          <w:tcPr>
            <w:tcW w:w="1266" w:type="dxa"/>
            <w:tcBorders>
              <w:top w:val="nil"/>
              <w:left w:val="nil"/>
              <w:bottom w:val="single" w:color="auto" w:sz="4" w:space="0"/>
              <w:right w:val="single" w:color="auto" w:sz="4" w:space="0"/>
            </w:tcBorders>
            <w:shd w:val="clear" w:color="auto" w:fill="auto"/>
            <w:vAlign w:val="center"/>
          </w:tcPr>
          <w:p w14:paraId="22825A14">
            <w:pPr>
              <w:jc w:val="center"/>
            </w:pPr>
            <w:r>
              <w:rPr>
                <w:rFonts w:ascii="宋体" w:hAnsi="宋体"/>
                <w:sz w:val="18"/>
              </w:rPr>
              <w:t>&lt;=1万元</w:t>
            </w:r>
          </w:p>
        </w:tc>
        <w:tc>
          <w:tcPr>
            <w:tcW w:w="1088" w:type="dxa"/>
            <w:tcBorders>
              <w:top w:val="nil"/>
              <w:left w:val="nil"/>
              <w:bottom w:val="single" w:color="auto" w:sz="4" w:space="0"/>
              <w:right w:val="single" w:color="auto" w:sz="4" w:space="0"/>
            </w:tcBorders>
            <w:shd w:val="clear" w:color="auto" w:fill="auto"/>
            <w:vAlign w:val="center"/>
          </w:tcPr>
          <w:p w14:paraId="7DC68841">
            <w:pPr>
              <w:jc w:val="center"/>
            </w:pPr>
            <w:r>
              <w:rPr>
                <w:rFonts w:ascii="宋体" w:hAnsi="宋体"/>
                <w:sz w:val="18"/>
              </w:rPr>
              <w:t>=1万元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662165">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1BFC3B">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A8236C">
            <w:pPr>
              <w:jc w:val="center"/>
            </w:pPr>
          </w:p>
        </w:tc>
      </w:tr>
      <w:tr w14:paraId="2329641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EA28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2F080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53408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DFEC17">
            <w:pPr>
              <w:jc w:val="center"/>
            </w:pPr>
            <w:r>
              <w:rPr>
                <w:rFonts w:ascii="宋体" w:hAnsi="宋体"/>
                <w:sz w:val="18"/>
              </w:rPr>
              <w:t>车辆维修支出</w:t>
            </w:r>
          </w:p>
        </w:tc>
        <w:tc>
          <w:tcPr>
            <w:tcW w:w="1266" w:type="dxa"/>
            <w:tcBorders>
              <w:top w:val="nil"/>
              <w:left w:val="nil"/>
              <w:bottom w:val="single" w:color="auto" w:sz="4" w:space="0"/>
              <w:right w:val="single" w:color="auto" w:sz="4" w:space="0"/>
            </w:tcBorders>
            <w:shd w:val="clear" w:color="auto" w:fill="auto"/>
            <w:vAlign w:val="center"/>
          </w:tcPr>
          <w:p w14:paraId="7970EECA">
            <w:pPr>
              <w:jc w:val="center"/>
            </w:pPr>
            <w:r>
              <w:rPr>
                <w:rFonts w:ascii="宋体" w:hAnsi="宋体"/>
                <w:sz w:val="18"/>
              </w:rPr>
              <w:t>&lt;=1.5万元</w:t>
            </w:r>
          </w:p>
        </w:tc>
        <w:tc>
          <w:tcPr>
            <w:tcW w:w="1088" w:type="dxa"/>
            <w:tcBorders>
              <w:top w:val="nil"/>
              <w:left w:val="nil"/>
              <w:bottom w:val="single" w:color="auto" w:sz="4" w:space="0"/>
              <w:right w:val="single" w:color="auto" w:sz="4" w:space="0"/>
            </w:tcBorders>
            <w:shd w:val="clear" w:color="auto" w:fill="auto"/>
            <w:vAlign w:val="center"/>
          </w:tcPr>
          <w:p w14:paraId="7C85C3AD">
            <w:pPr>
              <w:jc w:val="center"/>
            </w:pPr>
            <w:r>
              <w:rPr>
                <w:rFonts w:ascii="宋体" w:hAnsi="宋体"/>
                <w:sz w:val="18"/>
              </w:rPr>
              <w:t>=1.79万元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B0AD46">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F41FC9">
            <w:pPr>
              <w:jc w:val="center"/>
            </w:pPr>
            <w:r>
              <w:rPr>
                <w:rFonts w:ascii="宋体" w:hAnsi="宋体"/>
                <w:sz w:val="18"/>
              </w:rPr>
              <w:t>4.84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743531">
            <w:pPr>
              <w:jc w:val="center"/>
            </w:pPr>
            <w:r>
              <w:rPr>
                <w:rFonts w:ascii="宋体" w:hAnsi="宋体"/>
                <w:sz w:val="18"/>
              </w:rPr>
              <w:t>因机构调整，个别工作重新划分，预算把握不精准，导致出现偏差。整改措施：根据州县各项文件精神，严格落实政府采购制度，吃透学透文件精神，做到政府采购执行100%。</w:t>
            </w:r>
          </w:p>
        </w:tc>
      </w:tr>
      <w:tr w14:paraId="33ABC56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F228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0264D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4E3D17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E7AD02">
            <w:pPr>
              <w:jc w:val="center"/>
            </w:pPr>
            <w:r>
              <w:rPr>
                <w:rFonts w:ascii="宋体" w:hAnsi="宋体"/>
                <w:sz w:val="18"/>
              </w:rPr>
              <w:t>保障口岸办工作正常运转</w:t>
            </w:r>
          </w:p>
        </w:tc>
        <w:tc>
          <w:tcPr>
            <w:tcW w:w="1266" w:type="dxa"/>
            <w:tcBorders>
              <w:top w:val="nil"/>
              <w:left w:val="nil"/>
              <w:bottom w:val="single" w:color="auto" w:sz="4" w:space="0"/>
              <w:right w:val="single" w:color="auto" w:sz="4" w:space="0"/>
            </w:tcBorders>
            <w:shd w:val="clear" w:color="auto" w:fill="auto"/>
            <w:vAlign w:val="center"/>
          </w:tcPr>
          <w:p w14:paraId="0CE4D2F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17EDC4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D63CC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E6351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8ED5C5">
            <w:pPr>
              <w:jc w:val="center"/>
            </w:pPr>
          </w:p>
        </w:tc>
      </w:tr>
      <w:tr w14:paraId="6DE838E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C1BE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C11D3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98A3B3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0E9954">
            <w:pPr>
              <w:jc w:val="center"/>
            </w:pPr>
            <w:r>
              <w:rPr>
                <w:rFonts w:ascii="宋体" w:hAnsi="宋体"/>
                <w:sz w:val="18"/>
              </w:rPr>
              <w:t>口岸办工作人员满意度</w:t>
            </w:r>
          </w:p>
        </w:tc>
        <w:tc>
          <w:tcPr>
            <w:tcW w:w="1266" w:type="dxa"/>
            <w:tcBorders>
              <w:top w:val="nil"/>
              <w:left w:val="nil"/>
              <w:bottom w:val="single" w:color="auto" w:sz="4" w:space="0"/>
              <w:right w:val="single" w:color="auto" w:sz="4" w:space="0"/>
            </w:tcBorders>
            <w:shd w:val="clear" w:color="auto" w:fill="auto"/>
            <w:vAlign w:val="center"/>
          </w:tcPr>
          <w:p w14:paraId="761CF80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0639CC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814FC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DEAA4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378B50">
            <w:pPr>
              <w:jc w:val="center"/>
            </w:pPr>
          </w:p>
        </w:tc>
      </w:tr>
      <w:tr w14:paraId="5235AE5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0DBE2A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E92850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605E9AF">
            <w:pPr>
              <w:jc w:val="center"/>
            </w:pPr>
            <w:r>
              <w:rPr>
                <w:rFonts w:ascii="宋体" w:hAnsi="宋体"/>
                <w:sz w:val="18"/>
              </w:rPr>
              <w:t>84.42分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E2ADE3">
            <w:pPr>
              <w:jc w:val="center"/>
            </w:pPr>
          </w:p>
        </w:tc>
      </w:tr>
    </w:tbl>
    <w:p w14:paraId="706E7C6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9A8313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FF1B3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761B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1F7868D">
            <w:pPr>
              <w:jc w:val="center"/>
            </w:pPr>
            <w:r>
              <w:rPr>
                <w:rFonts w:ascii="宋体" w:hAnsi="宋体"/>
                <w:sz w:val="18"/>
              </w:rPr>
              <w:t>奇台县商信局企业综合服务中心装修项目</w:t>
            </w:r>
          </w:p>
        </w:tc>
      </w:tr>
      <w:tr w14:paraId="56A43E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70CB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02E87C9">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241C041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1D58034">
            <w:pPr>
              <w:jc w:val="center"/>
            </w:pPr>
            <w:r>
              <w:rPr>
                <w:rFonts w:ascii="宋体" w:hAnsi="宋体"/>
                <w:sz w:val="18"/>
              </w:rPr>
              <w:t>奇台县商务和工业信息化局</w:t>
            </w:r>
          </w:p>
        </w:tc>
      </w:tr>
      <w:tr w14:paraId="37B37BC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F61F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237F6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2DBE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8422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D2C1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05C8D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9AC3B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F721C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4A645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A04CA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AA31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4C5FBF">
            <w:pPr>
              <w:jc w:val="center"/>
            </w:pPr>
            <w:r>
              <w:rPr>
                <w:rFonts w:ascii="宋体" w:hAnsi="宋体"/>
                <w:sz w:val="18"/>
              </w:rPr>
              <w:t>125.00</w:t>
            </w:r>
          </w:p>
        </w:tc>
        <w:tc>
          <w:tcPr>
            <w:tcW w:w="1266" w:type="dxa"/>
            <w:tcBorders>
              <w:top w:val="nil"/>
              <w:left w:val="nil"/>
              <w:bottom w:val="single" w:color="auto" w:sz="4" w:space="0"/>
              <w:right w:val="single" w:color="auto" w:sz="4" w:space="0"/>
            </w:tcBorders>
            <w:shd w:val="clear" w:color="auto" w:fill="auto"/>
            <w:noWrap/>
            <w:vAlign w:val="center"/>
          </w:tcPr>
          <w:p w14:paraId="4001FC00">
            <w:pPr>
              <w:jc w:val="center"/>
            </w:pPr>
            <w:r>
              <w:rPr>
                <w:rFonts w:ascii="宋体" w:hAnsi="宋体"/>
                <w:sz w:val="18"/>
              </w:rPr>
              <w:t>136.17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72D6F22">
            <w:pPr>
              <w:jc w:val="center"/>
            </w:pPr>
            <w:r>
              <w:rPr>
                <w:rFonts w:ascii="宋体" w:hAnsi="宋体"/>
                <w:sz w:val="18"/>
              </w:rPr>
              <w:t>136.17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0D2AB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52D882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ECC09F2">
            <w:pPr>
              <w:jc w:val="center"/>
            </w:pPr>
            <w:r>
              <w:rPr>
                <w:rFonts w:ascii="宋体" w:hAnsi="宋体"/>
                <w:sz w:val="18"/>
              </w:rPr>
              <w:t>10.00</w:t>
            </w:r>
          </w:p>
        </w:tc>
      </w:tr>
      <w:tr w14:paraId="1C576E5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D789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C0BD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2EA382">
            <w:pPr>
              <w:jc w:val="center"/>
            </w:pPr>
            <w:r>
              <w:rPr>
                <w:rFonts w:ascii="宋体" w:hAnsi="宋体"/>
                <w:sz w:val="18"/>
              </w:rPr>
              <w:t>125.00</w:t>
            </w:r>
          </w:p>
        </w:tc>
        <w:tc>
          <w:tcPr>
            <w:tcW w:w="1266" w:type="dxa"/>
            <w:tcBorders>
              <w:top w:val="nil"/>
              <w:left w:val="nil"/>
              <w:bottom w:val="single" w:color="auto" w:sz="4" w:space="0"/>
              <w:right w:val="single" w:color="auto" w:sz="4" w:space="0"/>
            </w:tcBorders>
            <w:shd w:val="clear" w:color="auto" w:fill="auto"/>
            <w:noWrap/>
            <w:vAlign w:val="center"/>
          </w:tcPr>
          <w:p w14:paraId="1D438793">
            <w:pPr>
              <w:jc w:val="center"/>
            </w:pPr>
            <w:r>
              <w:rPr>
                <w:rFonts w:ascii="宋体" w:hAnsi="宋体"/>
                <w:sz w:val="18"/>
              </w:rPr>
              <w:t>136.17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2B4C19B">
            <w:pPr>
              <w:jc w:val="center"/>
            </w:pPr>
            <w:r>
              <w:rPr>
                <w:rFonts w:ascii="宋体" w:hAnsi="宋体"/>
                <w:sz w:val="18"/>
              </w:rPr>
              <w:t>136.17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B7441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60C73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6C205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3BA8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317C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8762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D7573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63AE475">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C5B047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C635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109B4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C6964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74897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C23E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7F0FF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39976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9D888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CB520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915E926">
            <w:pPr>
              <w:jc w:val="left"/>
            </w:pPr>
            <w:r>
              <w:rPr>
                <w:rFonts w:ascii="宋体" w:hAnsi="宋体"/>
                <w:sz w:val="18"/>
              </w:rPr>
              <w:t>为进一步加大招商引资工作力度,认真贯彻落实县委、县人民政府决策部署,创新招商引资方式,努力打造更加优良的营商环境。按照县委要求，把招商引资作为“一号工程”，牢固树立大抓招商、大抓项目的意识，奇台县商务和工业信息化局着力打造一个奇台县企业综合服务中心，为招商引资企业提供一个工作对接、洽谈业务、接待服务的办公场所。装修工程量完成1315.37㎡，竣工验收合格率达到100%，项目资金支付率达到100%，项目按计划完工时间为2023年9月，项目预算控制率≤100%，正常运转率=100%，受益企业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489E2927">
            <w:pPr>
              <w:jc w:val="left"/>
            </w:pPr>
            <w:r>
              <w:rPr>
                <w:rFonts w:ascii="宋体" w:hAnsi="宋体"/>
                <w:sz w:val="18"/>
              </w:rPr>
              <w:t>为进一步加大招商引资工作力度,认真贯彻落实县委、县人民政府决策部署,创新招商引资方式,努力打造更加优良的营商环境。按照县委要求，把招商引资作为“一号工程”，牢固树立大抓招商、大抓项目的意识，奇台县商务和工业信息化局着力打造一个奇台县企业综合服务中心，为招商引资企业提供一个工作对接、洽谈业务、接待服务的办公场所。装修工程量完成1315.37㎡，竣工验收合格率达到100%，项目资金支付率达到100%，项目按计划完工时间为2023年9月，项目预算控制率≤100%，正常运转率=100%，受益企业满意度达到100%。</w:t>
            </w:r>
          </w:p>
        </w:tc>
      </w:tr>
      <w:tr w14:paraId="3EC03C7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8C325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174C2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5B2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027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BB619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3EE6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0C13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50C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F12F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36A3B7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FDCC24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314F85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6886C2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A95395">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CF855F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E05DE1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225BC2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CB0B71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26C64F8">
            <w:pPr>
              <w:widowControl/>
              <w:jc w:val="left"/>
              <w:rPr>
                <w:rFonts w:hint="eastAsia" w:ascii="宋体" w:hAnsi="宋体" w:cs="宋体"/>
                <w:color w:val="000000"/>
                <w:kern w:val="0"/>
                <w:sz w:val="18"/>
                <w:szCs w:val="18"/>
              </w:rPr>
            </w:pPr>
          </w:p>
        </w:tc>
      </w:tr>
      <w:tr w14:paraId="43691A8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77EEA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D0ADC1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4A99E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279199">
            <w:pPr>
              <w:jc w:val="center"/>
            </w:pPr>
            <w:r>
              <w:rPr>
                <w:rFonts w:ascii="宋体" w:hAnsi="宋体"/>
                <w:sz w:val="18"/>
              </w:rPr>
              <w:t>装修工程量</w:t>
            </w:r>
          </w:p>
        </w:tc>
        <w:tc>
          <w:tcPr>
            <w:tcW w:w="1266" w:type="dxa"/>
            <w:tcBorders>
              <w:top w:val="nil"/>
              <w:left w:val="nil"/>
              <w:bottom w:val="single" w:color="auto" w:sz="4" w:space="0"/>
              <w:right w:val="single" w:color="auto" w:sz="4" w:space="0"/>
            </w:tcBorders>
            <w:shd w:val="clear" w:color="auto" w:fill="auto"/>
            <w:vAlign w:val="center"/>
          </w:tcPr>
          <w:p w14:paraId="0B0990D3">
            <w:pPr>
              <w:jc w:val="center"/>
            </w:pPr>
            <w:r>
              <w:rPr>
                <w:rFonts w:ascii="宋体" w:hAnsi="宋体"/>
                <w:sz w:val="18"/>
              </w:rPr>
              <w:t>&gt;=1315.37㎡</w:t>
            </w:r>
          </w:p>
        </w:tc>
        <w:tc>
          <w:tcPr>
            <w:tcW w:w="1088" w:type="dxa"/>
            <w:tcBorders>
              <w:top w:val="nil"/>
              <w:left w:val="nil"/>
              <w:bottom w:val="single" w:color="auto" w:sz="4" w:space="0"/>
              <w:right w:val="single" w:color="auto" w:sz="4" w:space="0"/>
            </w:tcBorders>
            <w:shd w:val="clear" w:color="auto" w:fill="auto"/>
            <w:vAlign w:val="center"/>
          </w:tcPr>
          <w:p w14:paraId="090593E5">
            <w:pPr>
              <w:jc w:val="center"/>
            </w:pPr>
            <w:r>
              <w:rPr>
                <w:rFonts w:ascii="宋体" w:hAnsi="宋体"/>
                <w:sz w:val="18"/>
              </w:rPr>
              <w:t>=1315.37㎡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07763C">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4F9E8F">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82A7B9">
            <w:pPr>
              <w:jc w:val="center"/>
            </w:pPr>
          </w:p>
        </w:tc>
      </w:tr>
      <w:tr w14:paraId="072697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2BA1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D910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4C51B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E80598">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3A2B548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B56EE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F834B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0BBE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84FE90">
            <w:pPr>
              <w:jc w:val="center"/>
            </w:pPr>
          </w:p>
        </w:tc>
      </w:tr>
      <w:tr w14:paraId="796987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989E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1305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D77B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AFFA80">
            <w:pPr>
              <w:jc w:val="center"/>
            </w:pPr>
            <w:r>
              <w:rPr>
                <w:rFonts w:ascii="宋体" w:hAnsi="宋体"/>
                <w:sz w:val="18"/>
              </w:rPr>
              <w:t>项目资金支付率</w:t>
            </w:r>
          </w:p>
        </w:tc>
        <w:tc>
          <w:tcPr>
            <w:tcW w:w="1266" w:type="dxa"/>
            <w:tcBorders>
              <w:top w:val="nil"/>
              <w:left w:val="nil"/>
              <w:bottom w:val="single" w:color="auto" w:sz="4" w:space="0"/>
              <w:right w:val="single" w:color="auto" w:sz="4" w:space="0"/>
            </w:tcBorders>
            <w:shd w:val="clear" w:color="auto" w:fill="auto"/>
            <w:vAlign w:val="center"/>
          </w:tcPr>
          <w:p w14:paraId="6F2A0738">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A63DFF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93BA82">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66D468">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EF890D">
            <w:pPr>
              <w:jc w:val="center"/>
            </w:pPr>
          </w:p>
        </w:tc>
      </w:tr>
      <w:tr w14:paraId="27E784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7E047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7D4FC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6A27E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89EC57">
            <w:pPr>
              <w:jc w:val="center"/>
            </w:pPr>
            <w:r>
              <w:rPr>
                <w:rFonts w:ascii="宋体" w:hAnsi="宋体"/>
                <w:sz w:val="18"/>
              </w:rPr>
              <w:t>项目按计划完工时间</w:t>
            </w:r>
          </w:p>
        </w:tc>
        <w:tc>
          <w:tcPr>
            <w:tcW w:w="1266" w:type="dxa"/>
            <w:tcBorders>
              <w:top w:val="nil"/>
              <w:left w:val="nil"/>
              <w:bottom w:val="single" w:color="auto" w:sz="4" w:space="0"/>
              <w:right w:val="single" w:color="auto" w:sz="4" w:space="0"/>
            </w:tcBorders>
            <w:shd w:val="clear" w:color="auto" w:fill="auto"/>
            <w:vAlign w:val="center"/>
          </w:tcPr>
          <w:p w14:paraId="203C7F27">
            <w:pPr>
              <w:jc w:val="center"/>
            </w:pPr>
            <w:r>
              <w:rPr>
                <w:rFonts w:ascii="宋体" w:hAnsi="宋体"/>
                <w:sz w:val="18"/>
              </w:rPr>
              <w:t>=9月</w:t>
            </w:r>
          </w:p>
        </w:tc>
        <w:tc>
          <w:tcPr>
            <w:tcW w:w="1088" w:type="dxa"/>
            <w:tcBorders>
              <w:top w:val="nil"/>
              <w:left w:val="nil"/>
              <w:bottom w:val="single" w:color="auto" w:sz="4" w:space="0"/>
              <w:right w:val="single" w:color="auto" w:sz="4" w:space="0"/>
            </w:tcBorders>
            <w:shd w:val="clear" w:color="auto" w:fill="auto"/>
            <w:vAlign w:val="center"/>
          </w:tcPr>
          <w:p w14:paraId="4BE6C1D3">
            <w:pPr>
              <w:jc w:val="center"/>
            </w:pPr>
            <w:r>
              <w:rPr>
                <w:rFonts w:ascii="宋体" w:hAnsi="宋体"/>
                <w:sz w:val="18"/>
              </w:rPr>
              <w:t>=9月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A6A08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68617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6EC0CF">
            <w:pPr>
              <w:jc w:val="center"/>
            </w:pPr>
          </w:p>
        </w:tc>
      </w:tr>
      <w:tr w14:paraId="014254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DC21B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059E1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98F2FC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28A116">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2B8A0E3">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000DA6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C7E5F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CDAC7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5F11FF">
            <w:pPr>
              <w:jc w:val="center"/>
            </w:pPr>
          </w:p>
        </w:tc>
      </w:tr>
      <w:tr w14:paraId="6D585A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B57B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3DB3E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B2A991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405689">
            <w:pPr>
              <w:jc w:val="center"/>
            </w:pPr>
            <w:r>
              <w:rPr>
                <w:rFonts w:ascii="宋体" w:hAnsi="宋体"/>
                <w:sz w:val="18"/>
              </w:rPr>
              <w:t>正常运转率</w:t>
            </w:r>
          </w:p>
        </w:tc>
        <w:tc>
          <w:tcPr>
            <w:tcW w:w="1266" w:type="dxa"/>
            <w:tcBorders>
              <w:top w:val="nil"/>
              <w:left w:val="nil"/>
              <w:bottom w:val="single" w:color="auto" w:sz="4" w:space="0"/>
              <w:right w:val="single" w:color="auto" w:sz="4" w:space="0"/>
            </w:tcBorders>
            <w:shd w:val="clear" w:color="auto" w:fill="auto"/>
            <w:vAlign w:val="center"/>
          </w:tcPr>
          <w:p w14:paraId="3B44826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E4AE7C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AAB90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880A9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0A4726">
            <w:pPr>
              <w:jc w:val="center"/>
            </w:pPr>
          </w:p>
        </w:tc>
      </w:tr>
      <w:tr w14:paraId="21C74A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A7821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37631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1E100A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E319AE">
            <w:pPr>
              <w:jc w:val="center"/>
            </w:pPr>
            <w:r>
              <w:rPr>
                <w:rFonts w:ascii="宋体" w:hAnsi="宋体"/>
                <w:sz w:val="18"/>
              </w:rPr>
              <w:t>受益企业满意度</w:t>
            </w:r>
          </w:p>
        </w:tc>
        <w:tc>
          <w:tcPr>
            <w:tcW w:w="1266" w:type="dxa"/>
            <w:tcBorders>
              <w:top w:val="nil"/>
              <w:left w:val="nil"/>
              <w:bottom w:val="single" w:color="auto" w:sz="4" w:space="0"/>
              <w:right w:val="single" w:color="auto" w:sz="4" w:space="0"/>
            </w:tcBorders>
            <w:shd w:val="clear" w:color="auto" w:fill="auto"/>
            <w:vAlign w:val="center"/>
          </w:tcPr>
          <w:p w14:paraId="165CEA3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5926786">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9A38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83CD6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6AAEF9">
            <w:pPr>
              <w:jc w:val="center"/>
            </w:pPr>
          </w:p>
        </w:tc>
      </w:tr>
      <w:tr w14:paraId="7F37BD2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58D1A6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13A8DE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E63930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0CCD95">
            <w:pPr>
              <w:jc w:val="center"/>
            </w:pPr>
          </w:p>
        </w:tc>
      </w:tr>
    </w:tbl>
    <w:p w14:paraId="1860237D">
      <w:pPr>
        <w:rPr>
          <w:rFonts w:hint="eastAsia" w:ascii="宋体" w:hAnsi="宋体" w:cs="宋体"/>
          <w:b/>
          <w:bCs/>
          <w:kern w:val="0"/>
          <w:sz w:val="18"/>
          <w:szCs w:val="18"/>
        </w:rPr>
      </w:pPr>
    </w:p>
    <w:p w14:paraId="3B3E2D6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B5FBA3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C03B2E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774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3E5A550">
            <w:pPr>
              <w:jc w:val="center"/>
            </w:pPr>
            <w:r>
              <w:rPr>
                <w:rFonts w:ascii="宋体" w:hAnsi="宋体"/>
                <w:sz w:val="18"/>
              </w:rPr>
              <w:t>奇财预【2013】119号第三方专业招商信息技术服务项目经费</w:t>
            </w:r>
          </w:p>
        </w:tc>
      </w:tr>
      <w:tr w14:paraId="0CB4C25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F3F5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E29B329">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40CADEC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1D11238">
            <w:pPr>
              <w:jc w:val="center"/>
            </w:pPr>
            <w:r>
              <w:rPr>
                <w:rFonts w:ascii="宋体" w:hAnsi="宋体"/>
                <w:sz w:val="18"/>
              </w:rPr>
              <w:t>奇台县商务和工业信息化局</w:t>
            </w:r>
          </w:p>
        </w:tc>
      </w:tr>
      <w:tr w14:paraId="1159346F">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904E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2D29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966C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CD507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38B29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CC60C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4DD0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EEEFC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07238E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3D44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85CC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F515C3">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0F50926A">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0DA54F">
            <w:pPr>
              <w:jc w:val="center"/>
            </w:pPr>
            <w:r>
              <w:rPr>
                <w:rFonts w:ascii="宋体" w:hAnsi="宋体"/>
                <w:sz w:val="18"/>
              </w:rPr>
              <w:t>228.00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38B860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AA20C4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5BD7659">
            <w:pPr>
              <w:jc w:val="center"/>
            </w:pPr>
            <w:r>
              <w:rPr>
                <w:rFonts w:ascii="宋体" w:hAnsi="宋体"/>
                <w:sz w:val="18"/>
              </w:rPr>
              <w:t>10.00</w:t>
            </w:r>
          </w:p>
        </w:tc>
      </w:tr>
      <w:tr w14:paraId="09740FB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FCF6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76CE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EEEB63">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23C9395D">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AA7D1F">
            <w:pPr>
              <w:jc w:val="center"/>
            </w:pPr>
            <w:r>
              <w:rPr>
                <w:rFonts w:ascii="宋体" w:hAnsi="宋体"/>
                <w:sz w:val="18"/>
              </w:rPr>
              <w:t>228.00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C8F14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0DD2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55E30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C4B68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8C15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1E11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92F3E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1A2F36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360892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979F1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6433F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CD7D9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1FBA6F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9B25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30D70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58F35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F47263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E40C76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62E1E9F">
            <w:pPr>
              <w:jc w:val="left"/>
            </w:pPr>
            <w:r>
              <w:rPr>
                <w:rFonts w:ascii="宋体" w:hAnsi="宋体"/>
                <w:sz w:val="18"/>
              </w:rPr>
              <w:t>2023年，实现招商引资到位资金94亿元，其中，新引进招商引资项目占比不得低于45%，工业项目占比不得低于60%，自治区组织的重大招商活动签约项目履约率不得低于90%；招商引资项目对固投贡献率超过50%。达到有效提升奇台县知名度，推送企业数量6家，推送项目3个，推送工业企业3家，资金拨付及时率100%，项目预算控制率100%的总体目标。</w:t>
            </w:r>
          </w:p>
        </w:tc>
        <w:tc>
          <w:tcPr>
            <w:tcW w:w="4536" w:type="dxa"/>
            <w:gridSpan w:val="7"/>
            <w:tcBorders>
              <w:top w:val="single" w:color="auto" w:sz="4" w:space="0"/>
              <w:left w:val="nil"/>
              <w:bottom w:val="single" w:color="auto" w:sz="4" w:space="0"/>
              <w:right w:val="single" w:color="000000" w:sz="4" w:space="0"/>
            </w:tcBorders>
            <w:shd w:val="clear" w:color="auto" w:fill="auto"/>
          </w:tcPr>
          <w:p w14:paraId="725984C3">
            <w:pPr>
              <w:jc w:val="left"/>
            </w:pPr>
            <w:r>
              <w:rPr>
                <w:rFonts w:ascii="宋体" w:hAnsi="宋体"/>
                <w:sz w:val="18"/>
              </w:rPr>
              <w:t>2023年，实现招商引资到位资金94亿元，其中，新引进招商引资项目占比不得低于45%，工业项目占比不得低于60%，自治区组织的重大招商活动签约项目履约率不得低于90%；招商引资项目对固投贡献率超过50%。达到有效提升奇台县知名度，推送工业企业数量7家，推送项目7个，推送意向企业10家，资金拨付及时率100%，项目预算控制率100%，对接项目精准度15%，有效提升奇台县知名度100%，对接洽谈企业满意度100%。</w:t>
            </w:r>
          </w:p>
        </w:tc>
      </w:tr>
      <w:tr w14:paraId="553A7796">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923C7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2565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5B512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895C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6C143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F56E7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010F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B170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44D8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996C72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0A9B9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500EC5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77ADA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4ED18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3C87E9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DADEF5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4C430E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593F1C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7AED7BA">
            <w:pPr>
              <w:widowControl/>
              <w:jc w:val="left"/>
              <w:rPr>
                <w:rFonts w:hint="eastAsia" w:ascii="宋体" w:hAnsi="宋体" w:cs="宋体"/>
                <w:color w:val="000000"/>
                <w:kern w:val="0"/>
                <w:sz w:val="18"/>
                <w:szCs w:val="18"/>
              </w:rPr>
            </w:pPr>
          </w:p>
        </w:tc>
      </w:tr>
      <w:tr w14:paraId="49F78AD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62C8B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BAA1A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2D8F5C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590F1B">
            <w:pPr>
              <w:jc w:val="center"/>
            </w:pPr>
            <w:r>
              <w:rPr>
                <w:rFonts w:ascii="宋体" w:hAnsi="宋体"/>
                <w:sz w:val="18"/>
              </w:rPr>
              <w:t>推送意向企业数量</w:t>
            </w:r>
          </w:p>
        </w:tc>
        <w:tc>
          <w:tcPr>
            <w:tcW w:w="1266" w:type="dxa"/>
            <w:tcBorders>
              <w:top w:val="nil"/>
              <w:left w:val="nil"/>
              <w:bottom w:val="single" w:color="auto" w:sz="4" w:space="0"/>
              <w:right w:val="single" w:color="auto" w:sz="4" w:space="0"/>
            </w:tcBorders>
            <w:shd w:val="clear" w:color="auto" w:fill="auto"/>
            <w:vAlign w:val="center"/>
          </w:tcPr>
          <w:p w14:paraId="3BA573C6">
            <w:pPr>
              <w:jc w:val="center"/>
            </w:pPr>
            <w:r>
              <w:rPr>
                <w:rFonts w:ascii="宋体" w:hAnsi="宋体"/>
                <w:sz w:val="18"/>
              </w:rPr>
              <w:t>&gt;=10家</w:t>
            </w:r>
          </w:p>
        </w:tc>
        <w:tc>
          <w:tcPr>
            <w:tcW w:w="1088" w:type="dxa"/>
            <w:tcBorders>
              <w:top w:val="nil"/>
              <w:left w:val="nil"/>
              <w:bottom w:val="single" w:color="auto" w:sz="4" w:space="0"/>
              <w:right w:val="single" w:color="auto" w:sz="4" w:space="0"/>
            </w:tcBorders>
            <w:shd w:val="clear" w:color="auto" w:fill="auto"/>
            <w:vAlign w:val="center"/>
          </w:tcPr>
          <w:p w14:paraId="55573B29">
            <w:pPr>
              <w:jc w:val="center"/>
            </w:pPr>
            <w:r>
              <w:rPr>
                <w:rFonts w:ascii="宋体" w:hAnsi="宋体"/>
                <w:sz w:val="18"/>
              </w:rPr>
              <w:t>=10家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8571A2">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65103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2D03CD">
            <w:pPr>
              <w:jc w:val="center"/>
            </w:pPr>
          </w:p>
        </w:tc>
      </w:tr>
      <w:tr w14:paraId="72DDFEF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9548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0633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E687A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EE51D4">
            <w:pPr>
              <w:jc w:val="center"/>
            </w:pPr>
            <w:r>
              <w:rPr>
                <w:rFonts w:ascii="宋体" w:hAnsi="宋体"/>
                <w:sz w:val="18"/>
              </w:rPr>
              <w:t>推送项目数量</w:t>
            </w:r>
          </w:p>
        </w:tc>
        <w:tc>
          <w:tcPr>
            <w:tcW w:w="1266" w:type="dxa"/>
            <w:tcBorders>
              <w:top w:val="nil"/>
              <w:left w:val="nil"/>
              <w:bottom w:val="single" w:color="auto" w:sz="4" w:space="0"/>
              <w:right w:val="single" w:color="auto" w:sz="4" w:space="0"/>
            </w:tcBorders>
            <w:shd w:val="clear" w:color="auto" w:fill="auto"/>
            <w:vAlign w:val="center"/>
          </w:tcPr>
          <w:p w14:paraId="01C61526">
            <w:pPr>
              <w:jc w:val="center"/>
            </w:pPr>
            <w:r>
              <w:rPr>
                <w:rFonts w:ascii="宋体" w:hAnsi="宋体"/>
                <w:sz w:val="18"/>
              </w:rPr>
              <w:t>&gt;=7个</w:t>
            </w:r>
          </w:p>
        </w:tc>
        <w:tc>
          <w:tcPr>
            <w:tcW w:w="1088" w:type="dxa"/>
            <w:tcBorders>
              <w:top w:val="nil"/>
              <w:left w:val="nil"/>
              <w:bottom w:val="single" w:color="auto" w:sz="4" w:space="0"/>
              <w:right w:val="single" w:color="auto" w:sz="4" w:space="0"/>
            </w:tcBorders>
            <w:shd w:val="clear" w:color="auto" w:fill="auto"/>
            <w:vAlign w:val="center"/>
          </w:tcPr>
          <w:p w14:paraId="27261245">
            <w:pPr>
              <w:jc w:val="center"/>
            </w:pPr>
            <w:r>
              <w:rPr>
                <w:rFonts w:ascii="宋体" w:hAnsi="宋体"/>
                <w:sz w:val="18"/>
              </w:rPr>
              <w:t>=7个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97B523">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0CE8EA">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5033BE">
            <w:pPr>
              <w:jc w:val="center"/>
            </w:pPr>
          </w:p>
        </w:tc>
      </w:tr>
      <w:tr w14:paraId="1206E62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8AA51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EC44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FCECF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1A9112">
            <w:pPr>
              <w:jc w:val="center"/>
            </w:pPr>
            <w:r>
              <w:rPr>
                <w:rFonts w:ascii="宋体" w:hAnsi="宋体"/>
                <w:sz w:val="18"/>
              </w:rPr>
              <w:t>推送工业企业数量</w:t>
            </w:r>
          </w:p>
        </w:tc>
        <w:tc>
          <w:tcPr>
            <w:tcW w:w="1266" w:type="dxa"/>
            <w:tcBorders>
              <w:top w:val="nil"/>
              <w:left w:val="nil"/>
              <w:bottom w:val="single" w:color="auto" w:sz="4" w:space="0"/>
              <w:right w:val="single" w:color="auto" w:sz="4" w:space="0"/>
            </w:tcBorders>
            <w:shd w:val="clear" w:color="auto" w:fill="auto"/>
            <w:vAlign w:val="center"/>
          </w:tcPr>
          <w:p w14:paraId="603C503B">
            <w:pPr>
              <w:jc w:val="center"/>
            </w:pPr>
            <w:r>
              <w:rPr>
                <w:rFonts w:ascii="宋体" w:hAnsi="宋体"/>
                <w:sz w:val="18"/>
              </w:rPr>
              <w:t>&gt;=7家</w:t>
            </w:r>
          </w:p>
        </w:tc>
        <w:tc>
          <w:tcPr>
            <w:tcW w:w="1088" w:type="dxa"/>
            <w:tcBorders>
              <w:top w:val="nil"/>
              <w:left w:val="nil"/>
              <w:bottom w:val="single" w:color="auto" w:sz="4" w:space="0"/>
              <w:right w:val="single" w:color="auto" w:sz="4" w:space="0"/>
            </w:tcBorders>
            <w:shd w:val="clear" w:color="auto" w:fill="auto"/>
            <w:vAlign w:val="center"/>
          </w:tcPr>
          <w:p w14:paraId="04DEC878">
            <w:pPr>
              <w:jc w:val="center"/>
            </w:pPr>
            <w:r>
              <w:rPr>
                <w:rFonts w:ascii="宋体" w:hAnsi="宋体"/>
                <w:sz w:val="18"/>
              </w:rPr>
              <w:t>=7家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BD5F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0CB0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D5C582">
            <w:pPr>
              <w:jc w:val="center"/>
            </w:pPr>
          </w:p>
        </w:tc>
      </w:tr>
      <w:tr w14:paraId="3139E3F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B7CB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0F271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5C522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C7D106">
            <w:pPr>
              <w:jc w:val="center"/>
            </w:pPr>
            <w:r>
              <w:rPr>
                <w:rFonts w:ascii="宋体" w:hAnsi="宋体"/>
                <w:sz w:val="18"/>
              </w:rPr>
              <w:t>对接项目精准度</w:t>
            </w:r>
          </w:p>
        </w:tc>
        <w:tc>
          <w:tcPr>
            <w:tcW w:w="1266" w:type="dxa"/>
            <w:tcBorders>
              <w:top w:val="nil"/>
              <w:left w:val="nil"/>
              <w:bottom w:val="single" w:color="auto" w:sz="4" w:space="0"/>
              <w:right w:val="single" w:color="auto" w:sz="4" w:space="0"/>
            </w:tcBorders>
            <w:shd w:val="clear" w:color="auto" w:fill="auto"/>
            <w:vAlign w:val="center"/>
          </w:tcPr>
          <w:p w14:paraId="17AA9186">
            <w:pPr>
              <w:jc w:val="center"/>
            </w:pPr>
            <w:r>
              <w:rPr>
                <w:rFonts w:ascii="宋体" w:hAnsi="宋体"/>
                <w:sz w:val="18"/>
              </w:rPr>
              <w:t>&gt;=10%</w:t>
            </w:r>
          </w:p>
        </w:tc>
        <w:tc>
          <w:tcPr>
            <w:tcW w:w="1088" w:type="dxa"/>
            <w:tcBorders>
              <w:top w:val="nil"/>
              <w:left w:val="nil"/>
              <w:bottom w:val="single" w:color="auto" w:sz="4" w:space="0"/>
              <w:right w:val="single" w:color="auto" w:sz="4" w:space="0"/>
            </w:tcBorders>
            <w:shd w:val="clear" w:color="auto" w:fill="auto"/>
            <w:vAlign w:val="center"/>
          </w:tcPr>
          <w:p w14:paraId="059D79F4">
            <w:pPr>
              <w:jc w:val="center"/>
            </w:pPr>
            <w:r>
              <w:rPr>
                <w:rFonts w:ascii="宋体" w:hAnsi="宋体"/>
                <w:sz w:val="18"/>
              </w:rPr>
              <w:t>=15%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5C48E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668A4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D3D25C">
            <w:pPr>
              <w:jc w:val="center"/>
            </w:pPr>
            <w:r>
              <w:rPr>
                <w:rFonts w:ascii="宋体" w:hAnsi="宋体"/>
                <w:sz w:val="18"/>
              </w:rPr>
              <w:t>因上年度第三方企业精准推送项目数量较少，年初目标值设置较低，下年度根据实际情况，设定指标。</w:t>
            </w:r>
          </w:p>
        </w:tc>
      </w:tr>
      <w:tr w14:paraId="5EC6C64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EB85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5C03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ED5CC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0CA5A3">
            <w:pPr>
              <w:jc w:val="center"/>
            </w:pPr>
            <w:r>
              <w:rPr>
                <w:rFonts w:ascii="宋体" w:hAnsi="宋体"/>
                <w:sz w:val="18"/>
              </w:rPr>
              <w:t>资金拨付及时率（%）</w:t>
            </w:r>
          </w:p>
        </w:tc>
        <w:tc>
          <w:tcPr>
            <w:tcW w:w="1266" w:type="dxa"/>
            <w:tcBorders>
              <w:top w:val="nil"/>
              <w:left w:val="nil"/>
              <w:bottom w:val="single" w:color="auto" w:sz="4" w:space="0"/>
              <w:right w:val="single" w:color="auto" w:sz="4" w:space="0"/>
            </w:tcBorders>
            <w:shd w:val="clear" w:color="auto" w:fill="auto"/>
            <w:vAlign w:val="center"/>
          </w:tcPr>
          <w:p w14:paraId="2F3B67A2">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50390C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D64E2E">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82086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898BD8">
            <w:pPr>
              <w:jc w:val="center"/>
            </w:pPr>
          </w:p>
        </w:tc>
      </w:tr>
      <w:tr w14:paraId="4C2A007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B209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B23870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D0030B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5900FF">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087F26E">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A6C3DD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8DB08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B93CA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597D54">
            <w:pPr>
              <w:jc w:val="center"/>
            </w:pPr>
          </w:p>
        </w:tc>
      </w:tr>
      <w:tr w14:paraId="76BCBEC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60C63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A14F4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86A1C3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C99C9D">
            <w:pPr>
              <w:jc w:val="center"/>
            </w:pPr>
            <w:r>
              <w:rPr>
                <w:rFonts w:ascii="宋体" w:hAnsi="宋体"/>
                <w:sz w:val="18"/>
              </w:rPr>
              <w:t>提升奇台县知名度</w:t>
            </w:r>
          </w:p>
        </w:tc>
        <w:tc>
          <w:tcPr>
            <w:tcW w:w="1266" w:type="dxa"/>
            <w:tcBorders>
              <w:top w:val="nil"/>
              <w:left w:val="nil"/>
              <w:bottom w:val="single" w:color="auto" w:sz="4" w:space="0"/>
              <w:right w:val="single" w:color="auto" w:sz="4" w:space="0"/>
            </w:tcBorders>
            <w:shd w:val="clear" w:color="auto" w:fill="auto"/>
            <w:vAlign w:val="center"/>
          </w:tcPr>
          <w:p w14:paraId="1689E7B6">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438AFF3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6CDEF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B3176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95AA8D">
            <w:pPr>
              <w:jc w:val="center"/>
            </w:pPr>
          </w:p>
        </w:tc>
      </w:tr>
      <w:tr w14:paraId="55FBCEA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EFFD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EDD51F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B9F817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35DC24">
            <w:pPr>
              <w:jc w:val="center"/>
            </w:pPr>
            <w:r>
              <w:rPr>
                <w:rFonts w:ascii="宋体" w:hAnsi="宋体"/>
                <w:sz w:val="18"/>
              </w:rPr>
              <w:t>对接洽谈企业满意度</w:t>
            </w:r>
          </w:p>
        </w:tc>
        <w:tc>
          <w:tcPr>
            <w:tcW w:w="1266" w:type="dxa"/>
            <w:tcBorders>
              <w:top w:val="nil"/>
              <w:left w:val="nil"/>
              <w:bottom w:val="single" w:color="auto" w:sz="4" w:space="0"/>
              <w:right w:val="single" w:color="auto" w:sz="4" w:space="0"/>
            </w:tcBorders>
            <w:shd w:val="clear" w:color="auto" w:fill="auto"/>
            <w:vAlign w:val="center"/>
          </w:tcPr>
          <w:p w14:paraId="7A4B0FF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CAF799A">
            <w:pPr>
              <w:jc w:val="center"/>
            </w:pPr>
            <w:r>
              <w:rPr>
                <w:rFonts w:ascii="宋体" w:hAnsi="宋体"/>
                <w:sz w:val="18"/>
              </w:rPr>
              <w:t>=96%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D8D5E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92A0F0">
            <w:pPr>
              <w:jc w:val="center"/>
            </w:pPr>
            <w:r>
              <w:rPr>
                <w:rFonts w:ascii="宋体" w:hAnsi="宋体"/>
                <w:sz w:val="18"/>
              </w:rPr>
              <w:t>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34DC80">
            <w:pPr>
              <w:jc w:val="center"/>
            </w:pPr>
            <w:r>
              <w:rPr>
                <w:rFonts w:ascii="宋体" w:hAnsi="宋体"/>
                <w:sz w:val="18"/>
              </w:rPr>
              <w:t>第三方企业加强与招商中心沟通交流，推荐与我县匹配企业和项目。下年度根据实际情况设定目标值</w:t>
            </w:r>
          </w:p>
        </w:tc>
      </w:tr>
      <w:tr w14:paraId="6841979B">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833A05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F9A912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7C0634F">
            <w:pPr>
              <w:jc w:val="center"/>
            </w:pPr>
            <w:r>
              <w:rPr>
                <w:rFonts w:ascii="宋体" w:hAnsi="宋体"/>
                <w:sz w:val="18"/>
              </w:rPr>
              <w:t>96.9分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AEA020">
            <w:pPr>
              <w:jc w:val="center"/>
            </w:pPr>
          </w:p>
        </w:tc>
      </w:tr>
    </w:tbl>
    <w:p w14:paraId="3762070D">
      <w:pPr>
        <w:rPr>
          <w:rFonts w:hint="eastAsia" w:ascii="宋体" w:hAnsi="宋体" w:cs="宋体"/>
          <w:b/>
          <w:bCs/>
          <w:kern w:val="0"/>
          <w:sz w:val="18"/>
          <w:szCs w:val="18"/>
        </w:rPr>
      </w:pPr>
    </w:p>
    <w:p w14:paraId="46B54D39">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46052D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7E7A27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5688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8AD356F">
            <w:pPr>
              <w:jc w:val="center"/>
            </w:pPr>
            <w:r>
              <w:rPr>
                <w:rFonts w:ascii="宋体" w:hAnsi="宋体"/>
                <w:sz w:val="18"/>
              </w:rPr>
              <w:t>昌州财建【2023】124号 2023年外经贸专项资金</w:t>
            </w:r>
          </w:p>
        </w:tc>
      </w:tr>
      <w:tr w14:paraId="22C0829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173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BDAD3ED">
            <w:pPr>
              <w:jc w:val="center"/>
            </w:pPr>
            <w:r>
              <w:rPr>
                <w:rFonts w:ascii="宋体" w:hAnsi="宋体"/>
                <w:sz w:val="18"/>
              </w:rPr>
              <w:t>奇台县商务和工业信息化局</w:t>
            </w:r>
          </w:p>
        </w:tc>
        <w:tc>
          <w:tcPr>
            <w:tcW w:w="1276" w:type="dxa"/>
            <w:gridSpan w:val="2"/>
            <w:tcBorders>
              <w:top w:val="nil"/>
              <w:left w:val="nil"/>
              <w:bottom w:val="single" w:color="auto" w:sz="4" w:space="0"/>
              <w:right w:val="single" w:color="000000" w:sz="4" w:space="0"/>
            </w:tcBorders>
            <w:shd w:val="clear" w:color="auto" w:fill="auto"/>
            <w:vAlign w:val="center"/>
          </w:tcPr>
          <w:p w14:paraId="0500F4F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0C2F869">
            <w:pPr>
              <w:jc w:val="center"/>
            </w:pPr>
            <w:r>
              <w:rPr>
                <w:rFonts w:ascii="宋体" w:hAnsi="宋体"/>
                <w:sz w:val="18"/>
              </w:rPr>
              <w:t>奇台县商务和工业信息化局</w:t>
            </w:r>
          </w:p>
        </w:tc>
      </w:tr>
      <w:tr w14:paraId="06385156">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5F19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52B50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F81C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55BA2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780C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1FE2C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EFB1C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28513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2FF5EB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94F68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C29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728397">
            <w:pPr>
              <w:jc w:val="center"/>
            </w:pPr>
            <w:r>
              <w:rPr>
                <w:rFonts w:ascii="宋体" w:hAnsi="宋体"/>
                <w:sz w:val="18"/>
              </w:rPr>
              <w:t>563.00</w:t>
            </w:r>
          </w:p>
        </w:tc>
        <w:tc>
          <w:tcPr>
            <w:tcW w:w="1266" w:type="dxa"/>
            <w:tcBorders>
              <w:top w:val="nil"/>
              <w:left w:val="nil"/>
              <w:bottom w:val="single" w:color="auto" w:sz="4" w:space="0"/>
              <w:right w:val="single" w:color="auto" w:sz="4" w:space="0"/>
            </w:tcBorders>
            <w:shd w:val="clear" w:color="auto" w:fill="auto"/>
            <w:noWrap/>
            <w:vAlign w:val="center"/>
          </w:tcPr>
          <w:p w14:paraId="4D2EEA82">
            <w:pPr>
              <w:jc w:val="center"/>
            </w:pPr>
            <w:r>
              <w:rPr>
                <w:rFonts w:ascii="宋体" w:hAnsi="宋体"/>
                <w:sz w:val="18"/>
              </w:rPr>
              <w:t>563.00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BE74EFA">
            <w:pPr>
              <w:jc w:val="center"/>
            </w:pPr>
            <w:r>
              <w:rPr>
                <w:rFonts w:ascii="宋体" w:hAnsi="宋体"/>
                <w:sz w:val="18"/>
              </w:rPr>
              <w:t>563.00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CD86D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EB9CA0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8886108">
            <w:pPr>
              <w:jc w:val="center"/>
            </w:pPr>
            <w:r>
              <w:rPr>
                <w:rFonts w:ascii="宋体" w:hAnsi="宋体"/>
                <w:sz w:val="18"/>
              </w:rPr>
              <w:t>10.00</w:t>
            </w:r>
          </w:p>
        </w:tc>
      </w:tr>
      <w:tr w14:paraId="626B640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E1D1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3C48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AB9D1C">
            <w:pPr>
              <w:jc w:val="center"/>
            </w:pPr>
            <w:r>
              <w:rPr>
                <w:rFonts w:ascii="宋体" w:hAnsi="宋体"/>
                <w:sz w:val="18"/>
              </w:rPr>
              <w:t>563.00</w:t>
            </w:r>
          </w:p>
        </w:tc>
        <w:tc>
          <w:tcPr>
            <w:tcW w:w="1266" w:type="dxa"/>
            <w:tcBorders>
              <w:top w:val="nil"/>
              <w:left w:val="nil"/>
              <w:bottom w:val="single" w:color="auto" w:sz="4" w:space="0"/>
              <w:right w:val="single" w:color="auto" w:sz="4" w:space="0"/>
            </w:tcBorders>
            <w:shd w:val="clear" w:color="auto" w:fill="auto"/>
            <w:noWrap/>
            <w:vAlign w:val="center"/>
          </w:tcPr>
          <w:p w14:paraId="38B6EBF3">
            <w:pPr>
              <w:jc w:val="center"/>
            </w:pPr>
            <w:r>
              <w:rPr>
                <w:rFonts w:ascii="宋体" w:hAnsi="宋体"/>
                <w:sz w:val="18"/>
              </w:rPr>
              <w:t>563.00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C86ACA1">
            <w:pPr>
              <w:jc w:val="center"/>
            </w:pPr>
            <w:r>
              <w:rPr>
                <w:rFonts w:ascii="宋体" w:hAnsi="宋体"/>
                <w:sz w:val="18"/>
              </w:rPr>
              <w:t>563.00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9997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484D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0D3A4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EE6E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EA30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62A9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189A1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5DCAA9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D8A3AB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FAD3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3A0D7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C8A8A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9D270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21DA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CCD21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480F7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2D1D5CB">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EE5B4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031A88A">
            <w:pPr>
              <w:jc w:val="left"/>
            </w:pPr>
            <w:r>
              <w:rPr>
                <w:rFonts w:ascii="宋体" w:hAnsi="宋体"/>
                <w:sz w:val="18"/>
              </w:rPr>
              <w:t>根据昌吉州财政局《关于下达2023年中央外经贸发展专项资金预算（拨款）的通知》（昌州财建〔2023〕124号）文件精神，通过申请中央外经贸发展专项资金项目，对外贸企业进行补助，主要用于降低企业进出口产品运输成本，从而一定程度上降低了出口产品的成本，进一步增强企业低成本竞争优势，对改善边境贸易仓储物流条件，提升边境贸易综合竞争力，提高产品的出口量，帮助企业积极应对因国外不公平贸易政策对待所造成的不利影响，提高国际市场竞争力，促进和扩大出口。</w:t>
            </w:r>
          </w:p>
        </w:tc>
        <w:tc>
          <w:tcPr>
            <w:tcW w:w="4536" w:type="dxa"/>
            <w:gridSpan w:val="7"/>
            <w:tcBorders>
              <w:top w:val="single" w:color="auto" w:sz="4" w:space="0"/>
              <w:left w:val="nil"/>
              <w:bottom w:val="single" w:color="auto" w:sz="4" w:space="0"/>
              <w:right w:val="single" w:color="000000" w:sz="4" w:space="0"/>
            </w:tcBorders>
            <w:shd w:val="clear" w:color="auto" w:fill="auto"/>
          </w:tcPr>
          <w:p w14:paraId="2C1B6A82">
            <w:pPr>
              <w:jc w:val="left"/>
            </w:pPr>
            <w:r>
              <w:rPr>
                <w:rFonts w:ascii="宋体" w:hAnsi="宋体"/>
                <w:sz w:val="18"/>
              </w:rPr>
              <w:t>完成补助企业数量：3个，补助发放的到位率：100%，资金拨付及时性：100%，项目预算控制率：100%，获得补助的外向型企业进出口增长率：50%，改善外经贸企业营商环境：有效改善，获得补助企业满意度：90%。</w:t>
            </w:r>
          </w:p>
        </w:tc>
      </w:tr>
      <w:tr w14:paraId="2288BAB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039B0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05FEE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B3D63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1E6D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3541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C8316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FA9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371B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28DB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6D235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6F756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8F83E2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675EFB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57AB94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0233C5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2CF14D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5EAB1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3D71D7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91B22C">
            <w:pPr>
              <w:widowControl/>
              <w:jc w:val="left"/>
              <w:rPr>
                <w:rFonts w:hint="eastAsia" w:ascii="宋体" w:hAnsi="宋体" w:cs="宋体"/>
                <w:color w:val="000000"/>
                <w:kern w:val="0"/>
                <w:sz w:val="18"/>
                <w:szCs w:val="18"/>
              </w:rPr>
            </w:pPr>
          </w:p>
        </w:tc>
      </w:tr>
      <w:tr w14:paraId="51FE450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F0B26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F889C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0C9B2B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DADFA4">
            <w:pPr>
              <w:jc w:val="center"/>
            </w:pPr>
            <w:r>
              <w:rPr>
                <w:rFonts w:ascii="宋体" w:hAnsi="宋体"/>
                <w:sz w:val="18"/>
              </w:rPr>
              <w:t>补助企业数量</w:t>
            </w:r>
          </w:p>
        </w:tc>
        <w:tc>
          <w:tcPr>
            <w:tcW w:w="1266" w:type="dxa"/>
            <w:tcBorders>
              <w:top w:val="nil"/>
              <w:left w:val="nil"/>
              <w:bottom w:val="single" w:color="auto" w:sz="4" w:space="0"/>
              <w:right w:val="single" w:color="auto" w:sz="4" w:space="0"/>
            </w:tcBorders>
            <w:shd w:val="clear" w:color="auto" w:fill="auto"/>
            <w:vAlign w:val="center"/>
          </w:tcPr>
          <w:p w14:paraId="6BC26E65">
            <w:pPr>
              <w:jc w:val="center"/>
            </w:pPr>
            <w:r>
              <w:rPr>
                <w:rFonts w:ascii="宋体" w:hAnsi="宋体"/>
                <w:sz w:val="18"/>
              </w:rPr>
              <w:t>&gt;=3个</w:t>
            </w:r>
          </w:p>
        </w:tc>
        <w:tc>
          <w:tcPr>
            <w:tcW w:w="1088" w:type="dxa"/>
            <w:tcBorders>
              <w:top w:val="nil"/>
              <w:left w:val="nil"/>
              <w:bottom w:val="single" w:color="auto" w:sz="4" w:space="0"/>
              <w:right w:val="single" w:color="auto" w:sz="4" w:space="0"/>
            </w:tcBorders>
            <w:shd w:val="clear" w:color="auto" w:fill="auto"/>
            <w:vAlign w:val="center"/>
          </w:tcPr>
          <w:p w14:paraId="1D11F980">
            <w:pPr>
              <w:jc w:val="center"/>
            </w:pPr>
            <w:r>
              <w:rPr>
                <w:rFonts w:ascii="宋体" w:hAnsi="宋体"/>
                <w:sz w:val="18"/>
              </w:rPr>
              <w:t>=3个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9D710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06D97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D25B1D">
            <w:pPr>
              <w:jc w:val="center"/>
            </w:pPr>
          </w:p>
        </w:tc>
      </w:tr>
      <w:tr w14:paraId="4E71FBD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ABAB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D405E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F2DC6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FE8726">
            <w:pPr>
              <w:jc w:val="center"/>
            </w:pPr>
            <w:r>
              <w:rPr>
                <w:rFonts w:ascii="宋体" w:hAnsi="宋体"/>
                <w:sz w:val="18"/>
              </w:rPr>
              <w:t>补助发放的到位率</w:t>
            </w:r>
          </w:p>
        </w:tc>
        <w:tc>
          <w:tcPr>
            <w:tcW w:w="1266" w:type="dxa"/>
            <w:tcBorders>
              <w:top w:val="nil"/>
              <w:left w:val="nil"/>
              <w:bottom w:val="single" w:color="auto" w:sz="4" w:space="0"/>
              <w:right w:val="single" w:color="auto" w:sz="4" w:space="0"/>
            </w:tcBorders>
            <w:shd w:val="clear" w:color="auto" w:fill="auto"/>
            <w:vAlign w:val="center"/>
          </w:tcPr>
          <w:p w14:paraId="2893C94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9E324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FB23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8947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93B420">
            <w:pPr>
              <w:jc w:val="center"/>
            </w:pPr>
          </w:p>
        </w:tc>
      </w:tr>
      <w:tr w14:paraId="61F21D6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6C3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148E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A05E0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43CCB1">
            <w:pPr>
              <w:jc w:val="center"/>
            </w:pPr>
            <w:r>
              <w:rPr>
                <w:rFonts w:ascii="宋体" w:hAnsi="宋体"/>
                <w:sz w:val="18"/>
              </w:rPr>
              <w:t>资金拨付及时性</w:t>
            </w:r>
          </w:p>
        </w:tc>
        <w:tc>
          <w:tcPr>
            <w:tcW w:w="1266" w:type="dxa"/>
            <w:tcBorders>
              <w:top w:val="nil"/>
              <w:left w:val="nil"/>
              <w:bottom w:val="single" w:color="auto" w:sz="4" w:space="0"/>
              <w:right w:val="single" w:color="auto" w:sz="4" w:space="0"/>
            </w:tcBorders>
            <w:shd w:val="clear" w:color="auto" w:fill="auto"/>
            <w:vAlign w:val="center"/>
          </w:tcPr>
          <w:p w14:paraId="69108B4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ABBE8A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D8270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5F114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2614A0">
            <w:pPr>
              <w:jc w:val="center"/>
            </w:pPr>
          </w:p>
        </w:tc>
      </w:tr>
      <w:tr w14:paraId="5593961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6006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F7EAD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F88A3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DBAA4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A209CD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02DDAA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29AD3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E685B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A5D2C4">
            <w:pPr>
              <w:jc w:val="center"/>
            </w:pPr>
          </w:p>
        </w:tc>
      </w:tr>
      <w:tr w14:paraId="0C01CAE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F12DD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4779FB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C37F65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F16767">
            <w:pPr>
              <w:jc w:val="center"/>
            </w:pPr>
            <w:r>
              <w:rPr>
                <w:rFonts w:ascii="宋体" w:hAnsi="宋体"/>
                <w:sz w:val="18"/>
              </w:rPr>
              <w:t>获得补助的外向型企业进出口增长率</w:t>
            </w:r>
          </w:p>
        </w:tc>
        <w:tc>
          <w:tcPr>
            <w:tcW w:w="1266" w:type="dxa"/>
            <w:tcBorders>
              <w:top w:val="nil"/>
              <w:left w:val="nil"/>
              <w:bottom w:val="single" w:color="auto" w:sz="4" w:space="0"/>
              <w:right w:val="single" w:color="auto" w:sz="4" w:space="0"/>
            </w:tcBorders>
            <w:shd w:val="clear" w:color="auto" w:fill="auto"/>
            <w:vAlign w:val="center"/>
          </w:tcPr>
          <w:p w14:paraId="1D18BC6D">
            <w:pPr>
              <w:jc w:val="center"/>
            </w:pPr>
            <w:r>
              <w:rPr>
                <w:rFonts w:ascii="宋体" w:hAnsi="宋体"/>
                <w:sz w:val="18"/>
              </w:rPr>
              <w:t>&gt;=50%</w:t>
            </w:r>
          </w:p>
        </w:tc>
        <w:tc>
          <w:tcPr>
            <w:tcW w:w="1088" w:type="dxa"/>
            <w:tcBorders>
              <w:top w:val="nil"/>
              <w:left w:val="nil"/>
              <w:bottom w:val="single" w:color="auto" w:sz="4" w:space="0"/>
              <w:right w:val="single" w:color="auto" w:sz="4" w:space="0"/>
            </w:tcBorders>
            <w:shd w:val="clear" w:color="auto" w:fill="auto"/>
            <w:vAlign w:val="center"/>
          </w:tcPr>
          <w:p w14:paraId="59016B8D">
            <w:pPr>
              <w:jc w:val="center"/>
            </w:pPr>
            <w:r>
              <w:rPr>
                <w:rFonts w:ascii="宋体" w:hAnsi="宋体"/>
                <w:sz w:val="18"/>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87E4C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6076F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C1B9CC">
            <w:pPr>
              <w:jc w:val="center"/>
            </w:pPr>
          </w:p>
        </w:tc>
      </w:tr>
      <w:tr w14:paraId="61B9229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D213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46D5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7213C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6DE8EC">
            <w:pPr>
              <w:jc w:val="center"/>
            </w:pPr>
            <w:r>
              <w:rPr>
                <w:rFonts w:ascii="宋体" w:hAnsi="宋体"/>
                <w:sz w:val="18"/>
              </w:rPr>
              <w:t>改善外经贸企业营商环境</w:t>
            </w:r>
          </w:p>
        </w:tc>
        <w:tc>
          <w:tcPr>
            <w:tcW w:w="1266" w:type="dxa"/>
            <w:tcBorders>
              <w:top w:val="nil"/>
              <w:left w:val="nil"/>
              <w:bottom w:val="single" w:color="auto" w:sz="4" w:space="0"/>
              <w:right w:val="single" w:color="auto" w:sz="4" w:space="0"/>
            </w:tcBorders>
            <w:shd w:val="clear" w:color="auto" w:fill="auto"/>
            <w:vAlign w:val="center"/>
          </w:tcPr>
          <w:p w14:paraId="2B8D9CF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2CAC973">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9F434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E5CA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A9734D">
            <w:pPr>
              <w:jc w:val="center"/>
            </w:pPr>
          </w:p>
        </w:tc>
      </w:tr>
      <w:tr w14:paraId="78ABEB5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700D7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C13A3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6E31B5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9D67EC">
            <w:pPr>
              <w:jc w:val="center"/>
            </w:pPr>
            <w:r>
              <w:rPr>
                <w:rFonts w:ascii="宋体" w:hAnsi="宋体"/>
                <w:sz w:val="18"/>
              </w:rPr>
              <w:t>获得补助企业满意度</w:t>
            </w:r>
          </w:p>
        </w:tc>
        <w:tc>
          <w:tcPr>
            <w:tcW w:w="1266" w:type="dxa"/>
            <w:tcBorders>
              <w:top w:val="nil"/>
              <w:left w:val="nil"/>
              <w:bottom w:val="single" w:color="auto" w:sz="4" w:space="0"/>
              <w:right w:val="single" w:color="auto" w:sz="4" w:space="0"/>
            </w:tcBorders>
            <w:shd w:val="clear" w:color="auto" w:fill="auto"/>
            <w:vAlign w:val="center"/>
          </w:tcPr>
          <w:p w14:paraId="1EA897D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4D6A59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9A92E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03737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71E005">
            <w:pPr>
              <w:jc w:val="center"/>
            </w:pPr>
          </w:p>
        </w:tc>
      </w:tr>
      <w:tr w14:paraId="2560448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706C6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1FB98B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C1F651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765324">
            <w:pPr>
              <w:jc w:val="center"/>
            </w:pPr>
          </w:p>
        </w:tc>
      </w:tr>
    </w:tbl>
    <w:p w14:paraId="7930B3B8">
      <w:pPr>
        <w:rPr>
          <w:rFonts w:hint="eastAsia" w:ascii="宋体" w:hAnsi="宋体" w:cs="宋体"/>
          <w:b/>
          <w:bCs/>
          <w:kern w:val="0"/>
          <w:sz w:val="18"/>
          <w:szCs w:val="18"/>
        </w:rPr>
      </w:pPr>
    </w:p>
    <w:p w14:paraId="5C6B962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66C16D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148778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B4B9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F4ABD2E">
            <w:pPr>
              <w:jc w:val="center"/>
            </w:pPr>
            <w:r>
              <w:rPr>
                <w:rFonts w:ascii="宋体" w:hAnsi="宋体"/>
                <w:sz w:val="18"/>
              </w:rPr>
              <w:t>昌州财建【2023】32号关于拨付2023年农牧区投递员专项补助资金的通知</w:t>
            </w:r>
          </w:p>
        </w:tc>
      </w:tr>
      <w:tr w14:paraId="58AD198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1DA2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FEA0E5D">
            <w:pPr>
              <w:jc w:val="center"/>
            </w:pPr>
            <w:r>
              <w:rPr>
                <w:rFonts w:ascii="宋体" w:hAnsi="宋体"/>
                <w:sz w:val="18"/>
              </w:rPr>
              <w:t>奇台县商务和工业信息化局</w:t>
            </w:r>
          </w:p>
        </w:tc>
        <w:tc>
          <w:tcPr>
            <w:tcW w:w="1275" w:type="dxa"/>
            <w:gridSpan w:val="2"/>
            <w:tcBorders>
              <w:top w:val="nil"/>
              <w:left w:val="nil"/>
              <w:bottom w:val="single" w:color="auto" w:sz="4" w:space="0"/>
              <w:right w:val="single" w:color="000000" w:sz="4" w:space="0"/>
            </w:tcBorders>
            <w:shd w:val="clear" w:color="auto" w:fill="auto"/>
            <w:vAlign w:val="center"/>
          </w:tcPr>
          <w:p w14:paraId="5136046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0542F73">
            <w:pPr>
              <w:jc w:val="center"/>
            </w:pPr>
            <w:r>
              <w:rPr>
                <w:rFonts w:ascii="宋体" w:hAnsi="宋体"/>
                <w:sz w:val="18"/>
              </w:rPr>
              <w:t>奇台县商务和工业信息化局</w:t>
            </w:r>
          </w:p>
        </w:tc>
      </w:tr>
      <w:tr w14:paraId="08373A7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BA41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5EF2E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4997D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F80F0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0980F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48780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D5E7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D343D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2518A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CB54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8222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3661E65">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14:paraId="0FA8E0CF">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CC5300D">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D14E2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B0B39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8E69E3F">
            <w:pPr>
              <w:jc w:val="center"/>
            </w:pPr>
            <w:r>
              <w:rPr>
                <w:rFonts w:ascii="宋体" w:hAnsi="宋体"/>
                <w:sz w:val="18"/>
              </w:rPr>
              <w:t>10.00</w:t>
            </w:r>
          </w:p>
        </w:tc>
      </w:tr>
      <w:tr w14:paraId="727AAA5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2A63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4A31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5356AE">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14:paraId="4B313205">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958B75E">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B7F6A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2355D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458EC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451A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E5B1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E602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02271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8A2F26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39363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3E211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C1AD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B16AF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7815D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119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C57B7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C25E9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D16936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E9E75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A5DBEF6">
            <w:pPr>
              <w:jc w:val="left"/>
            </w:pPr>
            <w:r>
              <w:rPr>
                <w:rFonts w:ascii="宋体" w:hAnsi="宋体"/>
                <w:sz w:val="18"/>
              </w:rPr>
              <w:t>加强新疆地方农牧民投递队伍建设，积极推进新疆地方农牧民通邮服务，为进一步促进新疆地方农牧民经济发展和社会稳定，合理解决农牧民投递员报酬保障，解决因队伍不稳定因素造成的党报党刊以及邮件投递深度不够，邮件安全得不到保障，投递频次较低，传递时限较长等问题。补助发放准确率达到100%，补贴发放及时率100%，补助发放标准每人每年1200元，项目预算控制率达到100%，提高农牧民邮政服务能力，农牧区投递员满意度达到95%。</w:t>
            </w:r>
          </w:p>
        </w:tc>
        <w:tc>
          <w:tcPr>
            <w:tcW w:w="4677" w:type="dxa"/>
            <w:gridSpan w:val="7"/>
            <w:tcBorders>
              <w:top w:val="single" w:color="auto" w:sz="4" w:space="0"/>
              <w:left w:val="nil"/>
              <w:bottom w:val="single" w:color="auto" w:sz="4" w:space="0"/>
              <w:right w:val="single" w:color="000000" w:sz="4" w:space="0"/>
            </w:tcBorders>
            <w:shd w:val="clear" w:color="auto" w:fill="auto"/>
          </w:tcPr>
          <w:p w14:paraId="2973DDF4">
            <w:pPr>
              <w:jc w:val="left"/>
            </w:pPr>
            <w:r>
              <w:rPr>
                <w:rFonts w:ascii="宋体" w:hAnsi="宋体"/>
                <w:sz w:val="18"/>
              </w:rPr>
              <w:t>加强新疆地方农牧民投递队伍建设，积极推进新疆地方农牧民通邮服务，为进一步促进新疆地方农牧民经济发展和社会稳定，合理解决农牧民投递员报酬保障，解决因队伍不稳定因素造成的党报党刊以及邮件投递深度不够，邮件安全得不到保障，投递频次较低，传递时限较长等问题。补助发放准确率达到100%，补贴发放及时率100%，补助发放标准每人每年1200元，项目预算控制率达到100%，提高农牧民邮政服务能力，农牧区投递员满意度达到95%。</w:t>
            </w:r>
          </w:p>
        </w:tc>
      </w:tr>
      <w:tr w14:paraId="0B82BA8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21FEB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1353E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2A1BE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0B4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4D095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1143D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7AC0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343B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D424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5E82D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13AAB3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2C7B64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2A86BF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4339C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80C469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9FD94C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42944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53F41C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6CB7545">
            <w:pPr>
              <w:widowControl/>
              <w:jc w:val="left"/>
              <w:rPr>
                <w:rFonts w:hint="eastAsia" w:ascii="宋体" w:hAnsi="宋体" w:cs="宋体"/>
                <w:color w:val="000000"/>
                <w:kern w:val="0"/>
                <w:sz w:val="18"/>
                <w:szCs w:val="18"/>
              </w:rPr>
            </w:pPr>
          </w:p>
        </w:tc>
      </w:tr>
      <w:tr w14:paraId="6C2323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CEB42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E2C0B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C0735C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A79160">
            <w:pPr>
              <w:jc w:val="center"/>
            </w:pPr>
            <w:r>
              <w:rPr>
                <w:rFonts w:ascii="宋体" w:hAnsi="宋体"/>
                <w:sz w:val="18"/>
              </w:rPr>
              <w:t>发放补助人数</w:t>
            </w:r>
          </w:p>
        </w:tc>
        <w:tc>
          <w:tcPr>
            <w:tcW w:w="1125" w:type="dxa"/>
            <w:tcBorders>
              <w:top w:val="nil"/>
              <w:left w:val="nil"/>
              <w:bottom w:val="single" w:color="auto" w:sz="4" w:space="0"/>
              <w:right w:val="single" w:color="auto" w:sz="4" w:space="0"/>
            </w:tcBorders>
            <w:shd w:val="clear" w:color="auto" w:fill="auto"/>
            <w:vAlign w:val="center"/>
          </w:tcPr>
          <w:p w14:paraId="4680E78B">
            <w:pPr>
              <w:jc w:val="center"/>
            </w:pPr>
            <w:r>
              <w:rPr>
                <w:rFonts w:ascii="宋体" w:hAnsi="宋体"/>
                <w:sz w:val="18"/>
              </w:rPr>
              <w:t>&gt;=15人</w:t>
            </w:r>
          </w:p>
        </w:tc>
        <w:tc>
          <w:tcPr>
            <w:tcW w:w="1229" w:type="dxa"/>
            <w:tcBorders>
              <w:top w:val="nil"/>
              <w:left w:val="nil"/>
              <w:bottom w:val="single" w:color="auto" w:sz="4" w:space="0"/>
              <w:right w:val="single" w:color="auto" w:sz="4" w:space="0"/>
            </w:tcBorders>
            <w:shd w:val="clear" w:color="auto" w:fill="auto"/>
            <w:vAlign w:val="center"/>
          </w:tcPr>
          <w:p w14:paraId="5A3F86E7">
            <w:pPr>
              <w:jc w:val="center"/>
            </w:pPr>
            <w:r>
              <w:rPr>
                <w:rFonts w:ascii="宋体" w:hAnsi="宋体"/>
                <w:sz w:val="18"/>
              </w:rPr>
              <w:t>=15人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2729B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78AE4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C35867">
            <w:pPr>
              <w:jc w:val="center"/>
            </w:pPr>
          </w:p>
        </w:tc>
      </w:tr>
      <w:tr w14:paraId="0C9BD0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07C6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5C3BA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69206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0BF13F">
            <w:pPr>
              <w:jc w:val="center"/>
            </w:pPr>
            <w:r>
              <w:rPr>
                <w:rFonts w:ascii="宋体" w:hAnsi="宋体"/>
                <w:sz w:val="18"/>
              </w:rPr>
              <w:t>补助发放准确率</w:t>
            </w:r>
          </w:p>
        </w:tc>
        <w:tc>
          <w:tcPr>
            <w:tcW w:w="1125" w:type="dxa"/>
            <w:tcBorders>
              <w:top w:val="nil"/>
              <w:left w:val="nil"/>
              <w:bottom w:val="single" w:color="auto" w:sz="4" w:space="0"/>
              <w:right w:val="single" w:color="auto" w:sz="4" w:space="0"/>
            </w:tcBorders>
            <w:shd w:val="clear" w:color="auto" w:fill="auto"/>
            <w:vAlign w:val="center"/>
          </w:tcPr>
          <w:p w14:paraId="4A32C6B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8FE499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5A5AB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57A43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434ADE">
            <w:pPr>
              <w:jc w:val="center"/>
            </w:pPr>
          </w:p>
        </w:tc>
      </w:tr>
      <w:tr w14:paraId="4C5596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9340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1440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F473A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60D7D">
            <w:pPr>
              <w:jc w:val="center"/>
            </w:pPr>
            <w:r>
              <w:rPr>
                <w:rFonts w:ascii="宋体" w:hAnsi="宋体"/>
                <w:sz w:val="18"/>
              </w:rPr>
              <w:t>补贴发放及时率</w:t>
            </w:r>
          </w:p>
        </w:tc>
        <w:tc>
          <w:tcPr>
            <w:tcW w:w="1125" w:type="dxa"/>
            <w:tcBorders>
              <w:top w:val="nil"/>
              <w:left w:val="nil"/>
              <w:bottom w:val="single" w:color="auto" w:sz="4" w:space="0"/>
              <w:right w:val="single" w:color="auto" w:sz="4" w:space="0"/>
            </w:tcBorders>
            <w:shd w:val="clear" w:color="auto" w:fill="auto"/>
            <w:vAlign w:val="center"/>
          </w:tcPr>
          <w:p w14:paraId="534027E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F47012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03751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B05B0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A13406">
            <w:pPr>
              <w:jc w:val="center"/>
            </w:pPr>
          </w:p>
        </w:tc>
      </w:tr>
      <w:tr w14:paraId="069767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6E5D6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702800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5F6623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21968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5B981FF1">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60E402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BC0360B">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E6130C">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757F0A">
            <w:pPr>
              <w:jc w:val="center"/>
            </w:pPr>
          </w:p>
        </w:tc>
      </w:tr>
      <w:tr w14:paraId="0CDDBE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6FE39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7A9F4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3D19A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0E9BC5">
            <w:pPr>
              <w:jc w:val="center"/>
            </w:pPr>
            <w:r>
              <w:rPr>
                <w:rFonts w:ascii="宋体" w:hAnsi="宋体"/>
                <w:sz w:val="18"/>
              </w:rPr>
              <w:t>补助发放标准</w:t>
            </w:r>
          </w:p>
        </w:tc>
        <w:tc>
          <w:tcPr>
            <w:tcW w:w="1125" w:type="dxa"/>
            <w:tcBorders>
              <w:top w:val="nil"/>
              <w:left w:val="nil"/>
              <w:bottom w:val="single" w:color="auto" w:sz="4" w:space="0"/>
              <w:right w:val="single" w:color="auto" w:sz="4" w:space="0"/>
            </w:tcBorders>
            <w:shd w:val="clear" w:color="auto" w:fill="auto"/>
            <w:vAlign w:val="center"/>
          </w:tcPr>
          <w:p w14:paraId="597ACF13">
            <w:pPr>
              <w:jc w:val="center"/>
            </w:pPr>
            <w:r>
              <w:rPr>
                <w:rFonts w:ascii="宋体" w:hAnsi="宋体"/>
                <w:sz w:val="18"/>
              </w:rPr>
              <w:t>&lt;=1200元/人/年</w:t>
            </w:r>
          </w:p>
        </w:tc>
        <w:tc>
          <w:tcPr>
            <w:tcW w:w="1229" w:type="dxa"/>
            <w:tcBorders>
              <w:top w:val="nil"/>
              <w:left w:val="nil"/>
              <w:bottom w:val="single" w:color="auto" w:sz="4" w:space="0"/>
              <w:right w:val="single" w:color="auto" w:sz="4" w:space="0"/>
            </w:tcBorders>
            <w:shd w:val="clear" w:color="auto" w:fill="auto"/>
            <w:vAlign w:val="center"/>
          </w:tcPr>
          <w:p w14:paraId="5766E511">
            <w:pPr>
              <w:jc w:val="center"/>
            </w:pPr>
            <w:r>
              <w:rPr>
                <w:rFonts w:ascii="宋体" w:hAnsi="宋体"/>
                <w:sz w:val="18"/>
              </w:rPr>
              <w:t>=1200元/人/年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6E9CDD">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847C0A">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97567D">
            <w:pPr>
              <w:jc w:val="center"/>
            </w:pPr>
          </w:p>
        </w:tc>
      </w:tr>
      <w:tr w14:paraId="0761E7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E1D3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85166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B993A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637CBD">
            <w:pPr>
              <w:jc w:val="center"/>
            </w:pPr>
            <w:r>
              <w:rPr>
                <w:rFonts w:ascii="宋体" w:hAnsi="宋体"/>
                <w:sz w:val="18"/>
              </w:rPr>
              <w:t>提高农牧民邮政服务能力</w:t>
            </w:r>
          </w:p>
        </w:tc>
        <w:tc>
          <w:tcPr>
            <w:tcW w:w="1125" w:type="dxa"/>
            <w:tcBorders>
              <w:top w:val="nil"/>
              <w:left w:val="nil"/>
              <w:bottom w:val="single" w:color="auto" w:sz="4" w:space="0"/>
              <w:right w:val="single" w:color="auto" w:sz="4" w:space="0"/>
            </w:tcBorders>
            <w:shd w:val="clear" w:color="auto" w:fill="auto"/>
            <w:vAlign w:val="center"/>
          </w:tcPr>
          <w:p w14:paraId="2CB52252">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3BF27E74">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E9F9B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1E9A1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09E9FA">
            <w:pPr>
              <w:jc w:val="center"/>
            </w:pPr>
          </w:p>
        </w:tc>
      </w:tr>
      <w:tr w14:paraId="06A275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EF5F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1D5EA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CC598C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827E74">
            <w:pPr>
              <w:jc w:val="center"/>
            </w:pPr>
            <w:r>
              <w:rPr>
                <w:rFonts w:ascii="宋体" w:hAnsi="宋体"/>
                <w:sz w:val="18"/>
              </w:rPr>
              <w:t>农牧区投递员满意率（%）</w:t>
            </w:r>
          </w:p>
        </w:tc>
        <w:tc>
          <w:tcPr>
            <w:tcW w:w="1125" w:type="dxa"/>
            <w:tcBorders>
              <w:top w:val="nil"/>
              <w:left w:val="nil"/>
              <w:bottom w:val="single" w:color="auto" w:sz="4" w:space="0"/>
              <w:right w:val="single" w:color="auto" w:sz="4" w:space="0"/>
            </w:tcBorders>
            <w:shd w:val="clear" w:color="auto" w:fill="auto"/>
            <w:vAlign w:val="center"/>
          </w:tcPr>
          <w:p w14:paraId="703A0DAA">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E2B37C1">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B06D0D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8686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F4C124">
            <w:pPr>
              <w:jc w:val="center"/>
            </w:pPr>
          </w:p>
        </w:tc>
      </w:tr>
      <w:tr w14:paraId="78E9F80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178AC5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D78066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09B83B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194147">
            <w:pPr>
              <w:jc w:val="center"/>
            </w:pPr>
          </w:p>
        </w:tc>
      </w:tr>
    </w:tbl>
    <w:p w14:paraId="42DC8646">
      <w:pPr>
        <w:rPr>
          <w:rFonts w:hint="eastAsia" w:ascii="宋体" w:hAnsi="宋体" w:cs="宋体"/>
          <w:b/>
          <w:bCs/>
          <w:kern w:val="0"/>
          <w:sz w:val="18"/>
          <w:szCs w:val="18"/>
        </w:rPr>
      </w:pPr>
    </w:p>
    <w:p w14:paraId="2117F69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F5B931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F0A7AB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268E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34D635">
            <w:pPr>
              <w:jc w:val="center"/>
            </w:pPr>
            <w:r>
              <w:rPr>
                <w:rFonts w:ascii="宋体" w:hAnsi="宋体"/>
                <w:sz w:val="18"/>
              </w:rPr>
              <w:t>清偿克拉玛依永升建设有限公司债务</w:t>
            </w:r>
          </w:p>
        </w:tc>
      </w:tr>
      <w:tr w14:paraId="3700F29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124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8697DDC">
            <w:pPr>
              <w:jc w:val="center"/>
            </w:pPr>
            <w:r>
              <w:rPr>
                <w:rFonts w:ascii="宋体" w:hAnsi="宋体"/>
                <w:sz w:val="18"/>
              </w:rPr>
              <w:t>奇台县商务和工业信息化局</w:t>
            </w:r>
          </w:p>
        </w:tc>
        <w:tc>
          <w:tcPr>
            <w:tcW w:w="1275" w:type="dxa"/>
            <w:gridSpan w:val="2"/>
            <w:tcBorders>
              <w:top w:val="nil"/>
              <w:left w:val="nil"/>
              <w:bottom w:val="single" w:color="auto" w:sz="4" w:space="0"/>
              <w:right w:val="single" w:color="000000" w:sz="4" w:space="0"/>
            </w:tcBorders>
            <w:shd w:val="clear" w:color="auto" w:fill="auto"/>
            <w:vAlign w:val="center"/>
          </w:tcPr>
          <w:p w14:paraId="320E41E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8023039">
            <w:pPr>
              <w:jc w:val="center"/>
            </w:pPr>
            <w:r>
              <w:rPr>
                <w:rFonts w:ascii="宋体" w:hAnsi="宋体"/>
                <w:sz w:val="18"/>
              </w:rPr>
              <w:t>奇台县商务和工业信息化局</w:t>
            </w:r>
          </w:p>
        </w:tc>
      </w:tr>
      <w:tr w14:paraId="6A0B678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677C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26A8F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2C63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6F783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08E58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D687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426AF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B1685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D2083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9031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CC20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F4F3F9">
            <w:pPr>
              <w:jc w:val="center"/>
            </w:pPr>
            <w:r>
              <w:rPr>
                <w:rFonts w:ascii="宋体" w:hAnsi="宋体"/>
                <w:sz w:val="18"/>
              </w:rPr>
              <w:t>880.00</w:t>
            </w:r>
          </w:p>
        </w:tc>
        <w:tc>
          <w:tcPr>
            <w:tcW w:w="1125" w:type="dxa"/>
            <w:tcBorders>
              <w:top w:val="nil"/>
              <w:left w:val="nil"/>
              <w:bottom w:val="single" w:color="auto" w:sz="4" w:space="0"/>
              <w:right w:val="single" w:color="auto" w:sz="4" w:space="0"/>
            </w:tcBorders>
            <w:shd w:val="clear" w:color="auto" w:fill="auto"/>
            <w:noWrap/>
            <w:vAlign w:val="center"/>
          </w:tcPr>
          <w:p w14:paraId="1D406BFB">
            <w:pPr>
              <w:jc w:val="center"/>
            </w:pPr>
            <w:r>
              <w:rPr>
                <w:rFonts w:ascii="宋体" w:hAnsi="宋体"/>
                <w:sz w:val="18"/>
              </w:rPr>
              <w:t>880.00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7B36F7">
            <w:pPr>
              <w:jc w:val="center"/>
            </w:pPr>
            <w:r>
              <w:rPr>
                <w:rFonts w:ascii="宋体" w:hAnsi="宋体"/>
                <w:sz w:val="18"/>
              </w:rPr>
              <w:t>660.00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F87B75">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7A511DE">
            <w:pPr>
              <w:jc w:val="center"/>
            </w:pPr>
            <w:r>
              <w:rPr>
                <w:rFonts w:ascii="宋体" w:hAnsi="宋体"/>
                <w:sz w:val="18"/>
              </w:rPr>
              <w:t>75.00%</w:t>
            </w:r>
          </w:p>
        </w:tc>
        <w:tc>
          <w:tcPr>
            <w:tcW w:w="1275" w:type="dxa"/>
            <w:tcBorders>
              <w:top w:val="nil"/>
              <w:left w:val="nil"/>
              <w:bottom w:val="single" w:color="auto" w:sz="4" w:space="0"/>
              <w:right w:val="single" w:color="auto" w:sz="4" w:space="0"/>
            </w:tcBorders>
            <w:shd w:val="clear" w:color="auto" w:fill="auto"/>
            <w:vAlign w:val="center"/>
          </w:tcPr>
          <w:p w14:paraId="42AB4DBC">
            <w:pPr>
              <w:jc w:val="center"/>
            </w:pPr>
            <w:r>
              <w:rPr>
                <w:rFonts w:ascii="宋体" w:hAnsi="宋体"/>
                <w:sz w:val="18"/>
              </w:rPr>
              <w:t>3.75</w:t>
            </w:r>
          </w:p>
        </w:tc>
      </w:tr>
      <w:tr w14:paraId="5B2F993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9183B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77C3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8577D2">
            <w:pPr>
              <w:jc w:val="center"/>
            </w:pPr>
            <w:r>
              <w:rPr>
                <w:rFonts w:ascii="宋体" w:hAnsi="宋体"/>
                <w:sz w:val="18"/>
              </w:rPr>
              <w:t>880.00</w:t>
            </w:r>
          </w:p>
        </w:tc>
        <w:tc>
          <w:tcPr>
            <w:tcW w:w="1125" w:type="dxa"/>
            <w:tcBorders>
              <w:top w:val="nil"/>
              <w:left w:val="nil"/>
              <w:bottom w:val="single" w:color="auto" w:sz="4" w:space="0"/>
              <w:right w:val="single" w:color="auto" w:sz="4" w:space="0"/>
            </w:tcBorders>
            <w:shd w:val="clear" w:color="auto" w:fill="auto"/>
            <w:noWrap/>
            <w:vAlign w:val="center"/>
          </w:tcPr>
          <w:p w14:paraId="69527AFE">
            <w:pPr>
              <w:jc w:val="center"/>
            </w:pPr>
            <w:r>
              <w:rPr>
                <w:rFonts w:ascii="宋体" w:hAnsi="宋体"/>
                <w:sz w:val="18"/>
              </w:rPr>
              <w:t>880.00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C455BF6">
            <w:pPr>
              <w:jc w:val="center"/>
            </w:pPr>
            <w:r>
              <w:rPr>
                <w:rFonts w:ascii="宋体" w:hAnsi="宋体"/>
                <w:sz w:val="18"/>
              </w:rPr>
              <w:t>660.00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BE59F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31AF4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1636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0ABC5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14FB1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F178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B1231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B9C8AB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F835CE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D8F3D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33FA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41454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B8006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E786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E2A7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F11DF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4CABDD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CF42D2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E754B26">
            <w:pPr>
              <w:jc w:val="left"/>
            </w:pPr>
            <w:r>
              <w:rPr>
                <w:rFonts w:ascii="宋体" w:hAnsi="宋体"/>
                <w:sz w:val="18"/>
              </w:rPr>
              <w:t>及时偿还永升建设集团喇嘛湖梁1号路工程和1号路延伸工程2023年债务款880万元，资金支付次数4笔，做到执行判决书和还款协议内容，维护法律和合同的权威和效力，推动案结事了，防范化解新的信访矛盾和上诉。</w:t>
            </w:r>
          </w:p>
        </w:tc>
        <w:tc>
          <w:tcPr>
            <w:tcW w:w="4677" w:type="dxa"/>
            <w:gridSpan w:val="7"/>
            <w:tcBorders>
              <w:top w:val="single" w:color="auto" w:sz="4" w:space="0"/>
              <w:left w:val="nil"/>
              <w:bottom w:val="single" w:color="auto" w:sz="4" w:space="0"/>
              <w:right w:val="single" w:color="000000" w:sz="4" w:space="0"/>
            </w:tcBorders>
            <w:shd w:val="clear" w:color="auto" w:fill="auto"/>
          </w:tcPr>
          <w:p w14:paraId="64D0AEB2">
            <w:pPr>
              <w:jc w:val="left"/>
            </w:pPr>
            <w:r>
              <w:rPr>
                <w:rFonts w:ascii="宋体" w:hAnsi="宋体"/>
                <w:sz w:val="18"/>
              </w:rPr>
              <w:t>永升建设集团喇嘛湖梁1号路工程和1号延伸工程项目，资金支付5笔，共计660万，债务化解率完成75%，资金支付及时率完成100%，资金支付控制率75%，政府公信力得到提升，风险防范化解率75%，企业满意度完成率100%。</w:t>
            </w:r>
          </w:p>
        </w:tc>
      </w:tr>
      <w:tr w14:paraId="367D0483">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E2303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603D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71855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9F3F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759E8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F42C3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579B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F952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CE18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DBD1A1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522D70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49F0AC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6DE7E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65B6A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41CC75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F18F21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B0BEB6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532EF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3E151F">
            <w:pPr>
              <w:widowControl/>
              <w:jc w:val="left"/>
              <w:rPr>
                <w:rFonts w:hint="eastAsia" w:ascii="宋体" w:hAnsi="宋体" w:cs="宋体"/>
                <w:color w:val="000000"/>
                <w:kern w:val="0"/>
                <w:sz w:val="18"/>
                <w:szCs w:val="18"/>
              </w:rPr>
            </w:pPr>
          </w:p>
        </w:tc>
      </w:tr>
      <w:tr w14:paraId="45B10825">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9F787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2DD545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FF9185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26DAA9">
            <w:pPr>
              <w:jc w:val="center"/>
            </w:pPr>
            <w:r>
              <w:rPr>
                <w:rFonts w:ascii="宋体" w:hAnsi="宋体"/>
                <w:sz w:val="18"/>
              </w:rPr>
              <w:t>资金支付次数</w:t>
            </w:r>
          </w:p>
        </w:tc>
        <w:tc>
          <w:tcPr>
            <w:tcW w:w="1125" w:type="dxa"/>
            <w:tcBorders>
              <w:top w:val="nil"/>
              <w:left w:val="nil"/>
              <w:bottom w:val="single" w:color="auto" w:sz="4" w:space="0"/>
              <w:right w:val="single" w:color="auto" w:sz="4" w:space="0"/>
            </w:tcBorders>
            <w:shd w:val="clear" w:color="auto" w:fill="auto"/>
            <w:vAlign w:val="center"/>
          </w:tcPr>
          <w:p w14:paraId="779F39EB">
            <w:pPr>
              <w:jc w:val="center"/>
            </w:pPr>
            <w:r>
              <w:rPr>
                <w:rFonts w:ascii="宋体" w:hAnsi="宋体"/>
                <w:sz w:val="18"/>
              </w:rPr>
              <w:t>=4笔</w:t>
            </w:r>
          </w:p>
        </w:tc>
        <w:tc>
          <w:tcPr>
            <w:tcW w:w="1229" w:type="dxa"/>
            <w:tcBorders>
              <w:top w:val="nil"/>
              <w:left w:val="nil"/>
              <w:bottom w:val="single" w:color="auto" w:sz="4" w:space="0"/>
              <w:right w:val="single" w:color="auto" w:sz="4" w:space="0"/>
            </w:tcBorders>
            <w:shd w:val="clear" w:color="auto" w:fill="auto"/>
            <w:vAlign w:val="center"/>
          </w:tcPr>
          <w:p w14:paraId="327DD2E0">
            <w:pPr>
              <w:jc w:val="center"/>
            </w:pPr>
            <w:r>
              <w:rPr>
                <w:rFonts w:ascii="宋体" w:hAnsi="宋体"/>
                <w:sz w:val="18"/>
              </w:rPr>
              <w:t>=3笔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0FA16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B0F2CC">
            <w:pPr>
              <w:jc w:val="center"/>
            </w:pPr>
            <w:r>
              <w:rPr>
                <w:rFonts w:ascii="宋体" w:hAnsi="宋体"/>
                <w:sz w:val="18"/>
              </w:rPr>
              <w:t>7.5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5F3CED">
            <w:pPr>
              <w:jc w:val="center"/>
            </w:pPr>
            <w:r>
              <w:rPr>
                <w:rFonts w:ascii="宋体" w:hAnsi="宋体"/>
                <w:sz w:val="18"/>
              </w:rPr>
              <w:t>2021年12月29日，在昌吉州人民法院的调解下，奇台商务和工业信息化局与永升建设集团有限公司就“奇台产业园区喇嘛湖梁工业园区 1号道路工程”、“奇台产业园区喇嘛湖梁工业园区1号路延伸段道路工程”项目，达成执行和解协议，按照协议要求，执行款分三年进行支付。还款计划为：从2023年1月起至2025年12月止，每季度第一个月10日前向申请执行人支付人民币220万元，因第四季度财政未拨付执行款，固2023年度最后一笔未支付。改进措施：下年度积极和财政对接保障资金足额到位。</w:t>
            </w:r>
          </w:p>
        </w:tc>
      </w:tr>
      <w:tr w14:paraId="0426809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9248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E81D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C541D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7BB038">
            <w:pPr>
              <w:jc w:val="center"/>
            </w:pPr>
            <w:r>
              <w:rPr>
                <w:rFonts w:ascii="宋体" w:hAnsi="宋体"/>
                <w:sz w:val="18"/>
              </w:rPr>
              <w:t>债务化解率</w:t>
            </w:r>
          </w:p>
        </w:tc>
        <w:tc>
          <w:tcPr>
            <w:tcW w:w="1125" w:type="dxa"/>
            <w:tcBorders>
              <w:top w:val="nil"/>
              <w:left w:val="nil"/>
              <w:bottom w:val="single" w:color="auto" w:sz="4" w:space="0"/>
              <w:right w:val="single" w:color="auto" w:sz="4" w:space="0"/>
            </w:tcBorders>
            <w:shd w:val="clear" w:color="auto" w:fill="auto"/>
            <w:vAlign w:val="center"/>
          </w:tcPr>
          <w:p w14:paraId="6224296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0549B06">
            <w:pPr>
              <w:jc w:val="center"/>
            </w:pPr>
            <w:r>
              <w:rPr>
                <w:rFonts w:ascii="宋体" w:hAnsi="宋体"/>
                <w:sz w:val="18"/>
              </w:rPr>
              <w:t>=75%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CC09C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9FCD8A">
            <w:pPr>
              <w:jc w:val="center"/>
            </w:pPr>
            <w:r>
              <w:rPr>
                <w:rFonts w:ascii="宋体" w:hAnsi="宋体"/>
                <w:sz w:val="18"/>
              </w:rPr>
              <w:t>3.75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9D1473">
            <w:pPr>
              <w:jc w:val="center"/>
            </w:pPr>
            <w:r>
              <w:rPr>
                <w:rFonts w:ascii="宋体" w:hAnsi="宋体"/>
                <w:sz w:val="18"/>
              </w:rPr>
              <w:t>2021年12月29日，在昌吉州人民法院的调解下，奇台商务和工业信息化局与永升建设集团有限公司就“奇台产业园区喇嘛湖梁工业园区 1号道路工程”、“奇台产业园区喇嘛湖梁工业园区1号路延伸段道路工程”项目，达成执行和解协议，按照协议要求，执行款分三年进行支付。还款计划为：从2023年1月起至2025年12月止，每季度第一个月10日前向申请执行人支付人民币220万元，因第四季度财政未拨付执行款，固2023年度最后一笔未支付。改进措施：下年度积极和财政对接保障资金足额到位。</w:t>
            </w:r>
          </w:p>
        </w:tc>
      </w:tr>
      <w:tr w14:paraId="5846A8C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1F90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0686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73BF0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73D2C5">
            <w:pPr>
              <w:jc w:val="center"/>
            </w:pPr>
            <w:r>
              <w:rPr>
                <w:rFonts w:ascii="宋体" w:hAnsi="宋体"/>
                <w:sz w:val="18"/>
              </w:rPr>
              <w:t>资金支付及时率</w:t>
            </w:r>
          </w:p>
        </w:tc>
        <w:tc>
          <w:tcPr>
            <w:tcW w:w="1125" w:type="dxa"/>
            <w:tcBorders>
              <w:top w:val="nil"/>
              <w:left w:val="nil"/>
              <w:bottom w:val="single" w:color="auto" w:sz="4" w:space="0"/>
              <w:right w:val="single" w:color="auto" w:sz="4" w:space="0"/>
            </w:tcBorders>
            <w:shd w:val="clear" w:color="auto" w:fill="auto"/>
            <w:vAlign w:val="center"/>
          </w:tcPr>
          <w:p w14:paraId="7C69B2F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E04BBE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A949B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7CA46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BBD77E">
            <w:pPr>
              <w:jc w:val="center"/>
            </w:pPr>
          </w:p>
        </w:tc>
      </w:tr>
      <w:tr w14:paraId="1381CCC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C4E5D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B2D21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431589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1FD20D">
            <w:pPr>
              <w:jc w:val="center"/>
            </w:pPr>
            <w:r>
              <w:rPr>
                <w:rFonts w:ascii="宋体" w:hAnsi="宋体"/>
                <w:sz w:val="18"/>
              </w:rPr>
              <w:t>资金支付控制率</w:t>
            </w:r>
          </w:p>
        </w:tc>
        <w:tc>
          <w:tcPr>
            <w:tcW w:w="1125" w:type="dxa"/>
            <w:tcBorders>
              <w:top w:val="nil"/>
              <w:left w:val="nil"/>
              <w:bottom w:val="single" w:color="auto" w:sz="4" w:space="0"/>
              <w:right w:val="single" w:color="auto" w:sz="4" w:space="0"/>
            </w:tcBorders>
            <w:shd w:val="clear" w:color="auto" w:fill="auto"/>
            <w:vAlign w:val="center"/>
          </w:tcPr>
          <w:p w14:paraId="43CA149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A85A759">
            <w:pPr>
              <w:jc w:val="center"/>
            </w:pPr>
            <w:r>
              <w:rPr>
                <w:rFonts w:ascii="宋体" w:hAnsi="宋体"/>
                <w:sz w:val="18"/>
              </w:rPr>
              <w:t>=75%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71D2C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B00725">
            <w:pPr>
              <w:jc w:val="center"/>
            </w:pPr>
            <w:r>
              <w:rPr>
                <w:rFonts w:ascii="宋体" w:hAnsi="宋体"/>
                <w:sz w:val="18"/>
              </w:rPr>
              <w:t>7.5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0ECAAB">
            <w:pPr>
              <w:jc w:val="center"/>
            </w:pPr>
            <w:r>
              <w:rPr>
                <w:rFonts w:ascii="宋体" w:hAnsi="宋体"/>
                <w:sz w:val="18"/>
              </w:rPr>
              <w:t>2021年12月29日，在昌吉州人民法院的调解下，奇台商务和工业信息化局与永升建设集团有限公司就“奇台产业园区喇嘛湖梁工业园区 1号道路工程”、“奇台产业园区喇嘛湖梁工业园区1号路延伸段道路工程”项目，达成执行和解协议，按照协议要求，执行款分三年进行支付。还款计划为：从2023年1月起至2025年12月止，每季度第一个月10日前向申请执行人支付人民币220万元，因第四季度财政未拨付执行款，固2023年度最后一笔未支付。改进措施：下年度积极和财政对接保障资金足额到位。</w:t>
            </w:r>
          </w:p>
        </w:tc>
      </w:tr>
      <w:tr w14:paraId="10406A5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98B84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EE2E73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1CD1E6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13D472">
            <w:pPr>
              <w:jc w:val="center"/>
            </w:pPr>
            <w:r>
              <w:rPr>
                <w:rFonts w:ascii="宋体" w:hAnsi="宋体"/>
                <w:sz w:val="18"/>
              </w:rPr>
              <w:t>政府公信力有效提升</w:t>
            </w:r>
          </w:p>
        </w:tc>
        <w:tc>
          <w:tcPr>
            <w:tcW w:w="1125" w:type="dxa"/>
            <w:tcBorders>
              <w:top w:val="nil"/>
              <w:left w:val="nil"/>
              <w:bottom w:val="single" w:color="auto" w:sz="4" w:space="0"/>
              <w:right w:val="single" w:color="auto" w:sz="4" w:space="0"/>
            </w:tcBorders>
            <w:shd w:val="clear" w:color="auto" w:fill="auto"/>
            <w:vAlign w:val="center"/>
          </w:tcPr>
          <w:p w14:paraId="34C9E564">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40720E36">
            <w:pPr>
              <w:jc w:val="center"/>
            </w:pPr>
            <w:r>
              <w:rPr>
                <w:rFonts w:ascii="宋体" w:hAnsi="宋体"/>
                <w:sz w:val="18"/>
              </w:rPr>
              <w:t>得到提升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98022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C96CE5C">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776A93">
            <w:pPr>
              <w:jc w:val="center"/>
            </w:pPr>
            <w:r>
              <w:rPr>
                <w:rFonts w:ascii="宋体" w:hAnsi="宋体"/>
                <w:sz w:val="18"/>
              </w:rPr>
              <w:t>2021年12月29日，在昌吉州人民法院的调解下，奇台商务和工业信息化局与永升建设集团有限公司就“奇台产业园区喇嘛湖梁工业园区 1号道路工程”、“奇台产业园区喇嘛湖梁工业园区1号路延伸段道路工程”项目，达成执行和解协议，按照协议要求，执行款分三年进行支付。还款计划为：从2023年1月起至2025年12月止，每季度第一个月10日前向申请执行人支付人民币220万元，因第四季度财政未拨付执行款，固2023年度最后一笔未支付。改进措施：下年度积极和财政对接保障资金足额到位。</w:t>
            </w:r>
          </w:p>
        </w:tc>
      </w:tr>
      <w:tr w14:paraId="7023A0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3D26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0A8A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635F1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43325F">
            <w:pPr>
              <w:jc w:val="center"/>
            </w:pPr>
            <w:r>
              <w:rPr>
                <w:rFonts w:ascii="宋体" w:hAnsi="宋体"/>
                <w:sz w:val="18"/>
              </w:rPr>
              <w:t>风险防范化解率</w:t>
            </w:r>
          </w:p>
        </w:tc>
        <w:tc>
          <w:tcPr>
            <w:tcW w:w="1125" w:type="dxa"/>
            <w:tcBorders>
              <w:top w:val="nil"/>
              <w:left w:val="nil"/>
              <w:bottom w:val="single" w:color="auto" w:sz="4" w:space="0"/>
              <w:right w:val="single" w:color="auto" w:sz="4" w:space="0"/>
            </w:tcBorders>
            <w:shd w:val="clear" w:color="auto" w:fill="auto"/>
            <w:vAlign w:val="center"/>
          </w:tcPr>
          <w:p w14:paraId="41F03184">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36A867F9">
            <w:pPr>
              <w:jc w:val="center"/>
            </w:pPr>
            <w:r>
              <w:rPr>
                <w:rFonts w:ascii="宋体" w:hAnsi="宋体"/>
                <w:sz w:val="18"/>
              </w:rPr>
              <w:t>=75%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A99F2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4CC537">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367B44">
            <w:pPr>
              <w:jc w:val="center"/>
            </w:pPr>
            <w:r>
              <w:rPr>
                <w:rFonts w:ascii="宋体" w:hAnsi="宋体"/>
                <w:sz w:val="18"/>
              </w:rPr>
              <w:t>2021年12月29日，在昌吉州人民法院的调解下，奇台商务和工业信息化局与永升建设集团有限公司就“奇台产业园区喇嘛湖梁工业园区 1号道路工程”、“奇台产业园区喇嘛湖梁工业园区1号路延伸段道路工程”项目，达成执行和解协议，按照协议要求，执行款分三年进行支付。还款计划为：从2023年1月起至2025年12月止，每季度第一个月10日前向申请执行人支付人民币220万元，因第四季度财政未拨付执行款，固2023年度最后一笔未支付。改进措施：下年度积极和财政对接保障资金足额到位。</w:t>
            </w:r>
          </w:p>
        </w:tc>
      </w:tr>
      <w:tr w14:paraId="6683749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D4A6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FA1C7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23FFA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13FA31">
            <w:pPr>
              <w:jc w:val="center"/>
            </w:pPr>
            <w:r>
              <w:rPr>
                <w:rFonts w:ascii="宋体" w:hAnsi="宋体"/>
                <w:sz w:val="18"/>
              </w:rPr>
              <w:t>企业满意度</w:t>
            </w:r>
          </w:p>
        </w:tc>
        <w:tc>
          <w:tcPr>
            <w:tcW w:w="1125" w:type="dxa"/>
            <w:tcBorders>
              <w:top w:val="nil"/>
              <w:left w:val="nil"/>
              <w:bottom w:val="single" w:color="auto" w:sz="4" w:space="0"/>
              <w:right w:val="single" w:color="auto" w:sz="4" w:space="0"/>
            </w:tcBorders>
            <w:shd w:val="clear" w:color="auto" w:fill="auto"/>
            <w:vAlign w:val="center"/>
          </w:tcPr>
          <w:p w14:paraId="2872170C">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BEAFAC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A29E5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A0925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1A2828">
            <w:pPr>
              <w:jc w:val="center"/>
            </w:pPr>
          </w:p>
        </w:tc>
      </w:tr>
      <w:tr w14:paraId="3B2E81B2">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C1D0B4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14608F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6D1EC34">
            <w:pPr>
              <w:jc w:val="center"/>
            </w:pPr>
            <w:r>
              <w:rPr>
                <w:rFonts w:ascii="宋体" w:hAnsi="宋体"/>
                <w:sz w:val="18"/>
              </w:rPr>
              <w:t>54.5分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5F5AE2">
            <w:pPr>
              <w:jc w:val="center"/>
            </w:pPr>
          </w:p>
        </w:tc>
      </w:tr>
    </w:tbl>
    <w:p w14:paraId="02324B3B">
      <w:pPr>
        <w:jc w:val="left"/>
        <w:rPr>
          <w:rFonts w:hint="eastAsia" w:ascii="宋体" w:hAnsi="宋体" w:cs="宋体"/>
          <w:b/>
          <w:bCs/>
          <w:kern w:val="0"/>
          <w:sz w:val="18"/>
          <w:szCs w:val="18"/>
        </w:rPr>
      </w:pPr>
    </w:p>
    <w:p w14:paraId="5E7CC76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3FBE595">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8" w:name="_GoBack"/>
      <w:bookmarkEnd w:id="48"/>
      <w:r>
        <w:rPr>
          <w:rFonts w:hint="eastAsia" w:ascii="仿宋_GB2312" w:hAnsi="仿宋_GB2312" w:eastAsia="仿宋_GB2312" w:cs="仿宋_GB2312"/>
          <w:kern w:val="0"/>
          <w:sz w:val="32"/>
          <w:szCs w:val="32"/>
        </w:rPr>
        <w:t>当年预算绩效评价项目有4个涉密项目，涉及全年预算数</w:t>
      </w:r>
      <w:r>
        <w:rPr>
          <w:rFonts w:ascii="仿宋_GB2312" w:hAnsi="仿宋_GB2312" w:eastAsia="仿宋_GB2312" w:cs="仿宋_GB2312"/>
          <w:kern w:val="0"/>
          <w:sz w:val="32"/>
          <w:szCs w:val="32"/>
        </w:rPr>
        <w:t>655.8</w:t>
      </w:r>
      <w:r>
        <w:rPr>
          <w:rFonts w:hint="eastAsia" w:ascii="仿宋_GB2312" w:hAnsi="仿宋_GB2312" w:eastAsia="仿宋_GB2312" w:cs="仿宋_GB2312"/>
          <w:kern w:val="0"/>
          <w:sz w:val="32"/>
          <w:szCs w:val="32"/>
        </w:rPr>
        <w:t>0万元，全年执行数</w:t>
      </w:r>
      <w:r>
        <w:rPr>
          <w:rFonts w:ascii="仿宋_GB2312" w:hAnsi="仿宋_GB2312" w:eastAsia="仿宋_GB2312" w:cs="仿宋_GB2312"/>
          <w:kern w:val="0"/>
          <w:sz w:val="32"/>
          <w:szCs w:val="32"/>
        </w:rPr>
        <w:t>6</w:t>
      </w:r>
      <w:r>
        <w:rPr>
          <w:rFonts w:hint="eastAsia" w:ascii="仿宋_GB2312" w:hAnsi="仿宋_GB2312" w:eastAsia="仿宋_GB2312" w:cs="仿宋_GB2312"/>
          <w:kern w:val="0"/>
          <w:sz w:val="32"/>
          <w:szCs w:val="32"/>
        </w:rPr>
        <w:t>2</w:t>
      </w:r>
      <w:r>
        <w:rPr>
          <w:rFonts w:ascii="仿宋_GB2312" w:hAnsi="仿宋_GB2312" w:eastAsia="仿宋_GB2312" w:cs="仿宋_GB2312"/>
          <w:kern w:val="0"/>
          <w:sz w:val="32"/>
          <w:szCs w:val="32"/>
        </w:rPr>
        <w:t>5.8</w:t>
      </w:r>
      <w:r>
        <w:rPr>
          <w:rFonts w:hint="eastAsia" w:ascii="仿宋_GB2312" w:hAnsi="仿宋_GB2312" w:eastAsia="仿宋_GB2312" w:cs="仿宋_GB2312"/>
          <w:kern w:val="0"/>
          <w:sz w:val="32"/>
          <w:szCs w:val="32"/>
        </w:rPr>
        <w:t>0万元，未公开绩效自评表原因：涉密项目不公开项目绩效自评表。</w:t>
      </w:r>
    </w:p>
    <w:p w14:paraId="21A38A6E">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1A0256D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6C9FE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E23F5F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49EE16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E396D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C326B0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540E7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5F177F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B936D8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1DCF1F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43B4D3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20D676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744DE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1950B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E3A192D">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5E4C2FE">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419569F">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0B1D157D">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75CE1C79">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7F273368">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1DEC1AE3">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05D044E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21F0A5AB">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281050B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4F61E4E">
      <w:pPr>
        <w:ind w:firstLine="640" w:firstLineChars="200"/>
        <w:rPr>
          <w:rFonts w:ascii="仿宋_GB2312" w:eastAsia="仿宋_GB2312"/>
          <w:sz w:val="32"/>
          <w:szCs w:val="32"/>
        </w:rPr>
      </w:pPr>
    </w:p>
    <w:p w14:paraId="40F5604A">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479F3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DA06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1DA061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41D43"/>
    <w:rsid w:val="00213C59"/>
    <w:rsid w:val="002A5FD4"/>
    <w:rsid w:val="003210CE"/>
    <w:rsid w:val="0040765B"/>
    <w:rsid w:val="00504CBE"/>
    <w:rsid w:val="005A243F"/>
    <w:rsid w:val="00723E46"/>
    <w:rsid w:val="00741D43"/>
    <w:rsid w:val="00773EE4"/>
    <w:rsid w:val="008C4944"/>
    <w:rsid w:val="009400CE"/>
    <w:rsid w:val="00A63B82"/>
    <w:rsid w:val="00A9673D"/>
    <w:rsid w:val="00AA3F48"/>
    <w:rsid w:val="00B70D59"/>
    <w:rsid w:val="00C06634"/>
    <w:rsid w:val="00CC387F"/>
    <w:rsid w:val="00DD00C6"/>
    <w:rsid w:val="00DD0BDB"/>
    <w:rsid w:val="00E22283"/>
    <w:rsid w:val="00EA28AC"/>
    <w:rsid w:val="00F52A8D"/>
    <w:rsid w:val="00F96E5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8F0353D"/>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772758"/>
    <w:rsid w:val="3E8168DD"/>
    <w:rsid w:val="3EA7725F"/>
    <w:rsid w:val="3EB03713"/>
    <w:rsid w:val="3EBF1A11"/>
    <w:rsid w:val="3EC52607"/>
    <w:rsid w:val="3EEC6CEF"/>
    <w:rsid w:val="3F183429"/>
    <w:rsid w:val="3FB77A1D"/>
    <w:rsid w:val="3FDC3674"/>
    <w:rsid w:val="3FED7F8A"/>
    <w:rsid w:val="40094AEF"/>
    <w:rsid w:val="405470BD"/>
    <w:rsid w:val="4055591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9F120E"/>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17531</Words>
  <Characters>20560</Characters>
  <Lines>167</Lines>
  <Paragraphs>47</Paragraphs>
  <TotalTime>41</TotalTime>
  <ScaleCrop>false</ScaleCrop>
  <LinksUpToDate>false</LinksUpToDate>
  <CharactersWithSpaces>20575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2024-12-27T07:19:31Z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