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奇财行【2023】36号关于下达奇台县审计项目资金的通知（中介机构结算审计费、粮食购销领域专项审计费）</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奇财行【2023】36号关于下达奇台县审计项目资金的通知（中介机构结算审计费、粮食购销领域专项审计费）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奇台县审计局</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奇台县审计局</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俞惠玲</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16</w:t>
      </w:r>
      <w:r>
        <w:rPr>
          <w:rFonts w:eastAsia="仿宋_GB2312"/>
          <w:kern w:val="0"/>
          <w:sz w:val="36"/>
          <w:szCs w:val="36"/>
        </w:rPr>
        <w:t>日</w:t>
      </w:r>
    </w:p>
    <w:p>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2"/>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奇台县政府投资审计中心主要对政府投资和以政府投资为主的建设项目的预算执行情况和决算进行审计监督，为更好的完成政府投资项目审计，有效保障审计工作正常开展。奇台县审计局经费实行全额预算管理，特申请奇财行【2023】36号关于下达奇台县审计项目资金的通知（中介机构结算审计费、粮食购销领域专项审计费）的资金52万元。</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eastAsia="黑体"/>
        </w:rPr>
      </w:pPr>
      <w:r>
        <w:rPr>
          <w:rFonts w:hint="eastAsia" w:ascii="仿宋_GB2312" w:hAnsi="仿宋_GB2312" w:eastAsia="仿宋_GB2312" w:cs="仿宋_GB2312"/>
          <w:sz w:val="30"/>
          <w:szCs w:val="30"/>
        </w:rPr>
        <w:t>项目主要内容：一、政府投资项目结算审核费用 2020年至2022年，我局共完成投资项目审计27个17225.31万元，发现多计取工程价款792.04万元，发现各类问题55个，有针对性的提出审计建议32余条。以上政府投资项目共需要支付结算审核费用45.602万元。 二、关于纪委开展粮食购销领域专项审计费用 2022年3月17日，审计委员会办公室收到奇台县监察委员会出具的《委托书》，要求县审计局对昌粮奇台分公司与4家合作企业玉米购销业务往来情况进行专项审计。</w:t>
      </w:r>
    </w:p>
    <w:p>
      <w:pPr>
        <w:widowControl/>
        <w:ind w:firstLine="640" w:firstLineChars="200"/>
        <w:jc w:val="left"/>
      </w:pPr>
      <w:r>
        <w:rPr>
          <w:rFonts w:eastAsia="仿宋_GB2312"/>
          <w:sz w:val="32"/>
          <w:szCs w:val="32"/>
        </w:rPr>
        <w:t>项目实施情况：项目目前已经完成实际设立的目标，项目在实施过程中严格按照目标设立的任务进行开展工作，在前期立项过程中严格把质量关，建立安全防护机制，保证项目实施各阶段安全顺利进行。</w:t>
      </w:r>
      <w:r>
        <w:rPr>
          <w:rFonts w:hint="eastAsia" w:eastAsia="仿宋_GB2312"/>
          <w:sz w:val="32"/>
          <w:szCs w:val="32"/>
        </w:rPr>
        <w:t>资金支付完成率100%；支付准确率100%；支付对象满意度达90%，保障工作正常开展。</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该项目年初预算数52万元，全年预算数52万元，实际总投入52万元，该项目资金已全部落实到位资金来源为县级资金。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该项目年初预算数52万元，全年预算数52万元,全年执行数52万元，预算执行率为100%，主要用于：支付 2020年至2022年政府投资项目结算审核费和开展粮食购销领域专项审计费用。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本项目投入52万元，用于完成以下内容:一、支付2020年至2022完成的投资项目审计20个项目，需支付政府投资项目结算审核费用45.602万元。 二、支付开展粮食购销领域专项审计费用8万元。2023年12月完成项目支付。</w:t>
      </w:r>
    </w:p>
    <w:p>
      <w:pPr>
        <w:spacing w:line="560" w:lineRule="exact"/>
        <w:ind w:firstLine="640" w:firstLineChars="200"/>
        <w:rPr>
          <w:rFonts w:hint="eastAsia" w:ascii="仿宋_GB2312" w:hAnsi="仿宋_GB2312" w:eastAsia="仿宋_GB2312" w:cs="仿宋_GB2312"/>
          <w:sz w:val="30"/>
          <w:szCs w:val="30"/>
        </w:rPr>
      </w:pPr>
      <w:r>
        <w:rPr>
          <w:rFonts w:eastAsia="仿宋_GB2312"/>
          <w:sz w:val="32"/>
          <w:szCs w:val="32"/>
        </w:rPr>
        <w:t>2、阶段性目标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本项目投入52万元，用于完成以下内容:一、支付2020年至2022完成的投资项目审计19个项目，需支付政府投资项目结算审核费用45.602万元。</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eastAsia="仿宋_GB2312"/>
          <w:kern w:val="0"/>
          <w:sz w:val="32"/>
          <w:szCs w:val="32"/>
        </w:rPr>
      </w:pPr>
      <w:r>
        <w:rPr>
          <w:rFonts w:hint="eastAsia" w:eastAsia="仿宋_GB2312"/>
          <w:kern w:val="0"/>
          <w:sz w:val="32"/>
          <w:szCs w:val="32"/>
        </w:rPr>
        <w:t>奇财行【2023】36号关于下达奇台县审计项目资金的通知（中介机构结算审计费、粮食购销领域专项审计费）资金项目所包含的全部项目内容。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奇财行[2023]36关于下达奇台县审计项目资金的通知（中介机构结算审计费、粮食购销领域专项审计费）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spacing w:val="17"/>
          <w:sz w:val="32"/>
          <w:szCs w:val="32"/>
        </w:rPr>
      </w:pPr>
      <w:r>
        <w:rPr>
          <w:rFonts w:eastAsia="仿宋_GB2312"/>
          <w:spacing w:val="17"/>
          <w:sz w:val="32"/>
          <w:szCs w:val="32"/>
        </w:rPr>
        <w:t>（1）比较法</w:t>
      </w:r>
    </w:p>
    <w:p>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560" w:lineRule="exact"/>
        <w:ind w:firstLine="708" w:firstLineChars="200"/>
        <w:rPr>
          <w:rFonts w:eastAsia="仿宋_GB2312"/>
          <w:spacing w:val="17"/>
          <w:sz w:val="32"/>
          <w:szCs w:val="32"/>
        </w:rPr>
      </w:pPr>
      <w:r>
        <w:rPr>
          <w:rFonts w:eastAsia="仿宋_GB2312"/>
          <w:spacing w:val="17"/>
          <w:sz w:val="32"/>
          <w:szCs w:val="32"/>
        </w:rPr>
        <w:t>（2）因素分析法</w:t>
      </w:r>
    </w:p>
    <w:p>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绩效评价标准通常包括计划标准、行业标准、历史标准等，用于对绩效指标完成情况进行比较、分析、评价。本次评价主要计划标。</w:t>
      </w:r>
    </w:p>
    <w:p>
      <w:pPr>
        <w:spacing w:line="560" w:lineRule="exact"/>
        <w:ind w:firstLine="708" w:firstLineChars="200"/>
        <w:rPr>
          <w:rFonts w:eastAsia="仿宋_GB2312"/>
          <w:spacing w:val="17"/>
          <w:sz w:val="32"/>
          <w:szCs w:val="32"/>
        </w:rPr>
      </w:pPr>
      <w:bookmarkStart w:id="0" w:name="_Toc31464"/>
      <w:bookmarkStart w:id="1" w:name="_Toc17882"/>
      <w:r>
        <w:rPr>
          <w:rFonts w:hint="eastAsia" w:eastAsia="仿宋_GB2312"/>
          <w:spacing w:val="17"/>
          <w:sz w:val="32"/>
          <w:szCs w:val="32"/>
        </w:rPr>
        <w:t>计划标准：指以预先制定的目标、计划、预算、定额等作为评价标准。</w:t>
      </w:r>
      <w:bookmarkEnd w:id="0"/>
      <w:bookmarkEnd w:id="1"/>
    </w:p>
    <w:p>
      <w:pPr>
        <w:pStyle w:val="2"/>
        <w:numPr>
          <w:ilvl w:val="0"/>
          <w:numId w:val="3"/>
        </w:numPr>
        <w:spacing w:before="0" w:after="0" w:line="560" w:lineRule="exact"/>
        <w:ind w:firstLine="711" w:firstLineChars="200"/>
        <w:jc w:val="both"/>
        <w:rPr>
          <w:rFonts w:hint="eastAsia" w:ascii="楷体" w:hAnsi="楷体" w:eastAsia="楷体" w:cs="楷体"/>
          <w:spacing w:val="17"/>
        </w:rPr>
      </w:pPr>
      <w:r>
        <w:rPr>
          <w:rFonts w:hint="eastAsia" w:ascii="楷体" w:hAnsi="楷体" w:eastAsia="楷体" w:cs="楷体"/>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99.75分，属于“优”。其中，项目决策类指标权重为20分，得分为 20分，得分率为100%。项目过程类指标权重为20分，得分为20分，得分率为 100%。项目产出类指标权重为40分，得分为39.75分，得分率为99.38%。项目效益类指标权重为20分，得分为20分，得分率为100%。具体打分情况详见：附件1综合评分表。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39.75</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99.75</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本项目总投资52万元，财政资金及时足额到位，到位率100%，预算资金按计划进度执行。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预算编制较为详细，项目资金支出总体能够按照预算执行，预算资金支出52万元，预算执行率为100%。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firstLineChars="0"/>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项目产出类指标包括产出数量、产出质量、产出时效、产出成本四方面的内容，由6个三级指标构成，权重分为40分，实际得分39.75分，得分率为99.38%。具体产出指标完成情况如下：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支付审计项目个数，指标值：=20个，实际完成值：=19个，指标完成率95%。偏差原因是向县财政申请资金少了1.602万元，造成一项审计项目无资金支付，改进措施为积极向财政申请资金1.602万元，尽快完成支付。</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指标2：审计单位个数，指标值：=20家，实际完成值：=20家，指标完成率100%。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指标1：支付审计</w:t>
      </w:r>
      <w:bookmarkStart w:id="5" w:name="_GoBack"/>
      <w:bookmarkEnd w:id="5"/>
      <w:r>
        <w:rPr>
          <w:rFonts w:hint="eastAsia" w:ascii="仿宋_GB2312" w:hAnsi="仿宋_GB2312" w:eastAsia="仿宋_GB2312" w:cs="仿宋_GB2312"/>
          <w:sz w:val="32"/>
          <w:szCs w:val="32"/>
        </w:rPr>
        <w:t>项目资金准确率，指标值：＝100%，实际完成值：＝100%，指标完成率100%。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指标2：审计项目费用支付数，指标值：＝100%，实际完成值：＝100%，指标完成率100%。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指标1：支付审计项目资金及时率，指标值：＝100%，实际完成值：＝100%，指标完成率100%。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成本指标：指标1：审计项目费用支付完成率，指标值：</w:t>
      </w:r>
      <w:r>
        <w:rPr>
          <w:rFonts w:hint="eastAsia" w:ascii="宋体" w:hAnsi="宋体" w:cs="宋体"/>
          <w:sz w:val="32"/>
          <w:szCs w:val="32"/>
        </w:rPr>
        <w:t>﹤</w:t>
      </w:r>
      <w:r>
        <w:rPr>
          <w:rFonts w:hint="eastAsia" w:ascii="仿宋_GB2312" w:hAnsi="仿宋_GB2312" w:eastAsia="仿宋_GB2312" w:cs="仿宋_GB2312"/>
          <w:sz w:val="32"/>
          <w:szCs w:val="32"/>
        </w:rPr>
        <w:t>＝100%，实际完成值：＝100%，指标完成率100%。</w:t>
      </w:r>
    </w:p>
    <w:p>
      <w:pPr>
        <w:pStyle w:val="11"/>
        <w:numPr>
          <w:ilvl w:val="0"/>
          <w:numId w:val="5"/>
        </w:numPr>
        <w:spacing w:line="560" w:lineRule="exact"/>
        <w:ind w:firstLine="643" w:firstLineChars="0"/>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①社会效益指标：保障工作正常开展，指标值：有效保障，实际完成值：有效保障，指标完成率100%。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hint="eastAsia" w:ascii="仿宋_GB2312" w:hAnsi="仿宋_GB2312" w:eastAsia="仿宋_GB2312" w:cs="仿宋_GB2312"/>
          <w:sz w:val="32"/>
          <w:szCs w:val="32"/>
          <w:lang w:eastAsia="zh-Hans"/>
        </w:rPr>
      </w:pPr>
      <w:r>
        <w:rPr>
          <w:rFonts w:hint="eastAsia" w:ascii="仿宋_GB2312" w:hAnsi="仿宋_GB2312" w:eastAsia="仿宋_GB2312" w:cs="仿宋_GB2312"/>
          <w:sz w:val="32"/>
          <w:szCs w:val="32"/>
        </w:rPr>
        <w:t>满意度指标：支付对象满意度（%），指标值：＝90%，实际完成值：＝90%，指标完成率100%。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奇财行[2023]36关于下达奇台县审计项目资金的通知（中介机构结算审计费、粮食购销领域专项审计费）项目年初预算52万元，全年预算52万元，实际支出52万元，预算执行率为100%，项目绩效指标总体完成率为99.38%，</w:t>
      </w:r>
      <w:r>
        <w:rPr>
          <w:rFonts w:hint="eastAsia" w:eastAsia="仿宋_GB2312"/>
          <w:kern w:val="2"/>
          <w:sz w:val="32"/>
          <w:szCs w:val="32"/>
          <w:lang w:eastAsia="zh-Hans"/>
        </w:rPr>
        <w:t>总体</w:t>
      </w:r>
      <w:r>
        <w:rPr>
          <w:rFonts w:hint="eastAsia" w:eastAsia="仿宋_GB2312"/>
          <w:kern w:val="2"/>
          <w:sz w:val="32"/>
          <w:szCs w:val="32"/>
        </w:rPr>
        <w:t>偏差率为0.62%。</w:t>
      </w:r>
      <w:r>
        <w:rPr>
          <w:rFonts w:hint="eastAsia" w:ascii="仿宋_GB2312" w:hAnsi="仿宋_GB2312" w:eastAsia="仿宋_GB2312" w:cs="仿宋_GB2312"/>
          <w:sz w:val="32"/>
          <w:szCs w:val="32"/>
        </w:rPr>
        <w:t>偏差原因由于向财政申请资金少了1.602万元，造成一项审计项目无资金支付。改进措施为积极向财政申请资金1.602万元，尽快完成支付。</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2" w:name="page8"/>
      <w:bookmarkEnd w:id="2"/>
      <w:r>
        <w:rPr>
          <w:rFonts w:eastAsia="黑体"/>
          <w:sz w:val="32"/>
          <w:szCs w:val="32"/>
        </w:rPr>
        <w:t>明的问题</w:t>
      </w:r>
    </w:p>
    <w:p>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640"/>
        <w:rPr>
          <w:rFonts w:hint="eastAsia" w:ascii="仿宋_GB2312" w:hAnsi="仿宋_GB2312" w:eastAsia="仿宋_GB2312" w:cs="仿宋_GB2312"/>
          <w:sz w:val="32"/>
          <w:szCs w:val="32"/>
        </w:rPr>
      </w:pPr>
    </w:p>
    <w:p>
      <w:pPr>
        <w:pStyle w:val="2"/>
        <w:jc w:val="both"/>
        <w:rPr>
          <w:rFonts w:ascii="Times New Roman" w:hAnsi="Times New Roman" w:eastAsia="黑体"/>
          <w:b w:val="0"/>
          <w:bCs w:val="0"/>
        </w:rPr>
      </w:pPr>
    </w:p>
    <w:p>
      <w:pPr>
        <w:pStyle w:val="2"/>
        <w:rPr>
          <w:rFonts w:ascii="Times New Roman" w:hAnsi="Times New Roman" w:eastAsia="黑体"/>
          <w:b w:val="0"/>
          <w:bCs w:val="0"/>
        </w:rPr>
      </w:pPr>
    </w:p>
    <w:p>
      <w:pPr>
        <w:pStyle w:val="2"/>
        <w:jc w:val="both"/>
        <w:rPr>
          <w:rFonts w:ascii="Times New Roman" w:hAnsi="Times New Roman"/>
        </w:rPr>
        <w:sectPr>
          <w:pgSz w:w="11906" w:h="16838"/>
          <w:pgMar w:top="1440" w:right="1558" w:bottom="1440" w:left="1800" w:header="851" w:footer="992" w:gutter="0"/>
          <w:cols w:space="425" w:num="1"/>
          <w:docGrid w:type="lines" w:linePitch="312" w:charSpace="0"/>
        </w:sectPr>
      </w:pPr>
    </w:p>
    <w:tbl>
      <w:tblPr>
        <w:tblStyle w:val="13"/>
        <w:tblW w:w="13725" w:type="dxa"/>
        <w:tblInd w:w="93" w:type="dxa"/>
        <w:tblLayout w:type="fixed"/>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Layout w:type="fixed"/>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b/>
                <w:bCs/>
                <w:sz w:val="32"/>
                <w:szCs w:val="32"/>
              </w:rPr>
            </w:pPr>
            <w:r>
              <w:rPr>
                <w:rFonts w:hint="eastAsia" w:ascii="宋体" w:hAnsi="宋体" w:cs="宋体"/>
                <w:b/>
                <w:bCs/>
                <w:kern w:val="0"/>
                <w:sz w:val="32"/>
                <w:szCs w:val="32"/>
                <w:lang w:bidi="ar"/>
              </w:rPr>
              <w:t>项目支出绩效自评表</w:t>
            </w:r>
          </w:p>
        </w:tc>
      </w:tr>
      <w:tr>
        <w:tblPrEx>
          <w:tblLayout w:type="fixed"/>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(2023年度)</w:t>
            </w:r>
          </w:p>
        </w:tc>
      </w:tr>
      <w:tr>
        <w:tblPrEx>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奇财行[2023]36关于下达奇台县审计项目资金的通知（中介机构结算审计费、粮食购销领域专项审计费）</w:t>
            </w:r>
          </w:p>
        </w:tc>
      </w:tr>
      <w:tr>
        <w:tblPrEx>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奇台县审计局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奇台县审计局</w:t>
            </w:r>
          </w:p>
        </w:tc>
      </w:tr>
      <w:tr>
        <w:tblPrEx>
          <w:tblLayout w:type="fixed"/>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项目资金</w:t>
            </w:r>
            <w:r>
              <w:rPr>
                <w:rFonts w:hint="eastAsia" w:ascii="宋体" w:hAnsi="宋体" w:cs="宋体"/>
                <w:kern w:val="0"/>
                <w:sz w:val="20"/>
                <w:szCs w:val="20"/>
                <w:lang w:bidi="ar"/>
              </w:rPr>
              <w:br w:type="textWrapping"/>
            </w:r>
            <w:r>
              <w:rPr>
                <w:rFonts w:hint="eastAsia" w:ascii="宋体" w:hAnsi="宋体" w:cs="宋体"/>
                <w:kern w:val="0"/>
                <w:sz w:val="20"/>
                <w:szCs w:val="20"/>
                <w:lang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10.00分</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实际完成情况</w:t>
            </w:r>
          </w:p>
        </w:tc>
      </w:tr>
      <w:tr>
        <w:tblPrEx>
          <w:tblLayout w:type="fixed"/>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sz w:val="20"/>
                <w:szCs w:val="20"/>
              </w:rPr>
            </w:pPr>
            <w:r>
              <w:rPr>
                <w:rFonts w:hint="eastAsia" w:ascii="宋体" w:hAnsi="宋体" w:cs="宋体"/>
                <w:kern w:val="0"/>
                <w:sz w:val="20"/>
                <w:szCs w:val="20"/>
                <w:lang w:bidi="ar"/>
              </w:rPr>
              <w:t>本项目投入52万元，用于完成以下内容:一、支付2020年至2022完成的投资项目审计20个项目，需支付政府投资项目结算审核费用45.602万元。 二、支付开展粮食购销领域专项审计费用8万元。2023年12月完成项目支付。</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sz w:val="20"/>
                <w:szCs w:val="20"/>
              </w:rPr>
            </w:pPr>
            <w:r>
              <w:rPr>
                <w:rFonts w:hint="eastAsia" w:ascii="宋体" w:hAnsi="宋体" w:cs="宋体"/>
                <w:kern w:val="0"/>
                <w:sz w:val="20"/>
                <w:szCs w:val="20"/>
                <w:lang w:bidi="ar"/>
              </w:rPr>
              <w:t>支付审计项目资金准确率：100%；审计项目费用支付数：＝100%；支付审计项目资金及时率：＝100%；审计项目费用支付完成率：100%；保障工作正常开展：有效保障；支付对象满意度（%）：90%</w:t>
            </w:r>
          </w:p>
        </w:tc>
      </w:tr>
      <w:tr>
        <w:tblPrEx>
          <w:tblLayout w:type="fixed"/>
          <w:tblCellMar>
            <w:top w:w="0" w:type="dxa"/>
            <w:left w:w="108" w:type="dxa"/>
            <w:bottom w:w="0" w:type="dxa"/>
            <w:right w:w="108" w:type="dxa"/>
          </w:tblCellMar>
        </w:tblPrEx>
        <w:trPr>
          <w:trHeight w:val="31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偏差原因分析及改进措施</w:t>
            </w:r>
          </w:p>
        </w:tc>
      </w:tr>
      <w:tr>
        <w:tblPrEx>
          <w:tblLayout w:type="fixed"/>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支付审计项目个数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=19个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2023年向县财经领导小组申请2020-2022年20个项目审计费53.602万元，财政签批52万元，截至2023年底已支付19个项目52万元，还有1.602万元资金短缺暂未付款，故未付款。改进措施;下年度积极和财政对接保证资金到位</w:t>
            </w: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审计单位个数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=20家</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=20家</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支付审计项目资金准确率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审计项目费用支付数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支付审计项目资金及时率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审计项目费用支付完成率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生态环境成本指标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保障工作正常开展</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有效保障</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支付对象满意度（%）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99.00分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bl>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pStyle w:val="2"/>
        <w:rPr>
          <w:rFonts w:hint="eastAsia" w:ascii="黑体" w:hAnsi="黑体" w:eastAsia="黑体" w:cs="黑体"/>
        </w:rPr>
      </w:pPr>
    </w:p>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3" w:name="_Toc26499_WPSOffice_Level2"/>
      <w:bookmarkStart w:id="4" w:name="_Toc30064_WPSOffice_Level1"/>
      <w:r>
        <w:rPr>
          <w:rFonts w:hint="eastAsia"/>
          <w:b/>
          <w:bCs/>
          <w:sz w:val="28"/>
          <w:szCs w:val="40"/>
        </w:rPr>
        <w:t>奇财行[2023]36关于下达奇台县审计项目资金的通知（中介机构结算审计费、粮食购销领域专项审计费）绩效评价指标体系及综合评分表</w:t>
      </w:r>
      <w:bookmarkEnd w:id="3"/>
      <w:bookmarkEnd w:id="4"/>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0"/>
        <w:gridCol w:w="765"/>
        <w:gridCol w:w="873"/>
        <w:gridCol w:w="2354"/>
        <w:gridCol w:w="5200"/>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0" w:type="dxa"/>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765" w:type="dxa"/>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873" w:type="dxa"/>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2354" w:type="dxa"/>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5200" w:type="dxa"/>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1362" w:type="dxa"/>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0" w:type="dxa"/>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2354" w:type="dxa"/>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5200"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2354" w:type="dxa"/>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5200"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2354" w:type="dxa"/>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5200" w:type="dxa"/>
            <w:shd w:val="clear" w:color="000000"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pPr>
              <w:widowControl/>
              <w:spacing w:line="0" w:lineRule="atLeast"/>
              <w:jc w:val="left"/>
              <w:rPr>
                <w:kern w:val="0"/>
                <w:sz w:val="22"/>
                <w:szCs w:val="22"/>
              </w:rPr>
            </w:pPr>
            <w:r>
              <w:rPr>
                <w:kern w:val="0"/>
                <w:sz w:val="22"/>
                <w:szCs w:val="22"/>
              </w:rPr>
              <w:t>④是否与预算确定的项目投资额或资金量相匹配。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2354" w:type="dxa"/>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2354" w:type="dxa"/>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5200"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5200"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0" w:type="dxa"/>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2354" w:type="dxa"/>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5200" w:type="dxa"/>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continue"/>
            <w:shd w:val="clear" w:color="auto" w:fill="FFFFFF"/>
            <w:vAlign w:val="center"/>
          </w:tcPr>
          <w:p>
            <w:pPr>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5200" w:type="dxa"/>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2354" w:type="dxa"/>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0"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2354" w:type="dxa"/>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9.75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2354" w:type="dxa"/>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shd w:val="clear" w:color="auto" w:fill="FFFFFF"/>
            <w:vAlign w:val="center"/>
          </w:tcPr>
          <w:p>
            <w:pPr>
              <w:spacing w:line="0" w:lineRule="atLeast"/>
              <w:jc w:val="center"/>
              <w:rPr>
                <w:kern w:val="0"/>
                <w:sz w:val="22"/>
                <w:szCs w:val="22"/>
              </w:rPr>
            </w:pPr>
            <w:r>
              <w:rPr>
                <w:kern w:val="0"/>
                <w:sz w:val="22"/>
                <w:szCs w:val="22"/>
              </w:rPr>
              <w:t>产出时效</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2354" w:type="dxa"/>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873"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2354" w:type="dxa"/>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5200" w:type="dxa"/>
            <w:shd w:val="clear" w:color="000000" w:fill="FFFFFF"/>
            <w:vAlign w:val="center"/>
          </w:tcPr>
          <w:p>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0"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实施效益</w:t>
            </w:r>
          </w:p>
        </w:tc>
        <w:tc>
          <w:tcPr>
            <w:tcW w:w="2354" w:type="dxa"/>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5200" w:type="dxa"/>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2354" w:type="dxa"/>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5200" w:type="dxa"/>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pPr>
        <w:ind w:left="-13"/>
      </w:pPr>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0B46EC"/>
    <w:rsid w:val="006F7242"/>
    <w:rsid w:val="007B168A"/>
    <w:rsid w:val="008B2CFE"/>
    <w:rsid w:val="008C003A"/>
    <w:rsid w:val="00C822D1"/>
    <w:rsid w:val="00E24AE4"/>
    <w:rsid w:val="00F26FF6"/>
    <w:rsid w:val="06141C07"/>
    <w:rsid w:val="07397B77"/>
    <w:rsid w:val="0C2972BF"/>
    <w:rsid w:val="0C2C3645"/>
    <w:rsid w:val="1215457F"/>
    <w:rsid w:val="13471461"/>
    <w:rsid w:val="13B90F01"/>
    <w:rsid w:val="13C603FC"/>
    <w:rsid w:val="181066D2"/>
    <w:rsid w:val="1AAC5DFB"/>
    <w:rsid w:val="1C671E73"/>
    <w:rsid w:val="1EEE2B9E"/>
    <w:rsid w:val="2A06253E"/>
    <w:rsid w:val="2FB56378"/>
    <w:rsid w:val="37D56B99"/>
    <w:rsid w:val="38CA40DD"/>
    <w:rsid w:val="395F2B56"/>
    <w:rsid w:val="3AA12DB3"/>
    <w:rsid w:val="3AFB781A"/>
    <w:rsid w:val="3BECE841"/>
    <w:rsid w:val="3FF7797D"/>
    <w:rsid w:val="430E60F0"/>
    <w:rsid w:val="441B2960"/>
    <w:rsid w:val="4E9877CA"/>
    <w:rsid w:val="4FB96D4A"/>
    <w:rsid w:val="577C0506"/>
    <w:rsid w:val="5BFF6039"/>
    <w:rsid w:val="5D76A616"/>
    <w:rsid w:val="5D7F20B9"/>
    <w:rsid w:val="5DAC7D0E"/>
    <w:rsid w:val="5E5F1000"/>
    <w:rsid w:val="5F98B5AF"/>
    <w:rsid w:val="5FFE8511"/>
    <w:rsid w:val="5FFEACE2"/>
    <w:rsid w:val="638D00B7"/>
    <w:rsid w:val="63D0156C"/>
    <w:rsid w:val="64223903"/>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1608</Words>
  <Characters>9170</Characters>
  <Lines>76</Lines>
  <Paragraphs>21</Paragraphs>
  <TotalTime>8</TotalTime>
  <ScaleCrop>false</ScaleCrop>
  <LinksUpToDate>false</LinksUpToDate>
  <CharactersWithSpaces>10757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海怪小仙</cp:lastModifiedBy>
  <dcterms:modified xsi:type="dcterms:W3CDTF">2024-11-27T02:32:49Z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DEB37354E36D40D48F20A3DAB18895C3</vt:lpwstr>
  </property>
</Properties>
</file>