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000000" w:themeColor="text1"/>
          <w:kern w:val="0"/>
          <w:sz w:val="52"/>
          <w:szCs w:val="52"/>
          <w14:textFill>
            <w14:solidFill>
              <w14:schemeClr w14:val="tx1"/>
            </w14:solidFill>
          </w14:textFill>
        </w:rPr>
      </w:pPr>
    </w:p>
    <w:p>
      <w:pPr>
        <w:spacing w:line="540" w:lineRule="exact"/>
        <w:rPr>
          <w:rFonts w:eastAsia="华文中宋"/>
          <w:b/>
          <w:color w:val="000000" w:themeColor="text1"/>
          <w:kern w:val="0"/>
          <w:sz w:val="52"/>
          <w:szCs w:val="52"/>
          <w14:textFill>
            <w14:solidFill>
              <w14:schemeClr w14:val="tx1"/>
            </w14:solidFill>
          </w14:textFill>
        </w:rPr>
      </w:pPr>
    </w:p>
    <w:p>
      <w:pPr>
        <w:spacing w:line="540" w:lineRule="exact"/>
        <w:jc w:val="center"/>
        <w:rPr>
          <w:rFonts w:eastAsia="华文中宋"/>
          <w:b/>
          <w:color w:val="000000" w:themeColor="text1"/>
          <w:kern w:val="0"/>
          <w:sz w:val="52"/>
          <w:szCs w:val="52"/>
          <w14:textFill>
            <w14:solidFill>
              <w14:schemeClr w14:val="tx1"/>
            </w14:solidFill>
          </w14:textFill>
        </w:rPr>
      </w:pPr>
    </w:p>
    <w:p>
      <w:pPr>
        <w:spacing w:line="540" w:lineRule="exact"/>
        <w:jc w:val="center"/>
        <w:rPr>
          <w:rFonts w:eastAsia="方正小标宋_GBK"/>
          <w:color w:val="000000" w:themeColor="text1"/>
          <w:kern w:val="0"/>
          <w:sz w:val="48"/>
          <w:szCs w:val="48"/>
          <w14:textFill>
            <w14:solidFill>
              <w14:schemeClr w14:val="tx1"/>
            </w14:solidFill>
          </w14:textFill>
        </w:rPr>
      </w:pPr>
    </w:p>
    <w:p>
      <w:pPr>
        <w:spacing w:line="540" w:lineRule="exact"/>
        <w:jc w:val="center"/>
        <w:rPr>
          <w:rFonts w:eastAsia="方正小标宋_GBK"/>
          <w:color w:val="000000" w:themeColor="text1"/>
          <w:kern w:val="0"/>
          <w:sz w:val="48"/>
          <w:szCs w:val="48"/>
          <w14:textFill>
            <w14:solidFill>
              <w14:schemeClr w14:val="tx1"/>
            </w14:solidFill>
          </w14:textFill>
        </w:rPr>
      </w:pPr>
      <w:r>
        <w:rPr>
          <w:rFonts w:hint="eastAsia" w:eastAsia="方正小标宋_GBK"/>
          <w:color w:val="000000" w:themeColor="text1"/>
          <w:kern w:val="0"/>
          <w:sz w:val="48"/>
          <w:szCs w:val="48"/>
          <w14:textFill>
            <w14:solidFill>
              <w14:schemeClr w14:val="tx1"/>
            </w14:solidFill>
          </w14:textFill>
        </w:rPr>
        <w:t>关于下达政办政府综合大楼运行维护经费的通知</w:t>
      </w:r>
      <w:r>
        <w:rPr>
          <w:rFonts w:eastAsia="方正小标宋_GBK"/>
          <w:color w:val="000000" w:themeColor="text1"/>
          <w:kern w:val="0"/>
          <w:sz w:val="48"/>
          <w:szCs w:val="48"/>
          <w14:textFill>
            <w14:solidFill>
              <w14:schemeClr w14:val="tx1"/>
            </w14:solidFill>
          </w14:textFill>
        </w:rPr>
        <w:t>资金项目支出绩效评价报告</w:t>
      </w:r>
    </w:p>
    <w:p>
      <w:pPr>
        <w:spacing w:line="540" w:lineRule="exact"/>
        <w:jc w:val="center"/>
        <w:rPr>
          <w:rFonts w:eastAsia="华文中宋"/>
          <w:b/>
          <w:color w:val="000000" w:themeColor="text1"/>
          <w:kern w:val="0"/>
          <w:sz w:val="52"/>
          <w:szCs w:val="52"/>
          <w14:textFill>
            <w14:solidFill>
              <w14:schemeClr w14:val="tx1"/>
            </w14:solidFill>
          </w14:textFill>
        </w:rPr>
      </w:pPr>
    </w:p>
    <w:p>
      <w:pPr>
        <w:spacing w:line="540" w:lineRule="exact"/>
        <w:jc w:val="center"/>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 202</w:t>
      </w:r>
      <w:r>
        <w:rPr>
          <w:rFonts w:hint="eastAsia" w:eastAsia="仿宋_GB2312"/>
          <w:color w:val="000000" w:themeColor="text1"/>
          <w:kern w:val="0"/>
          <w:sz w:val="36"/>
          <w:szCs w:val="36"/>
          <w14:textFill>
            <w14:solidFill>
              <w14:schemeClr w14:val="tx1"/>
            </w14:solidFill>
          </w14:textFill>
        </w:rPr>
        <w:t>3</w:t>
      </w:r>
      <w:r>
        <w:rPr>
          <w:rFonts w:eastAsia="仿宋_GB2312"/>
          <w:color w:val="000000" w:themeColor="text1"/>
          <w:kern w:val="0"/>
          <w:sz w:val="36"/>
          <w:szCs w:val="36"/>
          <w14:textFill>
            <w14:solidFill>
              <w14:schemeClr w14:val="tx1"/>
            </w14:solidFill>
          </w14:textFill>
        </w:rPr>
        <w:t>年度）</w:t>
      </w: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jc w:val="center"/>
        <w:rPr>
          <w:rFonts w:eastAsia="仿宋_GB2312"/>
          <w:color w:val="000000" w:themeColor="text1"/>
          <w:kern w:val="0"/>
          <w:sz w:val="30"/>
          <w:szCs w:val="30"/>
          <w14:textFill>
            <w14:solidFill>
              <w14:schemeClr w14:val="tx1"/>
            </w14:solidFill>
          </w14:textFill>
        </w:rPr>
      </w:pPr>
    </w:p>
    <w:p>
      <w:pPr>
        <w:pStyle w:val="2"/>
        <w:rPr>
          <w:color w:val="000000" w:themeColor="text1"/>
          <w14:textFill>
            <w14:solidFill>
              <w14:schemeClr w14:val="tx1"/>
            </w14:solidFill>
          </w14:textFill>
        </w:rPr>
      </w:pP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rPr>
          <w:rFonts w:eastAsia="仿宋_GB2312"/>
          <w:color w:val="000000" w:themeColor="text1"/>
          <w:kern w:val="0"/>
          <w:sz w:val="30"/>
          <w:szCs w:val="30"/>
          <w14:textFill>
            <w14:solidFill>
              <w14:schemeClr w14:val="tx1"/>
            </w14:solidFill>
          </w14:textFill>
        </w:rPr>
      </w:pPr>
    </w:p>
    <w:p>
      <w:pPr>
        <w:spacing w:line="700" w:lineRule="exact"/>
        <w:ind w:left="4316" w:leftChars="684" w:hanging="2880" w:hangingChars="800"/>
        <w:jc w:val="left"/>
        <w:rPr>
          <w:rFonts w:eastAsia="仿宋_GB2312"/>
          <w:color w:val="000000" w:themeColor="text1"/>
          <w:kern w:val="0"/>
          <w:sz w:val="36"/>
          <w:szCs w:val="36"/>
          <w14:textFill>
            <w14:solidFill>
              <w14:schemeClr w14:val="tx1"/>
            </w14:solidFill>
          </w14:textFill>
        </w:rPr>
      </w:pPr>
      <w:r>
        <w:rPr>
          <w:rFonts w:hint="eastAsia" w:eastAsia="仿宋_GB2312"/>
          <w:color w:val="000000" w:themeColor="text1"/>
          <w:kern w:val="0"/>
          <w:sz w:val="36"/>
          <w:szCs w:val="36"/>
          <w14:textFill>
            <w14:solidFill>
              <w14:schemeClr w14:val="tx1"/>
            </w14:solidFill>
          </w14:textFill>
        </w:rPr>
        <w:t>项目名称：关于下达政办政府综合大楼运行维护经费</w:t>
      </w:r>
    </w:p>
    <w:p>
      <w:pPr>
        <w:spacing w:line="700" w:lineRule="exact"/>
        <w:ind w:left="4316" w:leftChars="684" w:hanging="2880" w:hangingChars="8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实施单位（公章）：</w:t>
      </w:r>
      <w:r>
        <w:rPr>
          <w:rFonts w:hint="eastAsia" w:eastAsia="仿宋_GB2312"/>
          <w:color w:val="000000" w:themeColor="text1"/>
          <w:kern w:val="0"/>
          <w:sz w:val="36"/>
          <w:szCs w:val="36"/>
          <w14:textFill>
            <w14:solidFill>
              <w14:schemeClr w14:val="tx1"/>
            </w14:solidFill>
          </w14:textFill>
        </w:rPr>
        <w:t>奇台县人民政府办公室</w:t>
      </w:r>
    </w:p>
    <w:p>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主管部门（公章）：</w:t>
      </w:r>
      <w:r>
        <w:rPr>
          <w:rFonts w:hint="eastAsia" w:eastAsia="仿宋_GB2312"/>
          <w:color w:val="000000" w:themeColor="text1"/>
          <w:kern w:val="0"/>
          <w:sz w:val="36"/>
          <w:szCs w:val="36"/>
          <w14:textFill>
            <w14:solidFill>
              <w14:schemeClr w14:val="tx1"/>
            </w14:solidFill>
          </w14:textFill>
        </w:rPr>
        <w:t>奇台县人民政府办公室</w:t>
      </w:r>
    </w:p>
    <w:p>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项目负责人（签章）：</w:t>
      </w:r>
      <w:r>
        <w:rPr>
          <w:rFonts w:hint="eastAsia" w:eastAsia="仿宋_GB2312"/>
          <w:color w:val="000000" w:themeColor="text1"/>
          <w:kern w:val="0"/>
          <w:sz w:val="36"/>
          <w:szCs w:val="36"/>
          <w14:textFill>
            <w14:solidFill>
              <w14:schemeClr w14:val="tx1"/>
            </w14:solidFill>
          </w14:textFill>
        </w:rPr>
        <w:t>佟志成</w:t>
      </w:r>
    </w:p>
    <w:p>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填报时间：</w:t>
      </w:r>
      <w:r>
        <w:rPr>
          <w:rFonts w:hint="eastAsia" w:eastAsia="仿宋_GB2312"/>
          <w:color w:val="000000" w:themeColor="text1"/>
          <w:kern w:val="0"/>
          <w:sz w:val="36"/>
          <w:szCs w:val="36"/>
          <w14:textFill>
            <w14:solidFill>
              <w14:schemeClr w14:val="tx1"/>
            </w14:solidFill>
          </w14:textFill>
        </w:rPr>
        <w:t>2024</w:t>
      </w:r>
      <w:r>
        <w:rPr>
          <w:rFonts w:eastAsia="仿宋_GB2312"/>
          <w:color w:val="000000" w:themeColor="text1"/>
          <w:kern w:val="0"/>
          <w:sz w:val="36"/>
          <w:szCs w:val="36"/>
          <w14:textFill>
            <w14:solidFill>
              <w14:schemeClr w14:val="tx1"/>
            </w14:solidFill>
          </w14:textFill>
        </w:rPr>
        <w:t>年</w:t>
      </w:r>
      <w:r>
        <w:rPr>
          <w:rFonts w:hint="eastAsia" w:eastAsia="仿宋_GB2312"/>
          <w:color w:val="000000" w:themeColor="text1"/>
          <w:kern w:val="0"/>
          <w:sz w:val="36"/>
          <w:szCs w:val="36"/>
          <w14:textFill>
            <w14:solidFill>
              <w14:schemeClr w14:val="tx1"/>
            </w14:solidFill>
          </w14:textFill>
        </w:rPr>
        <w:t>4</w:t>
      </w:r>
      <w:r>
        <w:rPr>
          <w:rFonts w:eastAsia="仿宋_GB2312"/>
          <w:color w:val="000000" w:themeColor="text1"/>
          <w:kern w:val="0"/>
          <w:sz w:val="36"/>
          <w:szCs w:val="36"/>
          <w14:textFill>
            <w14:solidFill>
              <w14:schemeClr w14:val="tx1"/>
            </w14:solidFill>
          </w14:textFill>
        </w:rPr>
        <w:t>月</w:t>
      </w:r>
      <w:r>
        <w:rPr>
          <w:rFonts w:hint="eastAsia" w:eastAsia="仿宋_GB2312"/>
          <w:color w:val="000000" w:themeColor="text1"/>
          <w:kern w:val="0"/>
          <w:sz w:val="36"/>
          <w:szCs w:val="36"/>
          <w14:textFill>
            <w14:solidFill>
              <w14:schemeClr w14:val="tx1"/>
            </w14:solidFill>
          </w14:textFill>
        </w:rPr>
        <w:t>16</w:t>
      </w:r>
      <w:r>
        <w:rPr>
          <w:rFonts w:eastAsia="仿宋_GB2312"/>
          <w:color w:val="000000" w:themeColor="text1"/>
          <w:kern w:val="0"/>
          <w:sz w:val="36"/>
          <w:szCs w:val="36"/>
          <w14:textFill>
            <w14:solidFill>
              <w14:schemeClr w14:val="tx1"/>
            </w14:solidFill>
          </w14:textFill>
        </w:rPr>
        <w:t>日</w:t>
      </w: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rPr>
          <w:rStyle w:val="16"/>
          <w:rFonts w:eastAsia="黑体"/>
          <w:b w:val="0"/>
          <w:color w:val="000000" w:themeColor="text1"/>
          <w:spacing w:val="-4"/>
          <w:sz w:val="32"/>
          <w:szCs w:val="32"/>
          <w14:textFill>
            <w14:solidFill>
              <w14:schemeClr w14:val="tx1"/>
            </w14:solidFill>
          </w14:textFill>
        </w:rPr>
      </w:pPr>
    </w:p>
    <w:p>
      <w:pPr>
        <w:spacing w:line="540" w:lineRule="exact"/>
        <w:ind w:firstLine="640"/>
        <w:rPr>
          <w:rStyle w:val="16"/>
          <w:rFonts w:eastAsia="黑体"/>
          <w:b w:val="0"/>
          <w:color w:val="000000" w:themeColor="text1"/>
          <w:spacing w:val="-4"/>
          <w:sz w:val="32"/>
          <w:szCs w:val="32"/>
          <w14:textFill>
            <w14:solidFill>
              <w14:schemeClr w14:val="tx1"/>
            </w14:solidFill>
          </w14:textFill>
        </w:rPr>
      </w:pPr>
    </w:p>
    <w:p>
      <w:pPr>
        <w:spacing w:line="560" w:lineRule="exact"/>
        <w:rPr>
          <w:rFonts w:eastAsia="黑体"/>
          <w:bCs/>
          <w:color w:val="000000" w:themeColor="text1"/>
          <w:sz w:val="32"/>
          <w:szCs w:val="32"/>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color w:val="000000" w:themeColor="text1"/>
          <w:sz w:val="32"/>
          <w:szCs w:val="32"/>
          <w14:textFill>
            <w14:solidFill>
              <w14:schemeClr w14:val="tx1"/>
            </w14:solidFill>
          </w14:textFill>
        </w:rPr>
      </w:pPr>
      <w:r>
        <w:rPr>
          <w:rFonts w:eastAsia="黑体"/>
          <w:bCs/>
          <w:color w:val="000000" w:themeColor="text1"/>
          <w:sz w:val="32"/>
          <w:szCs w:val="32"/>
          <w14:textFill>
            <w14:solidFill>
              <w14:schemeClr w14:val="tx1"/>
            </w14:solidFill>
          </w14:textFill>
        </w:rPr>
        <w:t>一、基本情况</w:t>
      </w:r>
    </w:p>
    <w:p>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（一）项目概况</w:t>
      </w:r>
    </w:p>
    <w:p>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1、项目背景</w:t>
      </w:r>
    </w:p>
    <w:p>
      <w:pPr>
        <w:spacing w:line="560" w:lineRule="exact"/>
        <w:ind w:firstLine="640" w:firstLineChars="200"/>
        <w:rPr>
          <w:rStyle w:val="16"/>
          <w:rFonts w:eastAsia="黑体"/>
          <w:b w:val="0"/>
          <w:color w:val="000000" w:themeColor="text1"/>
          <w:spacing w:val="-4"/>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政府综合大楼作为政府部门办公场所，承担着重要的行政职能。为确保大楼的安全、稳定运行，及时响应各类紧急事件，提高政府工作效率，政府需要对大楼进行定期的运行维护。运行维护经费用于保障大楼的各项设施设备正常运行，包括消防、水电暖等系统的检查、维修和更新。</w:t>
      </w:r>
    </w:p>
    <w:p>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14:textFill>
            <w14:solidFill>
              <w14:schemeClr w14:val="tx1"/>
            </w14:solidFill>
          </w14:textFill>
        </w:rPr>
      </w:pPr>
      <w:r>
        <w:rPr>
          <w:rFonts w:ascii="Times New Roman" w:hAnsi="Times New Roman" w:eastAsia="仿宋_GB2312"/>
          <w:color w:val="000000" w:themeColor="text1"/>
          <w:kern w:val="2"/>
          <w14:textFill>
            <w14:solidFill>
              <w14:schemeClr w14:val="tx1"/>
            </w14:solidFill>
          </w14:textFill>
        </w:rPr>
        <w:t>项目主要内容：</w:t>
      </w:r>
    </w:p>
    <w:p>
      <w:pPr>
        <w:spacing w:line="560" w:lineRule="exact"/>
        <w:ind w:firstLine="600" w:firstLineChars="200"/>
        <w:rPr>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项目主要内容：</w:t>
      </w:r>
      <w:r>
        <w:rPr>
          <w:rFonts w:hint="eastAsia" w:eastAsia="仿宋_GB2312"/>
          <w:color w:val="000000" w:themeColor="text1"/>
          <w:sz w:val="32"/>
          <w:szCs w:val="32"/>
          <w14:textFill>
            <w14:solidFill>
              <w14:schemeClr w14:val="tx1"/>
            </w14:solidFill>
          </w14:textFill>
        </w:rPr>
        <w:t>关于下达政办政府综合大楼运行维护经费项目共计74.00万元，主要用于政府综合大楼水电费、办公区域零星维修、楼体维修维护及日常管理、交流干部餐厅运行等。（其中政府综合大楼水电费缴费30.00万元、办公区域零星维修、楼体维修维护及日常管理20.00万元、交流干部餐厅运行费24.00万元。通过本项目的实施，及时保障政府综合大楼及后勤服务的正常运转。</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项目实施情况：</w:t>
      </w:r>
      <w:r>
        <w:rPr>
          <w:rFonts w:hint="eastAsia" w:eastAsia="仿宋_GB2312"/>
          <w:color w:val="000000" w:themeColor="text1"/>
          <w:sz w:val="32"/>
          <w:szCs w:val="32"/>
          <w14:textFill>
            <w14:solidFill>
              <w14:schemeClr w14:val="tx1"/>
            </w14:solidFill>
          </w14:textFill>
        </w:rPr>
        <w:t>通过本项目的实施，确保各项工作开展有序、满足办事群众，按时缴纳水、电费，及时维修水电暖、楼等，促进了工作环境的文明、和谐与稳定。保障了办公楼的正常运行，给予工作人员基本的工作条件保障。</w:t>
      </w:r>
    </w:p>
    <w:p>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3、资金投入和使用情况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（1）资金投入情况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该项目年初预算数50万元，全年预算数74万元，实际总投入74万元，该项目资金已全部落实到位，资金来源为财政资金。</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（2）资金使用情况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该项目年初预算数50万元，全年预算数74万元,全年执行数74万元，预算执行率为100%，主要用于：政府综合大楼水费、电、办公区域零星维修、楼体维修维护及日常管理、交流干部餐厅运行费等方面。</w:t>
      </w:r>
    </w:p>
    <w:p>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（二）项目绩效目标</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1、总体目标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政府综合大楼水费、电费、办公区域零星维修、楼体维修维护及日常管理，后勤费等。综合大楼暖气管更换数量（个）5个，更换水龙头数量（个）10个，水电费缴费次数12次，维修验收合格率（%）达到100%，通过本项目的实施，确保各项工作开展有序、满足办事群众，按时缴费水电费，及时维修水电暖、楼等，促进了工作环境的文明、和谐与稳定。保障了办公楼的正常运行，给予工作人员基本的工作条件保障。保障工作正常运转。</w:t>
      </w:r>
    </w:p>
    <w:p>
      <w:pPr>
        <w:spacing w:line="560" w:lineRule="exact"/>
        <w:ind w:firstLine="640" w:firstLineChars="200"/>
        <w:rPr>
          <w:rFonts w:hint="eastAsia" w:ascii="仿宋_GB2312" w:hAnsi="仿宋_GB2312" w:eastAsia="仿宋_GB2312" w:cs="仿宋_GB2312"/>
          <w:color w:val="000000" w:themeColor="text1"/>
          <w:sz w:val="30"/>
          <w:szCs w:val="30"/>
          <w14:textFill>
            <w14:solidFill>
              <w14:schemeClr w14:val="tx1"/>
            </w14:solidFill>
          </w14:textFill>
        </w:rPr>
      </w:pPr>
      <w:r>
        <w:rPr>
          <w:rFonts w:eastAsia="仿宋_GB2312"/>
          <w:color w:val="000000" w:themeColor="text1"/>
          <w:sz w:val="32"/>
          <w:szCs w:val="32"/>
          <w14:textFill>
            <w14:solidFill>
              <w14:schemeClr w14:val="tx1"/>
            </w14:solidFill>
          </w14:textFill>
        </w:rPr>
        <w:t>2、阶段性目标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政府综合大楼水费、电费、办公区域零星维修、楼体维修维护及日常管理等。</w:t>
      </w:r>
      <w:bookmarkStart w:id="9" w:name="_GoBack"/>
      <w:bookmarkEnd w:id="9"/>
      <w:r>
        <w:rPr>
          <w:rFonts w:hint="eastAsia" w:ascii="仿宋_GB2312" w:hAnsi="仿宋_GB2312" w:eastAsia="仿宋_GB2312" w:cs="仿宋_GB2312"/>
          <w:color w:val="000000" w:themeColor="text1"/>
          <w:sz w:val="32"/>
          <w:szCs w:val="32"/>
          <w:lang w:eastAsia="zh-CN"/>
          <w14:textFill>
            <w14:solidFill>
              <w14:schemeClr w14:val="tx1"/>
            </w14:solidFill>
          </w14:textFill>
        </w:rPr>
        <w:t>截至目前</w:t>
      </w:r>
      <w:r>
        <w:rPr>
          <w:rFonts w:hint="eastAsia" w:ascii="仿宋_GB2312" w:hAnsi="仿宋_GB2312" w:eastAsia="仿宋_GB2312" w:cs="仿宋_GB2312"/>
          <w:color w:val="000000" w:themeColor="text1"/>
          <w:sz w:val="32"/>
          <w:szCs w:val="32"/>
          <w14:textFill>
            <w14:solidFill>
              <w14:schemeClr w14:val="tx1"/>
            </w14:solidFill>
          </w14:textFill>
        </w:rPr>
        <w:t>项目完成水电费缴费次数7次，综合大楼维修次数21次，维修验收合格率（%）达到100%，水电费缴纳费完成及时率66.67%，维修完成率100%。维修完工及时率100%，水电费11.04万元，维修费5.82万元。通过本项目的实施，确保各项工作开展有序、满足办事群众，按时缴费水电费，及时维修水电暖、楼等，促进了工作环境的文明、和谐与稳定。保障了办公楼的正常运行，给予工作人员基本的工作条件保障。保障工作正常运转。</w:t>
      </w:r>
    </w:p>
    <w:p>
      <w:p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二、绩效评价工作开展情况</w:t>
      </w:r>
    </w:p>
    <w:p>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1、绩效评价的目的</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项目在实施前向项目负责人提供财政支出绩效方面的资金管理信息，促进项目支出严格按照资金管理规定进行。</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（2）项目绩效管理财政支出运行提供及时、有效的信息。</w:t>
      </w:r>
    </w:p>
    <w:p>
      <w:pPr>
        <w:pStyle w:val="19"/>
        <w:spacing w:line="560" w:lineRule="exact"/>
        <w:ind w:firstLine="640" w:firstLineChars="200"/>
        <w:rPr>
          <w:rFonts w:eastAsia="方正仿宋_GBK" w:cs="方正仿宋_GBK"/>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综合来看，通过开展有效的财政支出绩效评价管理，</w:t>
      </w:r>
      <w:r>
        <w:rPr>
          <w:rFonts w:hint="eastAsia" w:eastAsia="仿宋_GB2312"/>
          <w:color w:val="000000" w:themeColor="text1"/>
          <w:sz w:val="32"/>
          <w:szCs w:val="32"/>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2、绩效评价的对象</w:t>
      </w:r>
    </w:p>
    <w:p>
      <w:pPr>
        <w:spacing w:line="360" w:lineRule="auto"/>
        <w:ind w:firstLine="640" w:firstLineChars="200"/>
        <w:rPr>
          <w:rFonts w:eastAsia="仿宋_GB2312"/>
          <w:color w:val="000000" w:themeColor="text1"/>
          <w:kern w:val="0"/>
          <w:sz w:val="32"/>
          <w:szCs w:val="32"/>
          <w14:textFill>
            <w14:solidFill>
              <w14:schemeClr w14:val="tx1"/>
            </w14:solidFill>
          </w14:textFill>
        </w:rPr>
      </w:pPr>
      <w:r>
        <w:rPr>
          <w:rFonts w:hint="eastAsia" w:eastAsia="仿宋_GB2312"/>
          <w:color w:val="000000" w:themeColor="text1"/>
          <w:kern w:val="0"/>
          <w:sz w:val="32"/>
          <w:szCs w:val="32"/>
          <w14:textFill>
            <w14:solidFill>
              <w14:schemeClr w14:val="tx1"/>
            </w14:solidFill>
          </w14:textFill>
        </w:rPr>
        <w:t>此次我单位根据《财政支出绩效评价管理暂行办法》（财预〔2020〕10号）文件要求对2023年度我单位实施的政府大楼正常维护费开展部门绩效评价。</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3、绩效评价的范围</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政府大楼正常维护费项目进行评价，评价核心为专项资金的支出完成情况和效果。</w:t>
      </w:r>
    </w:p>
    <w:p>
      <w:pPr>
        <w:spacing w:line="560" w:lineRule="exact"/>
        <w:ind w:firstLine="643" w:firstLineChars="200"/>
        <w:rPr>
          <w:color w:val="000000" w:themeColor="text1"/>
          <w14:textFill>
            <w14:solidFill>
              <w14:schemeClr w14:val="tx1"/>
            </w14:solidFill>
          </w14:textFill>
        </w:rPr>
      </w:pPr>
      <w:r>
        <w:rPr>
          <w:rFonts w:eastAsia="楷体_GB2312"/>
          <w:b/>
          <w:bCs/>
          <w:color w:val="000000" w:themeColor="text1"/>
          <w:sz w:val="32"/>
          <w:szCs w:val="32"/>
          <w14:textFill>
            <w14:solidFill>
              <w14:schemeClr w14:val="tx1"/>
            </w14:solidFill>
          </w14:textFill>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1、绩效评价原则</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2、评价指标体系</w:t>
      </w:r>
    </w:p>
    <w:p>
      <w:pPr>
        <w:spacing w:line="560" w:lineRule="exact"/>
        <w:ind w:firstLine="708" w:firstLineChars="200"/>
        <w:rPr>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（1）确定评价指标</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（2）确定权重</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确定各个指标相对于项目总体绩效的权重分值。在绩效评价指标体系中，项目决策权重为</w:t>
      </w:r>
      <w:r>
        <w:rPr>
          <w:rFonts w:hint="eastAsia" w:eastAsia="仿宋_GB2312"/>
          <w:color w:val="000000" w:themeColor="text1"/>
          <w:spacing w:val="17"/>
          <w:sz w:val="32"/>
          <w:szCs w:val="32"/>
          <w14:textFill>
            <w14:solidFill>
              <w14:schemeClr w14:val="tx1"/>
            </w14:solidFill>
          </w14:textFill>
        </w:rPr>
        <w:t>2</w:t>
      </w:r>
      <w:r>
        <w:rPr>
          <w:rFonts w:eastAsia="仿宋_GB2312"/>
          <w:color w:val="000000" w:themeColor="text1"/>
          <w:spacing w:val="17"/>
          <w:sz w:val="32"/>
          <w:szCs w:val="32"/>
          <w14:textFill>
            <w14:solidFill>
              <w14:schemeClr w14:val="tx1"/>
            </w14:solidFill>
          </w14:textFill>
        </w:rPr>
        <w:t>0分，项目过程权重为20分，项目产出权重为40分，项目效益权重为20分。</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（3）确定指标标准值</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14:textFill>
            <w14:solidFill>
              <w14:schemeClr w14:val="tx1"/>
            </w14:solidFill>
          </w14:textFill>
        </w:rPr>
      </w:pPr>
      <w:r>
        <w:rPr>
          <w:rFonts w:ascii="Times New Roman" w:hAnsi="Times New Roman" w:eastAsia="仿宋_GB2312"/>
          <w:b w:val="0"/>
          <w:bCs w:val="0"/>
          <w:color w:val="000000" w:themeColor="text1"/>
          <w:spacing w:val="17"/>
          <w:kern w:val="2"/>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14:textFill>
            <w14:solidFill>
              <w14:schemeClr w14:val="tx1"/>
            </w14:solidFill>
          </w14:textFill>
        </w:rPr>
      </w:pPr>
      <w:r>
        <w:rPr>
          <w:rFonts w:ascii="Times New Roman" w:hAnsi="Times New Roman" w:eastAsia="仿宋_GB2312"/>
          <w:b w:val="0"/>
          <w:bCs w:val="0"/>
          <w:color w:val="000000" w:themeColor="text1"/>
          <w:spacing w:val="17"/>
          <w14:textFill>
            <w14:solidFill>
              <w14:schemeClr w14:val="tx1"/>
            </w14:solidFill>
          </w14:textFill>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3、绩效评价方法</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（1）比较法</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14:textFill>
            <w14:solidFill>
              <w14:schemeClr w14:val="tx1"/>
            </w14:solidFill>
          </w14:textFill>
        </w:rPr>
        <w:t>项目</w:t>
      </w:r>
      <w:r>
        <w:rPr>
          <w:rFonts w:eastAsia="仿宋_GB2312"/>
          <w:color w:val="000000" w:themeColor="text1"/>
          <w:spacing w:val="17"/>
          <w:sz w:val="32"/>
          <w:szCs w:val="32"/>
          <w14:textFill>
            <w14:solidFill>
              <w14:schemeClr w14:val="tx1"/>
            </w14:solidFill>
          </w14:textFill>
        </w:rPr>
        <w:t>最终验收情况与年度绩效目标对比、预算资金执行情况等相关因素进行比较。</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（2）因素分析法</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14:textFill>
            <w14:solidFill>
              <w14:schemeClr w14:val="tx1"/>
            </w14:solidFill>
          </w14:textFill>
        </w:rPr>
        <w:t>项目</w:t>
      </w:r>
      <w:r>
        <w:rPr>
          <w:rFonts w:eastAsia="仿宋_GB2312"/>
          <w:color w:val="000000" w:themeColor="text1"/>
          <w:spacing w:val="17"/>
          <w:sz w:val="32"/>
          <w:szCs w:val="32"/>
          <w14:textFill>
            <w14:solidFill>
              <w14:schemeClr w14:val="tx1"/>
            </w14:solidFill>
          </w14:textFill>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4、评价标准</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hint="eastAsia" w:eastAsia="仿宋_GB2312"/>
          <w:color w:val="000000" w:themeColor="text1"/>
          <w:spacing w:val="17"/>
          <w:sz w:val="32"/>
          <w:szCs w:val="32"/>
          <w14:textFill>
            <w14:solidFill>
              <w14:schemeClr w14:val="tx1"/>
            </w14:solidFill>
          </w14:textFill>
        </w:rPr>
        <w:t>绩效评价标准通常包括计划标准、行业标准、历史标准等，用于对绩效指标完成情况进行比较、分析、评价。本次评价主要采用了计划标准。</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0" w:name="_Toc17882"/>
      <w:bookmarkStart w:id="1" w:name="_Toc31464"/>
      <w:r>
        <w:rPr>
          <w:rFonts w:hint="eastAsia" w:eastAsia="仿宋_GB2312"/>
          <w:color w:val="000000" w:themeColor="text1"/>
          <w:spacing w:val="17"/>
          <w:sz w:val="32"/>
          <w:szCs w:val="32"/>
          <w14:textFill>
            <w14:solidFill>
              <w14:schemeClr w14:val="tx1"/>
            </w14:solidFill>
          </w14:textFill>
        </w:rPr>
        <w:t>计划标准：指以预先制定的目标、计划、预算、定额等作为评价标准。</w:t>
      </w:r>
      <w:bookmarkEnd w:id="0"/>
      <w:bookmarkEnd w:id="1"/>
    </w:p>
    <w:p>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14:textFill>
            <w14:solidFill>
              <w14:schemeClr w14:val="tx1"/>
            </w14:solidFill>
          </w14:textFill>
        </w:rPr>
        <w:t>行业标准：指参照国家公布的行业指标数据制定的评价标准。</w:t>
      </w:r>
      <w:bookmarkEnd w:id="2"/>
      <w:bookmarkEnd w:id="3"/>
    </w:p>
    <w:p>
      <w:pPr>
        <w:spacing w:line="560" w:lineRule="exact"/>
        <w:ind w:firstLine="708" w:firstLineChars="200"/>
        <w:rPr>
          <w:rFonts w:eastAsia="方正仿宋_GBK" w:cs="方正仿宋_GBK"/>
          <w:color w:val="000000" w:themeColor="text1"/>
          <w:sz w:val="32"/>
          <w:szCs w:val="32"/>
          <w14:textFill>
            <w14:solidFill>
              <w14:schemeClr w14:val="tx1"/>
            </w14:solidFill>
          </w14:textFill>
        </w:rPr>
      </w:pPr>
      <w:bookmarkStart w:id="4" w:name="_Toc430"/>
      <w:bookmarkStart w:id="5" w:name="_Toc16028"/>
      <w:r>
        <w:rPr>
          <w:rFonts w:hint="eastAsia" w:eastAsia="仿宋_GB2312"/>
          <w:color w:val="000000" w:themeColor="text1"/>
          <w:spacing w:val="17"/>
          <w:sz w:val="32"/>
          <w:szCs w:val="32"/>
          <w14:textFill>
            <w14:solidFill>
              <w14:schemeClr w14:val="tx1"/>
            </w14:solidFill>
          </w14:textFill>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hint="eastAsia" w:ascii="楷体" w:hAnsi="楷体" w:eastAsia="楷体" w:cs="楷体"/>
          <w:color w:val="000000" w:themeColor="text1"/>
          <w:spacing w:val="17"/>
          <w14:textFill>
            <w14:solidFill>
              <w14:schemeClr w14:val="tx1"/>
            </w14:solidFill>
          </w14:textFill>
        </w:rPr>
      </w:pPr>
      <w:r>
        <w:rPr>
          <w:rFonts w:hint="eastAsia" w:ascii="楷体" w:hAnsi="楷体" w:eastAsia="楷体" w:cs="楷体"/>
          <w:color w:val="000000" w:themeColor="text1"/>
          <w:spacing w:val="17"/>
          <w14:textFill>
            <w14:solidFill>
              <w14:schemeClr w14:val="tx1"/>
            </w14:solidFill>
          </w14:textFill>
        </w:rPr>
        <w:t>绩效评价工作过程</w:t>
      </w:r>
    </w:p>
    <w:p>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综合评价情况及评价结论（附相关评分表）</w:t>
      </w:r>
    </w:p>
    <w:p>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（一）评价情况</w:t>
      </w:r>
    </w:p>
    <w:p>
      <w:pPr>
        <w:spacing w:line="600" w:lineRule="exact"/>
        <w:ind w:firstLine="640" w:firstLineChars="200"/>
        <w:outlineLvl w:val="0"/>
        <w:rPr>
          <w:rFonts w:eastAsia="仿宋_GB2312"/>
          <w:color w:val="000000" w:themeColor="text1"/>
          <w:kern w:val="28"/>
          <w:sz w:val="32"/>
          <w:szCs w:val="32"/>
          <w14:textFill>
            <w14:solidFill>
              <w14:schemeClr w14:val="tx1"/>
            </w14:solidFill>
          </w14:textFill>
        </w:rPr>
      </w:pPr>
      <w:r>
        <w:rPr>
          <w:rFonts w:hint="eastAsia" w:eastAsia="仿宋_GB2312"/>
          <w:color w:val="000000" w:themeColor="text1"/>
          <w:kern w:val="28"/>
          <w:sz w:val="32"/>
          <w:szCs w:val="32"/>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hint="eastAsia" w:ascii="Times New Roman" w:hAnsi="Times New Roman" w:eastAsia="仿宋_GB2312"/>
          <w:b w:val="0"/>
          <w:bCs w:val="0"/>
          <w:color w:val="000000" w:themeColor="text1"/>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100分，属于“优”。其中，项目决策类指标权重为20分，得分为20分，得分率为 100%。项目过程类指标权重为20分，得分为20分，得分率为 100%。项目产出类指标权重为40分，得分为40分，得分率为 100%。项目效益类指标权重为20分，得分为20分，得分率为100%。具体打分情况详见：附件1综合评分表。</w:t>
      </w:r>
    </w:p>
    <w:p>
      <w:pPr>
        <w:pStyle w:val="2"/>
        <w:spacing w:before="0" w:after="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themeColor="text1"/>
                <w:sz w:val="22"/>
                <w14:textFill>
                  <w14:solidFill>
                    <w14:schemeClr w14:val="tx1"/>
                  </w14:solidFill>
                </w14:textFill>
              </w:rPr>
            </w:pPr>
            <w:r>
              <w:rPr>
                <w:rFonts w:hint="eastAsia" w:cs="宋体"/>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r>
    </w:tbl>
    <w:p>
      <w:p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四、绩效评价指标分析</w:t>
      </w:r>
    </w:p>
    <w:p>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ascii="Times New Roman" w:hAnsi="Times New Roman" w:eastAsia="楷体_GB2312"/>
          <w:color w:val="000000" w:themeColor="text1"/>
          <w14:textFill>
            <w14:solidFill>
              <w14:schemeClr w14:val="tx1"/>
            </w14:solidFill>
          </w14:textFill>
        </w:rPr>
        <w:t>（一）项目决策情况</w:t>
      </w:r>
    </w:p>
    <w:p>
      <w:pPr>
        <w:spacing w:line="600" w:lineRule="exact"/>
        <w:ind w:firstLine="600" w:firstLineChars="200"/>
        <w:outlineLvl w:val="0"/>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项目决策类指标包括项目立项、绩效目标和资金投入三方面的内容，由6个三级指标构成，权重分值为20分，实际得分</w:t>
      </w:r>
      <w:r>
        <w:rPr>
          <w:rFonts w:ascii="仿宋_GB2312" w:hAnsi="仿宋_GB2312" w:eastAsia="仿宋_GB2312" w:cs="仿宋_GB2312"/>
          <w:color w:val="000000" w:themeColor="text1"/>
          <w:sz w:val="30"/>
          <w:szCs w:val="30"/>
          <w14:textFill>
            <w14:solidFill>
              <w14:schemeClr w14:val="tx1"/>
            </w14:solidFill>
          </w14:textFill>
        </w:rPr>
        <w:t>20</w:t>
      </w:r>
      <w:r>
        <w:rPr>
          <w:rFonts w:hint="eastAsia" w:ascii="仿宋_GB2312" w:hAnsi="仿宋_GB2312" w:eastAsia="仿宋_GB2312" w:cs="仿宋_GB2312"/>
          <w:color w:val="000000" w:themeColor="text1"/>
          <w:sz w:val="30"/>
          <w:szCs w:val="30"/>
          <w14:textFill>
            <w14:solidFill>
              <w14:schemeClr w14:val="tx1"/>
            </w14:solidFill>
          </w14:textFill>
        </w:rPr>
        <w:t>分，得分率为</w:t>
      </w:r>
      <w:r>
        <w:rPr>
          <w:rFonts w:ascii="仿宋_GB2312" w:hAnsi="仿宋_GB2312" w:eastAsia="仿宋_GB2312" w:cs="仿宋_GB2312"/>
          <w:color w:val="000000" w:themeColor="text1"/>
          <w:sz w:val="30"/>
          <w:szCs w:val="30"/>
          <w14:textFill>
            <w14:solidFill>
              <w14:schemeClr w14:val="tx1"/>
            </w14:solidFill>
          </w14:textFill>
        </w:rPr>
        <w:t>100</w:t>
      </w:r>
      <w:r>
        <w:rPr>
          <w:rFonts w:hint="eastAsia" w:ascii="仿宋_GB2312" w:hAnsi="仿宋_GB2312" w:eastAsia="仿宋_GB2312" w:cs="仿宋_GB2312"/>
          <w:color w:val="000000" w:themeColor="text1"/>
          <w:sz w:val="30"/>
          <w:szCs w:val="30"/>
          <w14:textFill>
            <w14:solidFill>
              <w14:schemeClr w14:val="tx1"/>
            </w14:solidFill>
          </w14:textFill>
        </w:rPr>
        <w:t>%。</w:t>
      </w:r>
    </w:p>
    <w:p>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1.项目立项</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（1）立项依据充分性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（2）立项程序规范性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2.绩效目标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（1）绩效目标合理性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14:textFill>
            <w14:solidFill>
              <w14:schemeClr w14:val="tx1"/>
            </w14:solidFill>
          </w14:textFill>
        </w:rPr>
        <w:t>设定绩效目标</w:t>
      </w:r>
      <w:r>
        <w:rPr>
          <w:rFonts w:hint="eastAsia" w:ascii="仿宋_GB2312" w:hAnsi="仿宋_GB2312" w:eastAsia="仿宋_GB2312" w:cs="仿宋_GB2312"/>
          <w:color w:val="000000" w:themeColor="text1"/>
          <w:sz w:val="32"/>
          <w:szCs w:val="32"/>
          <w:lang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（2）绩效指标明确性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3.资金投入</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（1）预算编制科学性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（2）资金分配合理性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资金分配额度与项目单位实际工作内容相适应，资金分配额度合理，资金分配依据充分。</w:t>
      </w:r>
    </w:p>
    <w:p>
      <w:pPr>
        <w:pStyle w:val="2"/>
        <w:numPr>
          <w:ilvl w:val="0"/>
          <w:numId w:val="5"/>
        </w:numPr>
        <w:spacing w:before="0" w:after="0" w:line="560" w:lineRule="exact"/>
        <w:ind w:firstLine="643" w:firstLineChars="200"/>
        <w:jc w:val="both"/>
        <w:rPr>
          <w:rFonts w:hint="eastAsia" w:ascii="楷体" w:hAnsi="楷体" w:eastAsia="楷体" w:cs="楷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项目过程情况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项目过程类指标包括资金管理和组织实施两方面的内容，由5个三级指标构成，权重分值为20分，实际得分20分，得分率为100%。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1.资金管理</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（1）资金到位率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本项目总投资74万元，财政资金及时足额到位，到位率100%，预算资金按计划进度执行。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（2）预算执行率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预算编制较为详细，项目资金支出总体能够按照预算执行，预算资金支出74万元，预算执行率为100%。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（3）资金使用合规性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2.组织实施</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（1）管理制度健全性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（2）制度执行有效性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pPr>
        <w:pStyle w:val="12"/>
        <w:numPr>
          <w:ilvl w:val="0"/>
          <w:numId w:val="5"/>
        </w:numPr>
        <w:spacing w:line="560" w:lineRule="exact"/>
        <w:ind w:firstLine="643"/>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项目产出</w:t>
      </w:r>
      <w:r>
        <w:rPr>
          <w:rFonts w:hint="eastAsia" w:eastAsia="楷体_GB2312"/>
          <w:b/>
          <w:bCs/>
          <w:color w:val="000000" w:themeColor="text1"/>
          <w:sz w:val="32"/>
          <w:szCs w:val="32"/>
          <w14:textFill>
            <w14:solidFill>
              <w14:schemeClr w14:val="tx1"/>
            </w14:solidFill>
          </w14:textFill>
        </w:rPr>
        <w:t>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项目产出类指标包括产出数量、产出质量、产出时效、产出成本四方面的内容，由8个三级指标构成，权重分为40分，实际得分</w:t>
      </w:r>
      <w:r>
        <w:rPr>
          <w:rFonts w:ascii="仿宋_GB2312" w:hAnsi="仿宋_GB2312" w:eastAsia="仿宋_GB2312" w:cs="仿宋_GB2312"/>
          <w:color w:val="000000" w:themeColor="text1"/>
          <w:sz w:val="32"/>
          <w:szCs w:val="32"/>
          <w14:textFill>
            <w14:solidFill>
              <w14:schemeClr w14:val="tx1"/>
            </w14:solidFill>
          </w14:textFill>
        </w:rPr>
        <w:t>40</w:t>
      </w:r>
      <w:r>
        <w:rPr>
          <w:rFonts w:hint="eastAsia" w:ascii="仿宋_GB2312" w:hAnsi="仿宋_GB2312" w:eastAsia="仿宋_GB2312" w:cs="仿宋_GB2312"/>
          <w:color w:val="000000" w:themeColor="text1"/>
          <w:sz w:val="32"/>
          <w:szCs w:val="32"/>
          <w14:textFill>
            <w14:solidFill>
              <w14:schemeClr w14:val="tx1"/>
            </w14:solidFill>
          </w14:textFill>
        </w:rPr>
        <w:t>分，得分率为</w:t>
      </w:r>
      <w:r>
        <w:rPr>
          <w:rFonts w:ascii="仿宋_GB2312" w:hAnsi="仿宋_GB2312" w:eastAsia="仿宋_GB2312" w:cs="仿宋_GB2312"/>
          <w:color w:val="000000" w:themeColor="text1"/>
          <w:sz w:val="32"/>
          <w:szCs w:val="32"/>
          <w14:textFill>
            <w14:solidFill>
              <w14:schemeClr w14:val="tx1"/>
            </w14:solidFill>
          </w14:textFill>
        </w:rPr>
        <w:t>100</w:t>
      </w:r>
      <w:r>
        <w:rPr>
          <w:rFonts w:hint="eastAsia" w:ascii="仿宋_GB2312" w:hAnsi="仿宋_GB2312" w:eastAsia="仿宋_GB2312" w:cs="仿宋_GB2312"/>
          <w:color w:val="000000" w:themeColor="text1"/>
          <w:sz w:val="32"/>
          <w:szCs w:val="32"/>
          <w14:textFill>
            <w14:solidFill>
              <w14:schemeClr w14:val="tx1"/>
            </w14:solidFill>
          </w14:textFill>
        </w:rPr>
        <w:t>%。具体产出指标完成情况如下：</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①</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数量指标：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指标1：“综合大楼维修次数”指标，指标值：≥35次，实际完成值：35次，指标完成率100%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指标2：“水电费缴费次数”指标，指标值：≥12次；实际完成值：12次，指标完成率100%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质量指标：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指标1：“维修验收合格率”指标，指标值：=100%；实际完成值：100%，指标完成率100%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③</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时效指标：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指标1：“维修完工及时率”指标，指标值：=100%；实际完成值：100%，指标完成率100%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指标2：“水电费缴费完成及时率”指标，指标值：≥100%；实际完成值：=100%，指标完成率100%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④</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color w:val="000000" w:themeColor="text1"/>
          <w14:textFill>
            <w14:solidFill>
              <w14:schemeClr w14:val="tx1"/>
            </w14:solidFill>
          </w14:textFill>
        </w:rPr>
        <w:t xml:space="preserve"> </w:t>
      </w:r>
      <w:r>
        <w:rPr>
          <w:rFonts w:hint="eastAsia" w:ascii="仿宋_GB2312" w:hAnsi="仿宋_GB2312" w:eastAsia="仿宋_GB2312" w:cs="仿宋_GB2312"/>
          <w:color w:val="000000" w:themeColor="text1"/>
          <w:sz w:val="32"/>
          <w:szCs w:val="32"/>
          <w14:textFill>
            <w14:solidFill>
              <w14:schemeClr w14:val="tx1"/>
            </w14:solidFill>
          </w14:textFill>
        </w:rPr>
        <w:t>成本指标：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水电费”指标，指标值：≤30万元，实际完成值：24.75万元，指标完成率82.5%，因2023年年初，做预算绩效单位缴公用资产房屋电费及旧政府大楼保安室供暖气房屋，电费有点高，到3月停暖不需要电带动，所以电费在6月做调剂至维修费。改进措施：下年度确定分配金额，减少偏差。</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维修成本”指标，指标值：≤20万元，实际完成值：25.25万元，指标完成率126%，因2023年年初，做预算绩效单位缴公用资产房屋电费及旧政府大楼保安室供暖气房屋，电费有点高，到3月停暖不需要电带动，所以电费在6月做调剂至维修费。改进措施：下年度确定分配金额，减少偏差。</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指标3：“后勤费”指标，指标值：=24万元，实际完成值：24万元，指标完成率100%</w:t>
      </w:r>
    </w:p>
    <w:p>
      <w:pPr>
        <w:pStyle w:val="12"/>
        <w:numPr>
          <w:ilvl w:val="0"/>
          <w:numId w:val="5"/>
        </w:numPr>
        <w:spacing w:line="560" w:lineRule="exact"/>
        <w:ind w:firstLine="643"/>
        <w:rPr>
          <w:rFonts w:eastAsia="楷体_GB2312"/>
          <w:b/>
          <w:bCs/>
          <w:color w:val="000000" w:themeColor="text1"/>
          <w:sz w:val="32"/>
          <w:szCs w:val="32"/>
          <w14:textFill>
            <w14:solidFill>
              <w14:schemeClr w14:val="tx1"/>
            </w14:solidFill>
          </w14:textFill>
        </w:rPr>
      </w:pPr>
      <w:r>
        <w:rPr>
          <w:rFonts w:hint="eastAsia" w:eastAsia="楷体_GB2312"/>
          <w:b/>
          <w:bCs/>
          <w:color w:val="000000" w:themeColor="text1"/>
          <w:sz w:val="32"/>
          <w:szCs w:val="32"/>
          <w14:textFill>
            <w14:solidFill>
              <w14:schemeClr w14:val="tx1"/>
            </w14:solidFill>
          </w14:textFill>
        </w:rPr>
        <w:t>项目效益情况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1.实施效益</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②社会效益指标：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指标1：“保障工作正常运转”指标，指标值：有效保障；实际完成值：有效保障，指标完成率100%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2.满意度</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w:t>
      </w:r>
      <w:r>
        <w:rPr>
          <w:rFonts w:ascii="仿宋_GB2312" w:hAnsi="仿宋_GB2312" w:eastAsia="仿宋_GB2312" w:cs="仿宋_GB2312"/>
          <w:color w:val="000000" w:themeColor="text1"/>
          <w:sz w:val="32"/>
          <w:szCs w:val="32"/>
          <w14:textFill>
            <w14:solidFill>
              <w14:schemeClr w14:val="tx1"/>
            </w14:solidFill>
          </w14:textFill>
        </w:rPr>
        <w:t>1</w:t>
      </w:r>
      <w:r>
        <w:rPr>
          <w:rFonts w:hint="eastAsia" w:ascii="仿宋_GB2312" w:hAnsi="仿宋_GB2312" w:eastAsia="仿宋_GB2312" w:cs="仿宋_GB2312"/>
          <w:color w:val="000000" w:themeColor="text1"/>
          <w:sz w:val="32"/>
          <w:szCs w:val="32"/>
          <w14:textFill>
            <w14:solidFill>
              <w14:schemeClr w14:val="tx1"/>
            </w14:solidFill>
          </w14:textFill>
        </w:rPr>
        <w:t>：工作人员满意度，指标值：≥90% ，实际完成值：=90% ，指标完成率100%</w:t>
      </w:r>
      <w:r>
        <w:rPr>
          <w:rFonts w:hint="eastAsia" w:eastAsia="仿宋_GB2312"/>
          <w:color w:val="000000" w:themeColor="text1"/>
          <w:sz w:val="32"/>
          <w:szCs w:val="32"/>
          <w14:textFill>
            <w14:solidFill>
              <w14:schemeClr w14:val="tx1"/>
            </w14:solidFill>
          </w14:textFill>
        </w:rPr>
        <w:t>。</w:t>
      </w:r>
    </w:p>
    <w:p>
      <w:pPr>
        <w:spacing w:line="560" w:lineRule="exact"/>
        <w:ind w:firstLine="640" w:firstLineChars="200"/>
        <w:rPr>
          <w:rFonts w:eastAsia="黑体"/>
          <w:color w:val="000000" w:themeColor="text1"/>
          <w:sz w:val="32"/>
          <w:szCs w:val="32"/>
          <w:lang w:eastAsia="zh-Hans"/>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五、预算执行进度与绩效指标总体完成率偏差</w:t>
      </w:r>
    </w:p>
    <w:p>
      <w:pPr>
        <w:pStyle w:val="19"/>
        <w:spacing w:line="560" w:lineRule="exact"/>
        <w:ind w:firstLine="640"/>
        <w:rPr>
          <w:rFonts w:eastAsia="仿宋_GB2312"/>
          <w:color w:val="000000" w:themeColor="text1"/>
          <w:kern w:val="2"/>
          <w:sz w:val="32"/>
          <w:szCs w:val="32"/>
          <w14:textFill>
            <w14:solidFill>
              <w14:schemeClr w14:val="tx1"/>
            </w14:solidFill>
          </w14:textFill>
        </w:rPr>
      </w:pPr>
      <w:r>
        <w:rPr>
          <w:rFonts w:hint="eastAsia" w:eastAsia="仿宋_GB2312"/>
          <w:color w:val="000000" w:themeColor="text1"/>
          <w:kern w:val="2"/>
          <w:sz w:val="32"/>
          <w:szCs w:val="32"/>
          <w14:textFill>
            <w14:solidFill>
              <w14:schemeClr w14:val="tx1"/>
            </w14:solidFill>
          </w14:textFill>
        </w:rPr>
        <w:t>关于下达政办政府综合大楼运行维护经费的通知项目年初预算50万元，全年预算74万元，实际支出74万元，预算执行率为100%，项目绩效指标总体完成率为100.85%，</w:t>
      </w:r>
      <w:r>
        <w:rPr>
          <w:rFonts w:hint="eastAsia" w:eastAsia="仿宋_GB2312"/>
          <w:color w:val="000000" w:themeColor="text1"/>
          <w:kern w:val="2"/>
          <w:sz w:val="32"/>
          <w:szCs w:val="32"/>
          <w:lang w:eastAsia="zh-Hans"/>
          <w14:textFill>
            <w14:solidFill>
              <w14:schemeClr w14:val="tx1"/>
            </w14:solidFill>
          </w14:textFill>
        </w:rPr>
        <w:t>总体</w:t>
      </w:r>
      <w:r>
        <w:rPr>
          <w:rFonts w:hint="eastAsia" w:eastAsia="仿宋_GB2312"/>
          <w:color w:val="000000" w:themeColor="text1"/>
          <w:kern w:val="2"/>
          <w:sz w:val="32"/>
          <w:szCs w:val="32"/>
          <w14:textFill>
            <w14:solidFill>
              <w14:schemeClr w14:val="tx1"/>
            </w14:solidFill>
          </w14:textFill>
        </w:rPr>
        <w:t>偏差率为0,</w:t>
      </w:r>
      <w:r>
        <w:rPr>
          <w:rFonts w:hint="eastAsia" w:eastAsia="仿宋_GB2312"/>
          <w:color w:val="000000" w:themeColor="text1"/>
          <w:kern w:val="2"/>
          <w:sz w:val="32"/>
          <w:szCs w:val="32"/>
          <w:lang w:eastAsia="zh-Hans"/>
          <w14:textFill>
            <w14:solidFill>
              <w14:schemeClr w14:val="tx1"/>
            </w14:solidFill>
          </w14:textFill>
        </w:rPr>
        <w:t>偏差</w:t>
      </w:r>
      <w:r>
        <w:rPr>
          <w:rFonts w:hint="eastAsia" w:eastAsia="仿宋_GB2312"/>
          <w:color w:val="000000" w:themeColor="text1"/>
          <w:kern w:val="2"/>
          <w:sz w:val="32"/>
          <w:szCs w:val="32"/>
          <w14:textFill>
            <w14:solidFill>
              <w14:schemeClr w14:val="tx1"/>
            </w14:solidFill>
          </w14:textFill>
        </w:rPr>
        <w:t>原因一是因2023年年初，做预算绩效单位缴公用资产房屋电费及旧政府大楼保安室供暖气</w:t>
      </w:r>
      <w:r>
        <w:rPr>
          <w:rFonts w:hint="eastAsia" w:ascii="仿宋_GB2312" w:hAnsi="仿宋_GB2312" w:eastAsia="仿宋_GB2312" w:cs="仿宋_GB2312"/>
          <w:color w:val="000000" w:themeColor="text1"/>
          <w:sz w:val="32"/>
          <w:szCs w:val="32"/>
          <w14:textFill>
            <w14:solidFill>
              <w14:schemeClr w14:val="tx1"/>
            </w14:solidFill>
          </w14:textFill>
        </w:rPr>
        <w:t>；二是因机关事务6月增加公用房，房屋需要出租需要大面积维修，电费调剂维修费。</w:t>
      </w:r>
      <w:r>
        <w:rPr>
          <w:rFonts w:hint="eastAsia" w:ascii="仿宋_GB2312" w:hAnsi="仿宋_GB2312" w:eastAsia="仿宋_GB2312" w:cs="仿宋_GB2312"/>
          <w:color w:val="000000" w:themeColor="text1"/>
          <w:sz w:val="32"/>
          <w:szCs w:val="32"/>
          <w:lang w:eastAsia="zh-Hans"/>
          <w14:textFill>
            <w14:solidFill>
              <w14:schemeClr w14:val="tx1"/>
            </w14:solidFill>
          </w14:textFill>
        </w:rPr>
        <w:t>改进</w:t>
      </w:r>
      <w:r>
        <w:rPr>
          <w:rFonts w:hint="eastAsia" w:ascii="仿宋_GB2312" w:hAnsi="仿宋_GB2312" w:eastAsia="仿宋_GB2312" w:cs="仿宋_GB2312"/>
          <w:color w:val="000000" w:themeColor="text1"/>
          <w:sz w:val="32"/>
          <w:szCs w:val="32"/>
          <w14:textFill>
            <w14:solidFill>
              <w14:schemeClr w14:val="tx1"/>
            </w14:solidFill>
          </w14:textFill>
        </w:rPr>
        <w:t>措施:项目经费支出按照有关规章制度和项目实施完成情况进行支付。</w:t>
      </w:r>
    </w:p>
    <w:p>
      <w:pPr>
        <w:spacing w:line="560" w:lineRule="exact"/>
        <w:ind w:firstLine="640" w:firstLineChars="200"/>
        <w:rPr>
          <w:rStyle w:val="18"/>
          <w:rFonts w:ascii="Times New Roman" w:hAnsi="Times New Roman" w:cs="Times New Roman"/>
          <w:color w:val="000000" w:themeColor="text1"/>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六</w:t>
      </w:r>
      <w:r>
        <w:rPr>
          <w:rFonts w:eastAsia="黑体"/>
          <w:color w:val="000000" w:themeColor="text1"/>
          <w:sz w:val="32"/>
          <w:szCs w:val="32"/>
          <w14:textFill>
            <w14:solidFill>
              <w14:schemeClr w14:val="tx1"/>
            </w14:solidFill>
          </w14:textFill>
        </w:rPr>
        <w:t>、主要经验及做法、存在的问题及原因分析</w:t>
      </w:r>
    </w:p>
    <w:p>
      <w:pPr>
        <w:spacing w:line="560" w:lineRule="exact"/>
        <w:ind w:firstLine="627" w:firstLineChars="200"/>
        <w:rPr>
          <w:rFonts w:eastAsia="楷体"/>
          <w:b/>
          <w:color w:val="000000" w:themeColor="text1"/>
          <w:spacing w:val="-4"/>
          <w:sz w:val="32"/>
          <w:szCs w:val="32"/>
          <w14:textFill>
            <w14:solidFill>
              <w14:schemeClr w14:val="tx1"/>
            </w14:solidFill>
          </w14:textFill>
        </w:rPr>
      </w:pPr>
      <w:r>
        <w:rPr>
          <w:rFonts w:eastAsia="楷体"/>
          <w:b/>
          <w:color w:val="000000" w:themeColor="text1"/>
          <w:spacing w:val="-4"/>
          <w:sz w:val="32"/>
          <w:szCs w:val="32"/>
          <w14:textFill>
            <w14:solidFill>
              <w14:schemeClr w14:val="tx1"/>
            </w14:solidFill>
          </w14:textFill>
        </w:rPr>
        <w:t>（一）主要经验及做法</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color w:val="000000" w:themeColor="text1"/>
          <w:kern w:val="2"/>
          <w14:textFill>
            <w14:solidFill>
              <w14:schemeClr w14:val="tx1"/>
            </w14:solidFill>
          </w14:textFill>
        </w:rPr>
      </w:pPr>
      <w:r>
        <w:rPr>
          <w:rFonts w:ascii="Times New Roman" w:hAnsi="Times New Roman" w:eastAsia="仿宋_GB2312"/>
          <w:b w:val="0"/>
          <w:bCs w:val="0"/>
          <w:color w:val="000000" w:themeColor="text1"/>
          <w:kern w:val="2"/>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存在的问题及原因分析</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2.部分业务人员绩效管理意识有待增强，未能全面深入认识理解绩效管理工作的意义，绩效管理经验不足，预算绩效管理工作有待进一步落实。</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3.部分项目过程中未及时对有关数据和资料进行收集、整理、审核及分析。不能全面反映项目的综合效益，导致评价结果失真。</w:t>
      </w:r>
    </w:p>
    <w:p>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七、</w:t>
      </w:r>
      <w:r>
        <w:rPr>
          <w:rFonts w:eastAsia="黑体"/>
          <w:color w:val="000000" w:themeColor="text1"/>
          <w:sz w:val="32"/>
          <w:szCs w:val="32"/>
          <w14:textFill>
            <w14:solidFill>
              <w14:schemeClr w14:val="tx1"/>
            </w14:solidFill>
          </w14:textFill>
        </w:rPr>
        <w:t>有关建议</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多进行有关绩效管理工作方面的培训。积极组织第三方开展绩效管理工作培训，进一步夯实业务基础，提高我单位绩效人员水平。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2.为更好规范管理办公楼的水电使用，建议有关部门对水电等设施管理费及水电费项目工作的支持，按现行政策给予支持。应当向用水管理部门申请用水计划，并进行用水、执行用水计划，和利用水。</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3.进一步规范项目建设的程序。项目前期做好可行性研究报告，更加细化实施方案，严格执行资金管理办法和财政资金管理制度，严格按照项目实施方案、招投标管理办法等稳步推进工作并进行总结。</w:t>
      </w:r>
    </w:p>
    <w:p>
      <w:pPr>
        <w:spacing w:line="600" w:lineRule="exact"/>
        <w:ind w:firstLine="640" w:firstLineChars="200"/>
        <w:outlineLvl w:val="0"/>
        <w:rPr>
          <w:color w:val="000000" w:themeColor="text1"/>
          <w:sz w:val="22"/>
          <w:szCs w:val="28"/>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14:textFill>
            <w14:solidFill>
              <w14:schemeClr w14:val="tx1"/>
            </w14:solidFill>
          </w14:textFill>
        </w:rPr>
        <w:t>。</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八、</w:t>
      </w:r>
      <w:r>
        <w:rPr>
          <w:rFonts w:eastAsia="黑体"/>
          <w:color w:val="000000" w:themeColor="text1"/>
          <w:sz w:val="32"/>
          <w:szCs w:val="32"/>
          <w14:textFill>
            <w14:solidFill>
              <w14:schemeClr w14:val="tx1"/>
            </w14:solidFill>
          </w14:textFill>
        </w:rPr>
        <w:t>其他需要说</w:t>
      </w:r>
      <w:bookmarkStart w:id="6" w:name="page8"/>
      <w:bookmarkEnd w:id="6"/>
      <w:r>
        <w:rPr>
          <w:rFonts w:eastAsia="黑体"/>
          <w:color w:val="000000" w:themeColor="text1"/>
          <w:sz w:val="32"/>
          <w:szCs w:val="32"/>
          <w14:textFill>
            <w14:solidFill>
              <w14:schemeClr w14:val="tx1"/>
            </w14:solidFill>
          </w14:textFill>
        </w:rPr>
        <w:t>明的问题</w:t>
      </w:r>
    </w:p>
    <w:p>
      <w:pPr>
        <w:pStyle w:val="13"/>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本项目无其他需说明的问题。</w:t>
      </w:r>
    </w:p>
    <w:p>
      <w:pPr>
        <w:pStyle w:val="13"/>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p>
    <w:p>
      <w:pPr>
        <w:pStyle w:val="13"/>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p>
    <w:p>
      <w:pPr>
        <w:pStyle w:val="2"/>
        <w:jc w:val="both"/>
        <w:rPr>
          <w:rFonts w:ascii="Times New Roman" w:hAnsi="Times New Roman"/>
          <w:color w:val="000000" w:themeColor="text1"/>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4"/>
        <w:tblW w:w="13725" w:type="dxa"/>
        <w:tblInd w:w="93" w:type="dxa"/>
        <w:tblLayout w:type="fixed"/>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tblPrEx>
          <w:tblLayout w:type="fixed"/>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kern w:val="0"/>
                <w:sz w:val="32"/>
                <w:szCs w:val="32"/>
                <w:lang w:bidi="ar"/>
                <w14:textFill>
                  <w14:solidFill>
                    <w14:schemeClr w14:val="tx1"/>
                  </w14:solidFill>
                </w14:textFill>
              </w:rPr>
              <w:t>项目支出绩效自评表</w:t>
            </w:r>
          </w:p>
        </w:tc>
      </w:tr>
      <w:tr>
        <w:tblPrEx>
          <w:tblLayout w:type="fixed"/>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(2023年度)</w:t>
            </w:r>
          </w:p>
        </w:tc>
      </w:tr>
      <w:tr>
        <w:tblPrEx>
          <w:tblLayout w:type="fixed"/>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关于下达政办政府综合大楼运行维护经费的通知</w:t>
            </w:r>
          </w:p>
        </w:tc>
      </w:tr>
      <w:tr>
        <w:tblPrEx>
          <w:tblLayout w:type="fixed"/>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奇台县人民政府办公室（县信访局.县扶贫开发办公室）</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奇台县人民政府办公室（县信访局.县扶贫开发办公室）</w:t>
            </w:r>
          </w:p>
        </w:tc>
      </w:tr>
      <w:tr>
        <w:tblPrEx>
          <w:tblLayout w:type="fixed"/>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项目资金</w:t>
            </w:r>
            <w:r>
              <w:rPr>
                <w:rFonts w:hint="eastAsia" w:ascii="宋体" w:hAnsi="宋体" w:cs="宋体"/>
                <w:color w:val="000000" w:themeColor="text1"/>
                <w:kern w:val="0"/>
                <w:sz w:val="20"/>
                <w:szCs w:val="20"/>
                <w:lang w:bidi="ar"/>
                <w14:textFill>
                  <w14:solidFill>
                    <w14:schemeClr w14:val="tx1"/>
                  </w14:solidFill>
                </w14:textFill>
              </w:rPr>
              <w:br w:type="textWrapping"/>
            </w:r>
            <w:r>
              <w:rPr>
                <w:rFonts w:hint="eastAsia" w:ascii="宋体" w:hAnsi="宋体" w:cs="宋体"/>
                <w:color w:val="000000" w:themeColor="text1"/>
                <w:kern w:val="0"/>
                <w:sz w:val="20"/>
                <w:szCs w:val="20"/>
                <w:lang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得分</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74.00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74.00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10.00分</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74</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74</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tblPrEx>
          <w:tblLayout w:type="fixed"/>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tblPrEx>
          <w:tblLayout w:type="fixed"/>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实际完成情况</w:t>
            </w:r>
          </w:p>
        </w:tc>
      </w:tr>
      <w:tr>
        <w:tblPrEx>
          <w:tblLayout w:type="fixed"/>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主要建设（实施）内容为：政府综合大楼水费、电费、办公区域零星维修、楼体维修维护及日常管理，后勤费等。综合大楼暖气管更换数量（个）5个，更换水龙头数量（个）10个，水电费缴费次数12次，维修验收合格率（%）达到100%，通过本项目的实施，确保各项工作开展有序、满足办事群众，按时缴费水电费，及时维修水电暖、楼等，促进了工作环境的文明、和谐与稳定。保障了办公楼的正常运行，给予工作人员基本的工作条件保障。保障工作正常运转。</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政府综合大楼水费、电费、办公区域零星维修、楼体维修维护及日常管理，后勤费等。综合大楼维修次35次，水电费缴费次数12次，维修验收合格率（%）达到100%，通过本项目的实施，确保各项工作开展有序、满足办事群众，按时缴费水电费，及时维修水电暖、楼等，促进了工作环境的文明、和谐与稳定。保障了办公楼的正常运行，给予工作人员基本的工作条件保障。保障工作正常运转。</w:t>
            </w:r>
          </w:p>
        </w:tc>
      </w:tr>
      <w:tr>
        <w:tblPrEx>
          <w:tblLayout w:type="fixed"/>
          <w:tblCellMar>
            <w:top w:w="0" w:type="dxa"/>
            <w:left w:w="108" w:type="dxa"/>
            <w:bottom w:w="0" w:type="dxa"/>
            <w:right w:w="108" w:type="dxa"/>
          </w:tblCellMar>
        </w:tblPrEx>
        <w:trPr>
          <w:trHeight w:val="31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偏差原因分析及改进措施</w:t>
            </w:r>
          </w:p>
        </w:tc>
      </w:tr>
      <w:tr>
        <w:tblPrEx>
          <w:tblLayout w:type="fixed"/>
          <w:tblCellMar>
            <w:top w:w="0" w:type="dxa"/>
            <w:left w:w="108" w:type="dxa"/>
            <w:bottom w:w="0" w:type="dxa"/>
            <w:right w:w="108" w:type="dxa"/>
          </w:tblCellMar>
        </w:tblPrEx>
        <w:trPr>
          <w:trHeight w:val="31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综合大楼维修次数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&gt;=35次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=35次</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水电费缴费次数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&gt;=12次</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=12次</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维修验收合格率（%）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时效指标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维修完工及时率（%）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时效指标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水电费缴费完成及时率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水电费</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&lt;=30万元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=24.75万元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5.63</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因2023年年初，做预算绩效单位缴公用资产房屋电费及旧政府大楼保安室供暖气房屋，电费有点高，到3月停暖不需要电带动，所以电费在6月做调剂至维修费。改进措施：下年度确定分配金额，减少偏差。</w:t>
            </w: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维修成本</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&lt;=20万元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=25.25万元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6</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4.44</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因2023年年初，做预算绩效单位缴公用资产房屋电费及旧政府大楼保安室供暖气房屋，电费有点高，到3月停暖不需要电带动，所以电费在6月做调剂至维修费。改进措施：下年度确定分配金额，减少偏差。</w:t>
            </w: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后勤费</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=24万元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=24万元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4</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4</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社会成本指标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生态环境成本指标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社会效益指标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保障工作正常运转</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有效保障</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有效保障</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生态效益指标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满意度指标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工作人员满意度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94.07分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bl>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附件1</w:t>
      </w:r>
    </w:p>
    <w:p>
      <w:pPr>
        <w:pStyle w:val="19"/>
        <w:ind w:firstLine="562"/>
        <w:jc w:val="center"/>
        <w:rPr>
          <w:color w:val="000000" w:themeColor="text1"/>
          <w:sz w:val="28"/>
          <w:szCs w:val="40"/>
          <w14:textFill>
            <w14:solidFill>
              <w14:schemeClr w14:val="tx1"/>
            </w14:solidFill>
          </w14:textFill>
        </w:rPr>
      </w:pPr>
      <w:bookmarkStart w:id="7" w:name="_Toc30064_WPSOffice_Level1"/>
      <w:bookmarkStart w:id="8" w:name="_Toc26499_WPSOffice_Level2"/>
      <w:r>
        <w:rPr>
          <w:rFonts w:hint="eastAsia"/>
          <w:b/>
          <w:bCs/>
          <w:color w:val="000000" w:themeColor="text1"/>
          <w:sz w:val="28"/>
          <w:szCs w:val="40"/>
          <w14:textFill>
            <w14:solidFill>
              <w14:schemeClr w14:val="tx1"/>
            </w14:solidFill>
          </w14:textFill>
        </w:rPr>
        <w:t>政府大楼正常维护费项目绩效评价指标体系及综合评分表</w:t>
      </w:r>
      <w:bookmarkEnd w:id="7"/>
      <w:bookmarkEnd w:id="8"/>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一级指标</w:t>
            </w:r>
          </w:p>
        </w:tc>
        <w:tc>
          <w:tcPr>
            <w:tcW w:w="764"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二级指标</w:t>
            </w:r>
          </w:p>
        </w:tc>
        <w:tc>
          <w:tcPr>
            <w:tcW w:w="87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三级指标</w:t>
            </w:r>
          </w:p>
        </w:tc>
        <w:tc>
          <w:tcPr>
            <w:tcW w:w="235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指标解释</w:t>
            </w:r>
          </w:p>
        </w:tc>
        <w:tc>
          <w:tcPr>
            <w:tcW w:w="5198"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指标说明</w:t>
            </w:r>
          </w:p>
        </w:tc>
        <w:tc>
          <w:tcPr>
            <w:tcW w:w="1300"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权重</w:t>
            </w:r>
          </w:p>
        </w:tc>
        <w:tc>
          <w:tcPr>
            <w:tcW w:w="136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决策　</w:t>
            </w:r>
          </w:p>
        </w:tc>
        <w:tc>
          <w:tcPr>
            <w:tcW w:w="76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立项依据</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充分性</w:t>
            </w:r>
          </w:p>
        </w:tc>
        <w:tc>
          <w:tcPr>
            <w:tcW w:w="2353"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①项目立项是否符合国家法律法规、国民经济发展规划和相关政策；</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②项目立项是否符合行业发展规划和政策要求；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③项目立项是否与部门职责范围相符，属于部门履职所需；</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④项目是否属于公共财政支持范围，是否符合中央、地方事权支出责任划分原则；</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立项程序</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规范性</w:t>
            </w:r>
          </w:p>
        </w:tc>
        <w:tc>
          <w:tcPr>
            <w:tcW w:w="2353"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①项目是否按照规定的程序申请设立；</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②审批文件、材料是否符合相关要求；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（如未设定预算绩效目标，也可考核其他工作任务目标）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①项目是否有绩效目标；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②项目绩效目标与实际工作内容是否具有相关性；</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③项目预期产出效益和效果是否符合正常的业绩水平；</w:t>
            </w:r>
          </w:p>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绩效指标</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明确性</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①是否将项目绩效目标细化分解为具体的绩效指标；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②是否通过清晰、可衡量的指标值予以体现；</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③是否与项目目标任务数或计划数相对应。</w:t>
            </w:r>
            <w:r>
              <w:rPr>
                <w:color w:val="000000" w:themeColor="text1"/>
                <w:kern w:val="0"/>
                <w:sz w:val="22"/>
                <w:szCs w:val="22"/>
                <w14:textFill>
                  <w14:solidFill>
                    <w14:schemeClr w14:val="tx1"/>
                  </w14:solidFill>
                </w14:textFill>
              </w:rPr>
              <w:br w:type="textWrapping"/>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资金投入</w:t>
            </w: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预算编制</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科学性</w:t>
            </w:r>
          </w:p>
        </w:tc>
        <w:tc>
          <w:tcPr>
            <w:tcW w:w="2353"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①预算编制是否经过科学论证；</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②预算内容与项目内容是否匹配；</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③预算额度测算依据是否充分，是否按照标准编制；</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资金分配</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3"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①预算资金分配依据是否充分；</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过程</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76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资金到位率=（实际到位资金/预算资金）×100%。</w:t>
            </w:r>
          </w:p>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实际到位资金：一定时期（本年度或项目期）内落实到具体项目的资金。</w:t>
            </w:r>
          </w:p>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w:t>
            </w:r>
          </w:p>
        </w:tc>
        <w:tc>
          <w:tcPr>
            <w:tcW w:w="2353"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预算执行率=（实际支出资金/实际到位资金）×100%。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资金使用</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合规性</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①是否符合国家财经法规和财务管理制度以及有关专项资金管理办法的规定；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②资金的拨付是否有完整的审批程序和手续；</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③是否符合项目预算批复或合同规定的用途；</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④是否存在截留、挤占、挪用、虚列支出等情况。</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组织实施</w:t>
            </w: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管理制度</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健全性</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①是否已制定或具有相应的财务和业务管理制度；</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②财务和业务管理制度是否合法、合规、完整。</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制度执行</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有效性</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①是否遵守相关法律法规和相关管理规定；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②项目调整及支出调整手续是否完备；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③项目合同书、验收报告、技术鉴定等资料是否齐全并及时归档；</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w:t>
            </w:r>
          </w:p>
        </w:tc>
        <w:tc>
          <w:tcPr>
            <w:tcW w:w="76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产出数量</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实际完成率=（实际产出数/计划产出数）×100%。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实际产出数：一定时期（本年度或项目期）内项目实际产出的产品或提供的服务数量。</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产出质量</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质量达标率=（质量达标产出数/实际产出数）×100%。</w:t>
            </w:r>
          </w:p>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产出时效</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完成及时性</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实际完成时间：项目实施单位完成该项目实际所耗用的时间。</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产出成本</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成本节约率</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成本节约率=[（计划成本-实际成本）/计划成本]×100%。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实际成本：项目实施单位如期、保质、保量完成既定工作目标实际所耗费的支出。</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效益　</w:t>
            </w:r>
          </w:p>
        </w:tc>
        <w:tc>
          <w:tcPr>
            <w:tcW w:w="764"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项目效益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实施效益</w:t>
            </w:r>
          </w:p>
        </w:tc>
        <w:tc>
          <w:tcPr>
            <w:tcW w:w="2353" w:type="dxa"/>
            <w:shd w:val="clear" w:color="auto"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项目实施所产生的效益。</w:t>
            </w:r>
          </w:p>
        </w:tc>
        <w:tc>
          <w:tcPr>
            <w:tcW w:w="5198"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满意度</w:t>
            </w:r>
          </w:p>
        </w:tc>
        <w:tc>
          <w:tcPr>
            <w:tcW w:w="2353"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社会公众或服务对象对项目实施效果的满意程度。</w:t>
            </w:r>
          </w:p>
        </w:tc>
        <w:tc>
          <w:tcPr>
            <w:tcW w:w="5198"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bl>
    <w:p>
      <w:pPr>
        <w:rPr>
          <w:color w:val="000000" w:themeColor="text1"/>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565963"/>
    <w:rsid w:val="006F1C10"/>
    <w:rsid w:val="006F7242"/>
    <w:rsid w:val="007B168A"/>
    <w:rsid w:val="008B2CFE"/>
    <w:rsid w:val="009B10B1"/>
    <w:rsid w:val="00A74540"/>
    <w:rsid w:val="00D11E7B"/>
    <w:rsid w:val="00F26FF6"/>
    <w:rsid w:val="02F232AC"/>
    <w:rsid w:val="07397B77"/>
    <w:rsid w:val="09FC30DE"/>
    <w:rsid w:val="0CA015BA"/>
    <w:rsid w:val="0D6B4803"/>
    <w:rsid w:val="0E5223D6"/>
    <w:rsid w:val="0F07055B"/>
    <w:rsid w:val="12342B72"/>
    <w:rsid w:val="12F9013E"/>
    <w:rsid w:val="13471461"/>
    <w:rsid w:val="13B90F01"/>
    <w:rsid w:val="172F2900"/>
    <w:rsid w:val="181066D2"/>
    <w:rsid w:val="19E815E6"/>
    <w:rsid w:val="1C671E73"/>
    <w:rsid w:val="1E236353"/>
    <w:rsid w:val="1E7050FC"/>
    <w:rsid w:val="25EA5A0A"/>
    <w:rsid w:val="26CA1B9C"/>
    <w:rsid w:val="28715D1D"/>
    <w:rsid w:val="28D76D98"/>
    <w:rsid w:val="29C70484"/>
    <w:rsid w:val="2A06253E"/>
    <w:rsid w:val="2CEE390D"/>
    <w:rsid w:val="2F495922"/>
    <w:rsid w:val="2FB56378"/>
    <w:rsid w:val="301D3C85"/>
    <w:rsid w:val="35D134E6"/>
    <w:rsid w:val="36742A8F"/>
    <w:rsid w:val="38CA40DD"/>
    <w:rsid w:val="395F2B56"/>
    <w:rsid w:val="3BECE841"/>
    <w:rsid w:val="3C062718"/>
    <w:rsid w:val="3D624E1B"/>
    <w:rsid w:val="3E3839DE"/>
    <w:rsid w:val="3F2471E2"/>
    <w:rsid w:val="3FF7797D"/>
    <w:rsid w:val="409B2C7E"/>
    <w:rsid w:val="412B6EB7"/>
    <w:rsid w:val="441B2960"/>
    <w:rsid w:val="467424B8"/>
    <w:rsid w:val="4CB80C09"/>
    <w:rsid w:val="4F2E05AC"/>
    <w:rsid w:val="4FCB2964"/>
    <w:rsid w:val="56404524"/>
    <w:rsid w:val="5962291D"/>
    <w:rsid w:val="5AC47496"/>
    <w:rsid w:val="5BFF6039"/>
    <w:rsid w:val="5D76A616"/>
    <w:rsid w:val="5D7F20B9"/>
    <w:rsid w:val="5D9279FF"/>
    <w:rsid w:val="5DAC7D0E"/>
    <w:rsid w:val="5E5F1000"/>
    <w:rsid w:val="5F98B5AF"/>
    <w:rsid w:val="5FFE8511"/>
    <w:rsid w:val="5FFEACE2"/>
    <w:rsid w:val="617857C7"/>
    <w:rsid w:val="62F52F50"/>
    <w:rsid w:val="63D0156C"/>
    <w:rsid w:val="643EE26D"/>
    <w:rsid w:val="68AB284F"/>
    <w:rsid w:val="68AF4E0D"/>
    <w:rsid w:val="6CD25D13"/>
    <w:rsid w:val="6D233CCC"/>
    <w:rsid w:val="6D572E2F"/>
    <w:rsid w:val="6E0B3AA1"/>
    <w:rsid w:val="6F212C7C"/>
    <w:rsid w:val="6F23169D"/>
    <w:rsid w:val="6F5C41AC"/>
    <w:rsid w:val="6FAF6C78"/>
    <w:rsid w:val="7317C656"/>
    <w:rsid w:val="734ED73F"/>
    <w:rsid w:val="735A3D4F"/>
    <w:rsid w:val="76C601F0"/>
    <w:rsid w:val="770F0684"/>
    <w:rsid w:val="77FD8BE9"/>
    <w:rsid w:val="793C0810"/>
    <w:rsid w:val="79A9BD3F"/>
    <w:rsid w:val="7A5C154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560" w:lineRule="exact"/>
      <w:ind w:firstLine="964" w:firstLineChars="200"/>
      <w:outlineLvl w:val="0"/>
    </w:pPr>
    <w:rPr>
      <w:rFonts w:eastAsia="黑体"/>
      <w:kern w:val="44"/>
      <w:sz w:val="32"/>
      <w:szCs w:val="22"/>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uiPriority w:val="1"/>
  </w:style>
  <w:style w:type="table" w:default="1" w:styleId="14">
    <w:name w:val="Normal Table"/>
    <w:semiHidden/>
    <w:unhideWhenUsed/>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2"/>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0"/>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qFormat/>
    <w:uiPriority w:val="0"/>
    <w:rPr>
      <w:b/>
      <w:bCs/>
    </w:rPr>
  </w:style>
  <w:style w:type="paragraph" w:styleId="12">
    <w:name w:val="Body Text First Indent"/>
    <w:basedOn w:val="6"/>
    <w:qFormat/>
    <w:uiPriority w:val="0"/>
    <w:pPr>
      <w:spacing w:after="0"/>
      <w:ind w:firstLine="200" w:firstLineChars="200"/>
    </w:pPr>
  </w:style>
  <w:style w:type="paragraph" w:styleId="13">
    <w:name w:val="Body Text First Indent 2"/>
    <w:basedOn w:val="7"/>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5"/>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paragraph" w:styleId="24">
    <w:name w:val="List Paragraph"/>
    <w:basedOn w:val="1"/>
    <w:qFormat/>
    <w:uiPriority w:val="34"/>
    <w:pPr>
      <w:ind w:firstLine="420" w:firstLineChars="200"/>
    </w:pPr>
    <w:rPr>
      <w:rFonts w:asciiTheme="minorHAnsi" w:hAnsiTheme="minorHAnsi" w:eastAsiaTheme="minorEastAsia" w:cstheme="minorBid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1750</Words>
  <Characters>9978</Characters>
  <Lines>83</Lines>
  <Paragraphs>23</Paragraphs>
  <TotalTime>4</TotalTime>
  <ScaleCrop>false</ScaleCrop>
  <LinksUpToDate>false</LinksUpToDate>
  <CharactersWithSpaces>11705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2024-10-15T04:27:36Z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69CEF0653A0A4B72B52CBE8F3B8788A4_13</vt:lpwstr>
  </property>
</Properties>
</file>