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auto"/>
          <w:kern w:val="0"/>
          <w:sz w:val="52"/>
          <w:szCs w:val="52"/>
          <w:highlight w:val="none"/>
        </w:rPr>
      </w:pPr>
      <w:bookmarkStart w:id="9" w:name="_GoBack"/>
    </w:p>
    <w:p>
      <w:pPr>
        <w:spacing w:line="540" w:lineRule="exact"/>
        <w:rPr>
          <w:rFonts w:eastAsia="华文中宋"/>
          <w:b/>
          <w:color w:val="auto"/>
          <w:kern w:val="0"/>
          <w:sz w:val="52"/>
          <w:szCs w:val="52"/>
          <w:highlight w:val="none"/>
        </w:rPr>
      </w:pPr>
    </w:p>
    <w:p>
      <w:pPr>
        <w:spacing w:line="540" w:lineRule="exact"/>
        <w:jc w:val="center"/>
        <w:rPr>
          <w:rFonts w:eastAsia="华文中宋"/>
          <w:b/>
          <w:color w:val="auto"/>
          <w:kern w:val="0"/>
          <w:sz w:val="52"/>
          <w:szCs w:val="52"/>
          <w:highlight w:val="none"/>
        </w:rPr>
      </w:pPr>
    </w:p>
    <w:p>
      <w:pPr>
        <w:spacing w:line="540" w:lineRule="exact"/>
        <w:jc w:val="center"/>
        <w:rPr>
          <w:rFonts w:eastAsia="华文中宋"/>
          <w:b/>
          <w:color w:val="auto"/>
          <w:kern w:val="0"/>
          <w:sz w:val="52"/>
          <w:szCs w:val="52"/>
          <w:highlight w:val="none"/>
        </w:rPr>
      </w:pPr>
    </w:p>
    <w:p>
      <w:pPr>
        <w:pStyle w:val="2"/>
        <w:bidi w:val="0"/>
        <w:jc w:val="center"/>
        <w:rPr>
          <w:color w:val="auto"/>
          <w:highlight w:val="none"/>
        </w:rPr>
      </w:pPr>
      <w:r>
        <w:rPr>
          <w:rFonts w:hint="eastAsia"/>
          <w:color w:val="auto"/>
          <w:highlight w:val="none"/>
          <w:lang w:val="en-US" w:eastAsia="zh-CN"/>
        </w:rPr>
        <w:t>昌吉州奇台县开垦河老奇台镇牛王宫村段中小河流治理工程</w:t>
      </w:r>
      <w:r>
        <w:rPr>
          <w:color w:val="auto"/>
          <w:highlight w:val="none"/>
        </w:rPr>
        <w:t>资金项目支出绩效评价报告</w:t>
      </w:r>
    </w:p>
    <w:p>
      <w:pPr>
        <w:spacing w:line="540" w:lineRule="exact"/>
        <w:jc w:val="center"/>
        <w:rPr>
          <w:rFonts w:eastAsia="华文中宋"/>
          <w:b/>
          <w:color w:val="auto"/>
          <w:kern w:val="0"/>
          <w:sz w:val="52"/>
          <w:szCs w:val="52"/>
          <w:highlight w:val="none"/>
        </w:rPr>
      </w:pPr>
    </w:p>
    <w:p>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spacing w:line="540" w:lineRule="exact"/>
        <w:jc w:val="center"/>
        <w:rPr>
          <w:rFonts w:eastAsia="仿宋_GB2312"/>
          <w:color w:val="auto"/>
          <w:kern w:val="0"/>
          <w:sz w:val="30"/>
          <w:szCs w:val="30"/>
          <w:highlight w:val="none"/>
        </w:rPr>
      </w:pPr>
    </w:p>
    <w:p>
      <w:pPr>
        <w:pStyle w:val="11"/>
        <w:rPr>
          <w:color w:val="auto"/>
          <w:highlight w:val="none"/>
        </w:rPr>
      </w:pPr>
    </w:p>
    <w:p>
      <w:pPr>
        <w:spacing w:line="540" w:lineRule="exact"/>
        <w:jc w:val="center"/>
        <w:rPr>
          <w:rFonts w:eastAsia="仿宋_GB2312"/>
          <w:color w:val="auto"/>
          <w:kern w:val="0"/>
          <w:sz w:val="30"/>
          <w:szCs w:val="30"/>
          <w:highlight w:val="none"/>
        </w:rPr>
      </w:pPr>
    </w:p>
    <w:p>
      <w:pPr>
        <w:spacing w:line="540" w:lineRule="exact"/>
        <w:rPr>
          <w:rFonts w:eastAsia="仿宋_GB2312"/>
          <w:color w:val="auto"/>
          <w:kern w:val="0"/>
          <w:sz w:val="30"/>
          <w:szCs w:val="30"/>
          <w:highlight w:val="none"/>
        </w:rPr>
      </w:pPr>
    </w:p>
    <w:p>
      <w:pPr>
        <w:spacing w:line="700" w:lineRule="exact"/>
        <w:ind w:firstLine="1440" w:firstLineChars="400"/>
        <w:jc w:val="left"/>
        <w:rPr>
          <w:rFonts w:hint="eastAsia" w:ascii="方正小标宋_GBK" w:hAnsi="方正小标宋_GBK" w:eastAsia="方正小标宋_GBK" w:cs="方正小标宋_GBK"/>
          <w:color w:val="auto"/>
          <w:sz w:val="44"/>
          <w:szCs w:val="44"/>
          <w:highlight w:val="none"/>
          <w:lang w:val="en-US"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val="en-US" w:eastAsia="zh-CN"/>
        </w:rPr>
        <w:t>昌吉州</w:t>
      </w:r>
      <w:r>
        <w:rPr>
          <w:rFonts w:hint="eastAsia" w:ascii="Times New Roman" w:hAnsi="Times New Roman" w:eastAsia="仿宋_GB2312" w:cs="Times New Roman"/>
          <w:color w:val="auto"/>
          <w:kern w:val="0"/>
          <w:sz w:val="36"/>
          <w:szCs w:val="36"/>
          <w:highlight w:val="none"/>
          <w:lang w:val="en-US" w:eastAsia="zh-CN"/>
        </w:rPr>
        <w:t>奇台县开垦河老奇台镇牛王宫村段中小河流治理工程</w:t>
      </w:r>
    </w:p>
    <w:p>
      <w:pPr>
        <w:spacing w:line="700" w:lineRule="exact"/>
        <w:ind w:firstLine="1440" w:firstLineChars="400"/>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val="en-US" w:eastAsia="zh-CN"/>
        </w:rPr>
        <w:t>奇台县水利工程建设管理中心</w:t>
      </w:r>
    </w:p>
    <w:p>
      <w:pPr>
        <w:spacing w:line="700" w:lineRule="exact"/>
        <w:ind w:firstLine="1440" w:firstLineChars="400"/>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主管部门（公章）：</w:t>
      </w:r>
      <w:r>
        <w:rPr>
          <w:rFonts w:hint="eastAsia" w:eastAsia="仿宋_GB2312"/>
          <w:color w:val="auto"/>
          <w:kern w:val="0"/>
          <w:sz w:val="36"/>
          <w:szCs w:val="36"/>
          <w:highlight w:val="none"/>
          <w:lang w:val="en-US" w:eastAsia="zh-CN"/>
        </w:rPr>
        <w:t>奇台县水利局</w:t>
      </w:r>
    </w:p>
    <w:p>
      <w:pPr>
        <w:spacing w:line="700" w:lineRule="exact"/>
        <w:ind w:firstLine="1440" w:firstLineChars="400"/>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val="en-US" w:eastAsia="zh-CN"/>
        </w:rPr>
        <w:t>王宏庆</w:t>
      </w:r>
    </w:p>
    <w:p>
      <w:pPr>
        <w:spacing w:line="700" w:lineRule="exact"/>
        <w:ind w:firstLine="1440" w:firstLineChars="400"/>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16</w:t>
      </w:r>
      <w:r>
        <w:rPr>
          <w:rFonts w:eastAsia="仿宋_GB2312"/>
          <w:color w:val="auto"/>
          <w:kern w:val="0"/>
          <w:sz w:val="36"/>
          <w:szCs w:val="36"/>
          <w:highlight w:val="none"/>
        </w:rPr>
        <w:t>日</w:t>
      </w:r>
    </w:p>
    <w:p>
      <w:pPr>
        <w:spacing w:line="560" w:lineRule="exact"/>
        <w:rPr>
          <w:rFonts w:eastAsia="黑体"/>
          <w:bCs/>
          <w:color w:val="auto"/>
          <w:sz w:val="32"/>
          <w:szCs w:val="32"/>
          <w:highlight w:val="none"/>
        </w:rPr>
        <w:sectPr>
          <w:footerReference r:id="rId3" w:type="default"/>
          <w:pgSz w:w="11906" w:h="16838"/>
          <w:pgMar w:top="1440" w:right="1558" w:bottom="1440" w:left="1531" w:header="851" w:footer="992" w:gutter="0"/>
          <w:cols w:space="0" w:num="1"/>
          <w:rtlGutter w:val="0"/>
          <w:docGrid w:type="lines" w:linePitch="312" w:charSpace="0"/>
        </w:sectPr>
      </w:pPr>
    </w:p>
    <w:p>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pPr>
        <w:spacing w:line="560" w:lineRule="exact"/>
        <w:ind w:firstLine="640" w:firstLineChars="200"/>
        <w:rPr>
          <w:rStyle w:val="17"/>
          <w:rFonts w:hint="eastAsia" w:eastAsia="黑体"/>
          <w:b w:val="0"/>
          <w:bCs/>
          <w:color w:val="auto"/>
          <w:spacing w:val="-4"/>
          <w:sz w:val="32"/>
          <w:szCs w:val="32"/>
          <w:highlight w:val="none"/>
          <w:lang w:eastAsia="zh-CN"/>
        </w:rPr>
      </w:pPr>
      <w:r>
        <w:rPr>
          <w:rFonts w:hint="eastAsia" w:ascii="仿宋" w:hAnsi="仿宋" w:eastAsia="仿宋" w:cs="仿宋"/>
          <w:color w:val="auto"/>
          <w:kern w:val="0"/>
          <w:sz w:val="32"/>
          <w:szCs w:val="32"/>
          <w:highlight w:val="none"/>
          <w:lang w:val="en-US" w:eastAsia="zh-CN"/>
        </w:rPr>
        <w:t>开垦河是奇台县第一大河，为奇台县提供了丰富的水资源，同时奇台县也是全国粮食产量大县，随着近年来大范围土地进行了耕种措施，开垦河下游河道宽度逐渐变窄，严重影响河道行洪。为保护开垦河老奇台镇牛王宫村段3.2万亩耕地、0.8万人口及农民房屋、交通道路、沿途各种基础设施、人民的生命财产及历史文物安全，使河道沿岸耕地设计防洪标准达到10年一遇。由昌吉州发改委立项批复（昌州发改农发[2022]3号）建设开垦河老奇台镇牛王宫村段护岸。本次工程设计</w:t>
      </w:r>
      <w:r>
        <w:rPr>
          <w:rFonts w:hint="eastAsia" w:ascii="仿宋" w:hAnsi="仿宋" w:eastAsia="仿宋" w:cs="仿宋"/>
          <w:color w:val="auto"/>
          <w:kern w:val="0"/>
          <w:sz w:val="32"/>
          <w:szCs w:val="32"/>
          <w:highlight w:val="none"/>
          <w:lang w:val="zh-CN" w:eastAsia="zh-CN"/>
        </w:rPr>
        <w:t>洪水标准为</w:t>
      </w:r>
      <w:r>
        <w:rPr>
          <w:rFonts w:hint="eastAsia" w:ascii="仿宋" w:hAnsi="仿宋" w:eastAsia="仿宋" w:cs="仿宋"/>
          <w:color w:val="auto"/>
          <w:kern w:val="0"/>
          <w:sz w:val="32"/>
          <w:szCs w:val="32"/>
          <w:highlight w:val="none"/>
          <w:lang w:val="en-US" w:eastAsia="zh-CN"/>
        </w:rPr>
        <w:t>10年一遇，牛王宫6-4队公路桥上游段对应的洪峰流量为134m³/s，五马场乡公路桥上游段对应的洪峰流量为116m³/s，工程等别为Ⅴ等小（2）型，</w:t>
      </w:r>
      <w:r>
        <w:rPr>
          <w:rFonts w:hint="eastAsia" w:ascii="仿宋" w:hAnsi="仿宋" w:eastAsia="仿宋" w:cs="仿宋"/>
          <w:color w:val="auto"/>
          <w:kern w:val="0"/>
          <w:sz w:val="32"/>
          <w:szCs w:val="32"/>
          <w:highlight w:val="none"/>
          <w:lang w:val="zh-CN" w:eastAsia="zh-CN"/>
        </w:rPr>
        <w:t>主要建筑物</w:t>
      </w:r>
      <w:r>
        <w:rPr>
          <w:rFonts w:hint="eastAsia" w:ascii="仿宋" w:hAnsi="仿宋" w:eastAsia="仿宋" w:cs="仿宋"/>
          <w:color w:val="auto"/>
          <w:kern w:val="0"/>
          <w:sz w:val="32"/>
          <w:szCs w:val="32"/>
          <w:highlight w:val="none"/>
          <w:lang w:val="en-US" w:eastAsia="zh-CN"/>
        </w:rPr>
        <w:t>级别为5</w:t>
      </w:r>
      <w:r>
        <w:rPr>
          <w:rFonts w:hint="eastAsia" w:ascii="仿宋" w:hAnsi="仿宋" w:eastAsia="仿宋" w:cs="仿宋"/>
          <w:color w:val="auto"/>
          <w:kern w:val="0"/>
          <w:sz w:val="32"/>
          <w:szCs w:val="32"/>
          <w:highlight w:val="none"/>
          <w:lang w:val="zh-CN" w:eastAsia="zh-CN"/>
        </w:rPr>
        <w:t>级，次要建筑物</w:t>
      </w:r>
      <w:r>
        <w:rPr>
          <w:rFonts w:hint="eastAsia" w:ascii="仿宋" w:hAnsi="仿宋" w:eastAsia="仿宋" w:cs="仿宋"/>
          <w:color w:val="auto"/>
          <w:kern w:val="0"/>
          <w:sz w:val="32"/>
          <w:szCs w:val="32"/>
          <w:highlight w:val="none"/>
          <w:lang w:val="en-US" w:eastAsia="zh-CN"/>
        </w:rPr>
        <w:t>及</w:t>
      </w:r>
      <w:r>
        <w:rPr>
          <w:rFonts w:hint="eastAsia" w:ascii="仿宋" w:hAnsi="仿宋" w:eastAsia="仿宋" w:cs="仿宋"/>
          <w:color w:val="auto"/>
          <w:kern w:val="0"/>
          <w:sz w:val="32"/>
          <w:szCs w:val="32"/>
          <w:highlight w:val="none"/>
          <w:lang w:val="zh-CN" w:eastAsia="zh-CN"/>
        </w:rPr>
        <w:t>临时性建筑物</w:t>
      </w:r>
      <w:r>
        <w:rPr>
          <w:rFonts w:hint="eastAsia" w:ascii="仿宋" w:hAnsi="仿宋" w:eastAsia="仿宋" w:cs="仿宋"/>
          <w:color w:val="auto"/>
          <w:kern w:val="0"/>
          <w:sz w:val="32"/>
          <w:szCs w:val="32"/>
          <w:highlight w:val="none"/>
          <w:lang w:val="en-US" w:eastAsia="zh-CN"/>
        </w:rPr>
        <w:t>级别为</w:t>
      </w:r>
      <w:r>
        <w:rPr>
          <w:rFonts w:hint="eastAsia" w:ascii="仿宋" w:hAnsi="仿宋" w:eastAsia="仿宋" w:cs="仿宋"/>
          <w:color w:val="auto"/>
          <w:kern w:val="0"/>
          <w:sz w:val="32"/>
          <w:szCs w:val="32"/>
          <w:highlight w:val="none"/>
          <w:lang w:val="zh-CN" w:eastAsia="zh-CN"/>
        </w:rPr>
        <w:t>5级。</w:t>
      </w:r>
    </w:p>
    <w:p>
      <w:pPr>
        <w:pStyle w:val="11"/>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pPr>
        <w:spacing w:line="560" w:lineRule="exact"/>
        <w:ind w:firstLine="640" w:firstLineChars="20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kern w:val="0"/>
          <w:sz w:val="32"/>
          <w:szCs w:val="32"/>
          <w:highlight w:val="none"/>
          <w:lang w:val="en-US" w:eastAsia="zh-CN"/>
        </w:rPr>
        <w:t>项目主要内容：新建堤防11.218km，2023年5月底之前按照设计的要求对地基进行清理。对项目建设区域中树根、杂草、废渣、垃圾与其他障碍物的清理, 确保干净无误。</w:t>
      </w:r>
    </w:p>
    <w:p>
      <w:pPr>
        <w:spacing w:line="560" w:lineRule="exact"/>
        <w:ind w:firstLine="640" w:firstLineChars="200"/>
        <w:rPr>
          <w:color w:val="auto"/>
          <w:highlight w:val="none"/>
        </w:rPr>
      </w:pPr>
      <w:r>
        <w:rPr>
          <w:rFonts w:eastAsia="仿宋_GB2312"/>
          <w:color w:val="auto"/>
          <w:sz w:val="32"/>
          <w:szCs w:val="32"/>
          <w:highlight w:val="none"/>
        </w:rPr>
        <w:t>项目实施情况：项目目前已经完成实际设立的目标</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完成</w:t>
      </w:r>
      <w:r>
        <w:rPr>
          <w:rFonts w:hint="eastAsia" w:ascii="仿宋" w:hAnsi="仿宋" w:eastAsia="仿宋" w:cs="仿宋"/>
          <w:color w:val="auto"/>
          <w:kern w:val="0"/>
          <w:sz w:val="32"/>
          <w:szCs w:val="32"/>
          <w:highlight w:val="none"/>
          <w:lang w:val="en-US" w:eastAsia="zh-CN"/>
        </w:rPr>
        <w:t>新建堤防11.218km</w:t>
      </w:r>
      <w:r>
        <w:rPr>
          <w:rFonts w:hint="eastAsia" w:ascii="仿宋" w:hAnsi="仿宋" w:eastAsia="仿宋" w:cs="仿宋"/>
          <w:color w:val="auto"/>
          <w:kern w:val="0"/>
          <w:sz w:val="32"/>
          <w:szCs w:val="32"/>
          <w:highlight w:val="none"/>
          <w:lang w:val="zh-CN" w:eastAsia="zh-CN"/>
        </w:rPr>
        <w:t>。</w:t>
      </w:r>
      <w:r>
        <w:rPr>
          <w:rFonts w:eastAsia="仿宋_GB2312"/>
          <w:color w:val="auto"/>
          <w:sz w:val="32"/>
          <w:szCs w:val="32"/>
          <w:highlight w:val="none"/>
        </w:rPr>
        <w:t>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该项目年初预算数1276万元，全年预算数1276万元，实际总投入1822.71万元，该项目资金已全部落实到位，资金来源为中央预算内资金。</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该项目年初预算数1276万元，全年预算数1276万元,，全年执行数1276万元，预算执行率为100%，主要用于：</w:t>
      </w:r>
      <w:r>
        <w:rPr>
          <w:rFonts w:hint="eastAsia" w:ascii="仿宋" w:hAnsi="仿宋" w:eastAsia="仿宋" w:cs="仿宋"/>
          <w:color w:val="auto"/>
          <w:kern w:val="0"/>
          <w:sz w:val="32"/>
          <w:szCs w:val="32"/>
          <w:highlight w:val="none"/>
          <w:lang w:val="en-US" w:eastAsia="zh-CN"/>
        </w:rPr>
        <w:t>新建堤防11.218km</w:t>
      </w:r>
      <w:r>
        <w:rPr>
          <w:rFonts w:hint="eastAsia" w:ascii="仿宋" w:hAnsi="仿宋" w:eastAsia="仿宋" w:cs="仿宋"/>
          <w:color w:val="auto"/>
          <w:kern w:val="0"/>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pPr>
        <w:spacing w:line="560" w:lineRule="exact"/>
        <w:ind w:firstLine="640" w:firstLineChars="200"/>
        <w:rPr>
          <w:rFonts w:hint="eastAsia" w:eastAsia="仿宋_GB2312"/>
          <w:color w:val="auto"/>
          <w:sz w:val="32"/>
          <w:szCs w:val="32"/>
          <w:highlight w:val="none"/>
          <w:lang w:eastAsia="zh-CN"/>
        </w:rPr>
      </w:pPr>
      <w:r>
        <w:rPr>
          <w:rFonts w:hint="eastAsia" w:eastAsia="仿宋_GB2312"/>
          <w:color w:val="auto"/>
          <w:sz w:val="32"/>
          <w:szCs w:val="32"/>
          <w:highlight w:val="none"/>
        </w:rPr>
        <w:t>奇台县开垦河老奇台镇牛王宫村段中小河流治理工程</w:t>
      </w:r>
      <w:r>
        <w:rPr>
          <w:rFonts w:hint="eastAsia" w:eastAsia="仿宋_GB2312"/>
          <w:color w:val="auto"/>
          <w:sz w:val="32"/>
          <w:szCs w:val="32"/>
          <w:highlight w:val="none"/>
          <w:lang w:val="en-US" w:eastAsia="zh-CN"/>
        </w:rPr>
        <w:t>年度预期</w:t>
      </w:r>
      <w:r>
        <w:rPr>
          <w:rFonts w:hint="eastAsia" w:eastAsia="仿宋_GB2312"/>
          <w:color w:val="auto"/>
          <w:sz w:val="32"/>
          <w:szCs w:val="32"/>
          <w:highlight w:val="none"/>
        </w:rPr>
        <w:t>目标：工程</w:t>
      </w:r>
      <w:r>
        <w:rPr>
          <w:rFonts w:hint="eastAsia" w:eastAsia="仿宋_GB2312"/>
          <w:color w:val="auto"/>
          <w:sz w:val="32"/>
          <w:szCs w:val="32"/>
          <w:highlight w:val="none"/>
          <w:lang w:val="en-US" w:eastAsia="zh-CN"/>
        </w:rPr>
        <w:t>新建堤防</w:t>
      </w:r>
      <w:r>
        <w:rPr>
          <w:rFonts w:hint="eastAsia" w:eastAsia="仿宋_GB2312"/>
          <w:color w:val="auto"/>
          <w:sz w:val="32"/>
          <w:szCs w:val="32"/>
          <w:highlight w:val="none"/>
        </w:rPr>
        <w:t>总长度11.218km</w:t>
      </w:r>
      <w:r>
        <w:rPr>
          <w:rFonts w:hint="eastAsia" w:eastAsia="仿宋_GB2312"/>
          <w:color w:val="auto"/>
          <w:sz w:val="32"/>
          <w:szCs w:val="32"/>
          <w:highlight w:val="none"/>
          <w:lang w:eastAsia="zh-CN"/>
        </w:rPr>
        <w:t>。</w:t>
      </w:r>
    </w:p>
    <w:p>
      <w:pPr>
        <w:spacing w:line="560" w:lineRule="exact"/>
        <w:ind w:firstLine="640" w:firstLineChars="200"/>
        <w:rPr>
          <w:rFonts w:hint="eastAsia" w:eastAsia="仿宋_GB2312"/>
          <w:color w:val="auto"/>
          <w:sz w:val="32"/>
          <w:szCs w:val="32"/>
          <w:highlight w:val="none"/>
          <w:lang w:val="en-US" w:eastAsia="zh-CN"/>
        </w:rPr>
      </w:pPr>
      <w:r>
        <w:rPr>
          <w:rFonts w:eastAsia="仿宋_GB2312"/>
          <w:color w:val="auto"/>
          <w:sz w:val="32"/>
          <w:szCs w:val="32"/>
          <w:highlight w:val="none"/>
        </w:rPr>
        <w:t>2、阶段性目标</w:t>
      </w:r>
    </w:p>
    <w:p>
      <w:pPr>
        <w:spacing w:line="560" w:lineRule="exact"/>
        <w:ind w:firstLine="640" w:firstLineChars="200"/>
        <w:rPr>
          <w:rFonts w:hint="default" w:eastAsia="仿宋_GB2312"/>
          <w:color w:val="auto"/>
          <w:sz w:val="32"/>
          <w:szCs w:val="32"/>
          <w:highlight w:val="none"/>
          <w:lang w:val="en-US" w:eastAsia="zh-CN"/>
        </w:rPr>
      </w:pPr>
      <w:r>
        <w:rPr>
          <w:rFonts w:hint="eastAsia" w:eastAsia="仿宋_GB2312"/>
          <w:color w:val="auto"/>
          <w:sz w:val="32"/>
          <w:szCs w:val="32"/>
          <w:highlight w:val="none"/>
        </w:rPr>
        <w:t>奇台县开垦河老奇台镇牛王宫村段中小河流治理工程</w:t>
      </w:r>
      <w:r>
        <w:rPr>
          <w:rFonts w:hint="eastAsia" w:eastAsia="仿宋_GB2312"/>
          <w:color w:val="auto"/>
          <w:sz w:val="32"/>
          <w:szCs w:val="32"/>
          <w:highlight w:val="none"/>
          <w:lang w:val="en-US" w:eastAsia="zh-CN"/>
        </w:rPr>
        <w:t>主要建设内容是新建堤防11.218Km，2023年5月底之前按照设计的要求对地基进行清理。对项目建设区域中树根、杂草、废渣、垃圾与其他障碍物的清理, 确保干净无误。2023年6月开始渠基开挖、渠基填筑、渠道护坡、渠顶、高边坡处理、渠系建筑物、混凝土垫层等处理工作，完成新建堤防5.2km，2023年7月完成2.8Km，2023年8月底完成3.218Km，顺利完成全部建设内容。</w:t>
      </w:r>
    </w:p>
    <w:p>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pPr>
        <w:pStyle w:val="20"/>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eastAsia="仿宋_GB2312" w:cs="Times New Roman"/>
          <w:color w:val="auto"/>
          <w:kern w:val="0"/>
          <w:sz w:val="32"/>
          <w:szCs w:val="32"/>
          <w:highlight w:val="none"/>
          <w:lang w:val="en-US" w:eastAsia="zh-CN" w:bidi="ar-SA"/>
        </w:rPr>
        <w:t>昌吉州</w:t>
      </w:r>
      <w:r>
        <w:rPr>
          <w:rFonts w:hint="eastAsia" w:ascii="Times New Roman" w:hAnsi="Times New Roman" w:eastAsia="仿宋_GB2312" w:cs="Times New Roman"/>
          <w:color w:val="auto"/>
          <w:kern w:val="0"/>
          <w:sz w:val="32"/>
          <w:szCs w:val="32"/>
          <w:highlight w:val="none"/>
          <w:lang w:val="en-US" w:eastAsia="zh-CN" w:bidi="ar-SA"/>
        </w:rPr>
        <w:t>奇台县开垦河老奇台镇牛王宫村段中小河流治理工程</w:t>
      </w:r>
      <w:r>
        <w:rPr>
          <w:rFonts w:hint="eastAsia" w:ascii="仿宋_GB2312" w:hAnsi="仿宋_GB2312" w:eastAsia="仿宋_GB2312" w:cs="仿宋_GB2312"/>
          <w:color w:val="auto"/>
          <w:sz w:val="32"/>
          <w:szCs w:val="32"/>
          <w:highlight w:val="none"/>
        </w:rPr>
        <w:t>项目所包含的全部项目内容。</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奇台县开垦河老奇台镇牛王宫村段中小河流治理工程项目进行评价，评价核心为专项资金的支出完成情况和效果。</w:t>
      </w:r>
    </w:p>
    <w:p>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pPr>
        <w:pStyle w:val="11"/>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pPr>
        <w:pStyle w:val="11"/>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11"/>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pPr>
        <w:pStyle w:val="11"/>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1"/>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1"/>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pPr>
        <w:pStyle w:val="11"/>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w:t>
      </w:r>
      <w:r>
        <w:rPr>
          <w:rFonts w:hint="eastAsia" w:eastAsia="仿宋_GB2312"/>
          <w:color w:val="auto"/>
          <w:spacing w:val="17"/>
          <w:sz w:val="32"/>
          <w:szCs w:val="32"/>
          <w:highlight w:val="none"/>
        </w:rPr>
        <w:t>标准。</w:t>
      </w:r>
    </w:p>
    <w:p>
      <w:pPr>
        <w:spacing w:line="560" w:lineRule="exact"/>
        <w:ind w:firstLine="708" w:firstLineChars="200"/>
        <w:rPr>
          <w:rFonts w:eastAsia="仿宋_GB2312"/>
          <w:color w:val="auto"/>
          <w:spacing w:val="17"/>
          <w:sz w:val="32"/>
          <w:szCs w:val="32"/>
          <w:highlight w:val="none"/>
        </w:rPr>
      </w:pPr>
      <w:bookmarkStart w:id="0" w:name="_Toc31464"/>
      <w:bookmarkStart w:id="1" w:name="_Toc17882"/>
      <w:r>
        <w:rPr>
          <w:rFonts w:hint="eastAsia" w:eastAsia="仿宋_GB2312"/>
          <w:color w:val="auto"/>
          <w:spacing w:val="17"/>
          <w:sz w:val="32"/>
          <w:szCs w:val="32"/>
          <w:highlight w:val="none"/>
        </w:rPr>
        <w:t>计划标准：指以预先制定的目标、计划、预算、定额等作为评价标准。</w:t>
      </w:r>
      <w:bookmarkEnd w:id="0"/>
      <w:bookmarkEnd w:id="1"/>
    </w:p>
    <w:p>
      <w:pPr>
        <w:spacing w:line="560" w:lineRule="exact"/>
        <w:ind w:firstLine="708" w:firstLineChars="200"/>
        <w:rPr>
          <w:rFonts w:eastAsia="仿宋_GB2312"/>
          <w:color w:val="auto"/>
          <w:spacing w:val="17"/>
          <w:sz w:val="32"/>
          <w:szCs w:val="32"/>
          <w:highlight w:val="none"/>
        </w:rPr>
      </w:pPr>
      <w:bookmarkStart w:id="2" w:name="_Toc2318"/>
      <w:bookmarkStart w:id="3" w:name="_Toc5633"/>
      <w:r>
        <w:rPr>
          <w:rFonts w:hint="eastAsia" w:eastAsia="仿宋_GB2312"/>
          <w:color w:val="auto"/>
          <w:spacing w:val="17"/>
          <w:sz w:val="32"/>
          <w:szCs w:val="32"/>
          <w:highlight w:val="none"/>
        </w:rPr>
        <w:t>行业标准：指参照国家公布的行业指标数据制定的评价标准。</w:t>
      </w:r>
      <w:bookmarkEnd w:id="2"/>
      <w:bookmarkEnd w:id="3"/>
    </w:p>
    <w:p>
      <w:pPr>
        <w:spacing w:line="560" w:lineRule="exact"/>
        <w:ind w:firstLine="708" w:firstLineChars="200"/>
        <w:rPr>
          <w:rFonts w:eastAsia="方正仿宋_GBK" w:cs="方正仿宋_GBK"/>
          <w:color w:val="auto"/>
          <w:sz w:val="32"/>
          <w:szCs w:val="32"/>
          <w:highlight w:val="none"/>
        </w:rPr>
      </w:pPr>
      <w:bookmarkStart w:id="4" w:name="_Toc16028"/>
      <w:bookmarkStart w:id="5" w:name="_Toc430"/>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pPr>
        <w:pStyle w:val="11"/>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pPr>
        <w:pStyle w:val="11"/>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 xml:space="preserve">总得分为 </w:t>
      </w:r>
      <w:r>
        <w:rPr>
          <w:rFonts w:hint="eastAsia" w:ascii="Times New Roman" w:hAnsi="Times New Roman" w:eastAsia="仿宋_GB2312"/>
          <w:b w:val="0"/>
          <w:bCs w:val="0"/>
          <w:color w:val="auto"/>
          <w:highlight w:val="none"/>
          <w:lang w:val="en-US" w:eastAsia="zh-CN"/>
        </w:rPr>
        <w:t>95</w:t>
      </w:r>
      <w:r>
        <w:rPr>
          <w:rFonts w:hint="eastAsia" w:ascii="Times New Roman" w:hAnsi="Times New Roman" w:eastAsia="仿宋_GB2312"/>
          <w:b w:val="0"/>
          <w:bCs w:val="0"/>
          <w:color w:val="auto"/>
          <w:highlight w:val="none"/>
        </w:rPr>
        <w:t>分，属于“</w:t>
      </w:r>
      <w:r>
        <w:rPr>
          <w:rFonts w:hint="eastAsia" w:ascii="Times New Roman" w:hAnsi="Times New Roman" w:eastAsia="仿宋_GB2312"/>
          <w:b w:val="0"/>
          <w:bCs w:val="0"/>
          <w:color w:val="auto"/>
          <w:highlight w:val="none"/>
          <w:lang w:val="en-US" w:eastAsia="zh-CN"/>
        </w:rPr>
        <w:t>优</w:t>
      </w:r>
      <w:r>
        <w:rPr>
          <w:rFonts w:hint="eastAsia" w:ascii="Times New Roman" w:hAnsi="Times New Roman" w:eastAsia="仿宋_GB2312"/>
          <w:b w:val="0"/>
          <w:bCs w:val="0"/>
          <w:color w:val="auto"/>
          <w:highlight w:val="none"/>
        </w:rPr>
        <w:t xml:space="preserve">”。其中，项目决策类指标权重为20分，得分为 </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%。项目产出类指标权重为</w:t>
      </w:r>
      <w:r>
        <w:rPr>
          <w:rFonts w:hint="eastAsia" w:ascii="Times New Roman" w:hAnsi="Times New Roman" w:eastAsia="仿宋_GB2312"/>
          <w:b w:val="0"/>
          <w:bCs w:val="0"/>
          <w:color w:val="auto"/>
          <w:highlight w:val="none"/>
          <w:lang w:val="en-US" w:eastAsia="zh-CN"/>
        </w:rPr>
        <w:t>40</w:t>
      </w:r>
      <w:r>
        <w:rPr>
          <w:rFonts w:hint="eastAsia" w:ascii="Times New Roman" w:hAnsi="Times New Roman" w:eastAsia="仿宋_GB2312"/>
          <w:b w:val="0"/>
          <w:bCs w:val="0"/>
          <w:color w:val="auto"/>
          <w:highlight w:val="none"/>
        </w:rPr>
        <w:t>分，得分为</w:t>
      </w:r>
      <w:r>
        <w:rPr>
          <w:rFonts w:hint="eastAsia" w:ascii="Times New Roman" w:hAnsi="Times New Roman" w:eastAsia="仿宋_GB2312"/>
          <w:b w:val="0"/>
          <w:bCs w:val="0"/>
          <w:color w:val="auto"/>
          <w:highlight w:val="none"/>
          <w:lang w:val="en-US" w:eastAsia="zh-CN"/>
        </w:rPr>
        <w:t>35</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87.5</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p>
    <w:p>
      <w:pPr>
        <w:pStyle w:val="11"/>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highlight w:val="none"/>
              </w:rPr>
            </w:pPr>
            <w:r>
              <w:rPr>
                <w:rFonts w:hint="eastAsia"/>
                <w:b/>
                <w:bCs/>
                <w:color w:val="auto"/>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auto"/>
                <w:sz w:val="22"/>
                <w:highlight w:val="none"/>
                <w:lang w:val="en-US" w:eastAsia="zh-CN"/>
              </w:rPr>
            </w:pPr>
            <w:r>
              <w:rPr>
                <w:rFonts w:hint="eastAsia"/>
                <w:b/>
                <w:bCs/>
                <w:color w:val="auto"/>
                <w:sz w:val="22"/>
                <w:highlight w:val="none"/>
                <w:lang w:val="en-US" w:eastAsia="zh-CN"/>
              </w:rPr>
              <w:t>90</w:t>
            </w:r>
          </w:p>
        </w:tc>
      </w:tr>
    </w:tbl>
    <w:p>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pPr>
        <w:pStyle w:val="11"/>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项目决策类指标包括项目立项、绩效目标和资金投入三方面的内容，由6个三级指标构成，权重分值为20分，实际得分20分，得分率为100%。</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w:t>
      </w:r>
      <w:r>
        <w:rPr>
          <w:rFonts w:hint="eastAsia" w:ascii="仿宋_GB2312" w:hAnsi="仿宋_GB2312" w:eastAsia="仿宋_GB2312" w:cs="仿宋_GB2312"/>
          <w:color w:val="auto"/>
          <w:sz w:val="32"/>
          <w:szCs w:val="32"/>
          <w:highlight w:val="none"/>
          <w:lang w:val="en-US" w:eastAsia="zh-CN"/>
        </w:rPr>
        <w:t>估</w:t>
      </w:r>
      <w:r>
        <w:rPr>
          <w:rFonts w:hint="eastAsia" w:ascii="仿宋_GB2312" w:hAnsi="仿宋_GB2312" w:eastAsia="仿宋_GB2312" w:cs="仿宋_GB2312"/>
          <w:color w:val="auto"/>
          <w:sz w:val="32"/>
          <w:szCs w:val="32"/>
          <w:highlight w:val="none"/>
          <w:lang w:val="en-US" w:eastAsia="zh-CN"/>
        </w:rPr>
        <w:t>、集体决策，保障了程</w:t>
      </w:r>
      <w:r>
        <w:rPr>
          <w:rFonts w:hint="eastAsia" w:ascii="仿宋_GB2312" w:hAnsi="仿宋_GB2312" w:eastAsia="仿宋_GB2312" w:cs="仿宋_GB2312"/>
          <w:color w:val="auto"/>
          <w:sz w:val="32"/>
          <w:szCs w:val="32"/>
          <w:highlight w:val="none"/>
          <w:lang w:val="en-US" w:eastAsia="zh-CN"/>
        </w:rPr>
        <w:t>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pPr>
        <w:pStyle w:val="11"/>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w:t>
      </w:r>
      <w:r>
        <w:rPr>
          <w:rFonts w:hint="eastAsia" w:ascii="仿宋_GB2312" w:hAnsi="仿宋_GB2312" w:eastAsia="仿宋_GB2312" w:cs="仿宋_GB2312"/>
          <w:color w:val="auto"/>
          <w:sz w:val="32"/>
          <w:szCs w:val="32"/>
          <w:highlight w:val="none"/>
          <w:lang w:val="en-US" w:eastAsia="zh-CN"/>
        </w:rPr>
        <w:t>权重分值为20分，实际得分20分，得分率为100%。</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本项目总投资1276万元，财政资金及时足额到位，到位率100%，预算资金按计划进度执行。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w:t>
      </w:r>
      <w:r>
        <w:rPr>
          <w:rFonts w:hint="eastAsia" w:ascii="仿宋_GB2312" w:hAnsi="仿宋_GB2312" w:eastAsia="仿宋_GB2312" w:cs="仿宋_GB2312"/>
          <w:color w:val="auto"/>
          <w:sz w:val="32"/>
          <w:szCs w:val="32"/>
          <w:highlight w:val="none"/>
          <w:lang w:val="en-US" w:eastAsia="zh-CN"/>
        </w:rPr>
        <w:t>预算资金支出1276万元，预算执行率为100%。</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3"/>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项目产出类指标包括产出数量、产出质量、产出时效、成本指标四方面的内容，</w:t>
      </w:r>
      <w:r>
        <w:rPr>
          <w:rFonts w:hint="eastAsia" w:ascii="仿宋_GB2312" w:hAnsi="仿宋_GB2312" w:eastAsia="仿宋_GB2312" w:cs="仿宋_GB2312"/>
          <w:color w:val="auto"/>
          <w:sz w:val="32"/>
          <w:szCs w:val="32"/>
          <w:highlight w:val="none"/>
          <w:lang w:val="en-US" w:eastAsia="zh-CN"/>
        </w:rPr>
        <w:t>由5个三级指标构成，权重分为40分，实际得分35分，得分率为87.5%。具体产出指</w:t>
      </w:r>
      <w:r>
        <w:rPr>
          <w:rFonts w:hint="eastAsia" w:ascii="仿宋_GB2312" w:hAnsi="仿宋_GB2312" w:eastAsia="仿宋_GB2312" w:cs="仿宋_GB2312"/>
          <w:color w:val="auto"/>
          <w:sz w:val="32"/>
          <w:szCs w:val="32"/>
          <w:highlight w:val="none"/>
          <w:lang w:val="en-US" w:eastAsia="zh-CN"/>
        </w:rPr>
        <w:t>标完成情况如下：</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指标1：新建堤防，指标值：</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11.</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km，实际完成值：</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rPr>
        <w:t>11.2</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km，指标完成率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指标1：工程验收合格率</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指标1：项目项目开工时间，</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=2023年4月15日</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=2023年4月15日</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指标2：项目完工时间，</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=2023年8月15日</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2023年8月30日</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偏差原因：温度影响及资金未能及时到位，已在8月30日完成项目合同完工验收。</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经济成本指标</w:t>
      </w:r>
    </w:p>
    <w:p>
      <w:pPr>
        <w:pStyle w:val="11"/>
        <w:ind w:firstLine="640"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指标1：项目预算成本控制率，指标值：=100%，实际完成值：=100%，指标完成率100%。</w:t>
      </w:r>
    </w:p>
    <w:p>
      <w:pPr>
        <w:pStyle w:val="13"/>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项目效益类指标包括项目实施效益和满意度两方面的内容，</w:t>
      </w:r>
      <w:r>
        <w:rPr>
          <w:rFonts w:hint="eastAsia" w:ascii="仿宋_GB2312" w:hAnsi="仿宋_GB2312" w:eastAsia="仿宋_GB2312" w:cs="仿宋_GB2312"/>
          <w:color w:val="auto"/>
          <w:sz w:val="32"/>
          <w:szCs w:val="32"/>
          <w:highlight w:val="none"/>
          <w:lang w:val="en-US" w:eastAsia="zh-CN"/>
        </w:rPr>
        <w:t>由3个三级指标构成，权重分为20分，实际得分20分，得分率为100%。具</w:t>
      </w:r>
      <w:r>
        <w:rPr>
          <w:rFonts w:hint="eastAsia" w:ascii="仿宋_GB2312" w:hAnsi="仿宋_GB2312" w:eastAsia="仿宋_GB2312" w:cs="仿宋_GB2312"/>
          <w:color w:val="auto"/>
          <w:sz w:val="32"/>
          <w:szCs w:val="32"/>
          <w:highlight w:val="none"/>
          <w:lang w:val="en-US" w:eastAsia="zh-CN"/>
        </w:rPr>
        <w:t>体效益指标及满意度指标完成情况如下：</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1.效益指标</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经济</w:t>
      </w:r>
      <w:r>
        <w:rPr>
          <w:rFonts w:hint="default" w:ascii="仿宋_GB2312" w:hAnsi="仿宋_GB2312" w:eastAsia="仿宋_GB2312" w:cs="仿宋_GB2312"/>
          <w:color w:val="auto"/>
          <w:sz w:val="32"/>
          <w:szCs w:val="32"/>
          <w:highlight w:val="none"/>
          <w:lang w:val="en-US" w:eastAsia="zh-CN"/>
        </w:rPr>
        <w:t>效益指标</w:t>
      </w:r>
    </w:p>
    <w:p>
      <w:pPr>
        <w:shd w:val="clear"/>
        <w:spacing w:line="600" w:lineRule="exact"/>
        <w:ind w:firstLine="640" w:firstLineChars="200"/>
        <w:outlineLvl w:val="0"/>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指标1：正常运转率，指标值：≥95%，实际完成值：=95%，指标完成率100%。</w:t>
      </w:r>
    </w:p>
    <w:p>
      <w:pPr>
        <w:shd w:val="clear"/>
        <w:spacing w:line="600" w:lineRule="exact"/>
        <w:ind w:firstLine="640" w:firstLineChars="200"/>
        <w:outlineLvl w:val="0"/>
        <w:rPr>
          <w:rFonts w:hint="default"/>
          <w:color w:val="auto"/>
          <w:highlight w:val="none"/>
          <w:lang w:val="en-US" w:eastAsia="zh-CN"/>
        </w:rPr>
      </w:pPr>
      <w:r>
        <w:rPr>
          <w:rFonts w:hint="eastAsia" w:ascii="仿宋_GB2312" w:hAnsi="仿宋_GB2312" w:eastAsia="仿宋_GB2312" w:cs="仿宋_GB2312"/>
          <w:b w:val="0"/>
          <w:bCs w:val="0"/>
          <w:color w:val="auto"/>
          <w:kern w:val="2"/>
          <w:sz w:val="32"/>
          <w:szCs w:val="32"/>
          <w:highlight w:val="none"/>
          <w:lang w:val="en-US" w:eastAsia="zh-CN" w:bidi="ar-SA"/>
        </w:rPr>
        <w:t>社会</w:t>
      </w:r>
      <w:r>
        <w:rPr>
          <w:rFonts w:hint="default" w:ascii="仿宋_GB2312" w:hAnsi="仿宋_GB2312" w:eastAsia="仿宋_GB2312" w:cs="仿宋_GB2312"/>
          <w:color w:val="auto"/>
          <w:sz w:val="32"/>
          <w:szCs w:val="32"/>
          <w:highlight w:val="none"/>
          <w:lang w:val="en-US" w:eastAsia="zh-CN"/>
        </w:rPr>
        <w:t>效益指标</w:t>
      </w:r>
    </w:p>
    <w:p>
      <w:pPr>
        <w:pStyle w:val="11"/>
        <w:ind w:firstLine="640"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指标2：防护两岸农田基本设施，指标值：≥95%，实际完成值：=95%，指标完成率100%。</w:t>
      </w:r>
    </w:p>
    <w:p>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2.满意度指标</w:t>
      </w:r>
    </w:p>
    <w:p>
      <w:pPr>
        <w:pStyle w:val="11"/>
        <w:ind w:firstLine="640" w:firstLineChars="200"/>
        <w:jc w:val="left"/>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指标3：受益群众满意度，指标值：≥95%，实际完成值：=95%，指标完成率100%。</w:t>
      </w:r>
    </w:p>
    <w:p>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pPr>
        <w:keepNext w:val="0"/>
        <w:keepLines w:val="0"/>
        <w:pageBreakBefore w:val="0"/>
        <w:widowControl/>
        <w:kinsoku w:val="0"/>
        <w:wordWrap/>
        <w:overflowPunct/>
        <w:topLinePunct w:val="0"/>
        <w:autoSpaceDE w:val="0"/>
        <w:autoSpaceDN w:val="0"/>
        <w:bidi w:val="0"/>
        <w:adjustRightInd w:val="0"/>
        <w:snapToGrid w:val="0"/>
        <w:spacing w:before="87" w:line="560" w:lineRule="exact"/>
        <w:ind w:left="246" w:firstLine="640" w:firstLineChars="200"/>
        <w:textAlignment w:val="baseline"/>
        <w:rPr>
          <w:rFonts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奇台县</w:t>
      </w:r>
      <w:r>
        <w:rPr>
          <w:rFonts w:hint="eastAsia" w:eastAsia="仿宋_GB2312" w:cs="Times New Roman"/>
          <w:color w:val="auto"/>
          <w:kern w:val="2"/>
          <w:sz w:val="32"/>
          <w:szCs w:val="32"/>
          <w:highlight w:val="none"/>
          <w:lang w:val="en-US" w:eastAsia="zh-CN" w:bidi="ar-SA"/>
        </w:rPr>
        <w:t>2023年</w:t>
      </w:r>
      <w:r>
        <w:rPr>
          <w:rFonts w:hint="eastAsia" w:ascii="Times New Roman" w:hAnsi="Times New Roman" w:eastAsia="仿宋_GB2312" w:cs="Times New Roman"/>
          <w:color w:val="auto"/>
          <w:kern w:val="2"/>
          <w:sz w:val="32"/>
          <w:szCs w:val="32"/>
          <w:highlight w:val="none"/>
          <w:lang w:val="en-US" w:eastAsia="zh-CN" w:bidi="ar-SA"/>
        </w:rPr>
        <w:t>开垦河老奇台镇牛王宫村段中小河流治理工程项目年初预算</w:t>
      </w:r>
      <w:r>
        <w:rPr>
          <w:rFonts w:hint="eastAsia" w:eastAsia="仿宋_GB2312" w:cs="Times New Roman"/>
          <w:color w:val="auto"/>
          <w:kern w:val="2"/>
          <w:sz w:val="32"/>
          <w:szCs w:val="32"/>
          <w:highlight w:val="none"/>
          <w:lang w:val="en-US" w:eastAsia="zh-CN" w:bidi="ar-SA"/>
        </w:rPr>
        <w:t>1276</w:t>
      </w:r>
      <w:r>
        <w:rPr>
          <w:rFonts w:hint="eastAsia"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1276</w:t>
      </w:r>
      <w:r>
        <w:rPr>
          <w:rFonts w:hint="eastAsia" w:ascii="Times New Roman" w:hAnsi="Times New Roman" w:eastAsia="仿宋_GB2312" w:cs="Times New Roman"/>
          <w:color w:val="auto"/>
          <w:kern w:val="2"/>
          <w:sz w:val="32"/>
          <w:szCs w:val="32"/>
          <w:highlight w:val="none"/>
          <w:lang w:val="en-US" w:eastAsia="zh-CN" w:bidi="ar-SA"/>
        </w:rPr>
        <w:t>万元，实际支出</w:t>
      </w:r>
      <w:r>
        <w:rPr>
          <w:rFonts w:hint="eastAsia" w:eastAsia="仿宋_GB2312" w:cs="Times New Roman"/>
          <w:color w:val="auto"/>
          <w:kern w:val="2"/>
          <w:sz w:val="32"/>
          <w:szCs w:val="32"/>
          <w:highlight w:val="none"/>
          <w:lang w:val="en-US" w:eastAsia="zh-CN" w:bidi="ar-SA"/>
        </w:rPr>
        <w:t>1276</w:t>
      </w:r>
      <w:r>
        <w:rPr>
          <w:rFonts w:hint="eastAsia" w:ascii="Times New Roman" w:hAnsi="Times New Roman" w:eastAsia="仿宋_GB2312" w:cs="Times New Roman"/>
          <w:color w:val="auto"/>
          <w:kern w:val="2"/>
          <w:sz w:val="32"/>
          <w:szCs w:val="32"/>
          <w:highlight w:val="none"/>
          <w:lang w:val="en-US" w:eastAsia="zh-CN" w:bidi="ar-SA"/>
        </w:rPr>
        <w:t>万元，预算执行率为</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%，项目绩效指标总体完成率为</w:t>
      </w:r>
      <w:r>
        <w:rPr>
          <w:rFonts w:hint="eastAsia" w:eastAsia="仿宋_GB2312" w:cs="Times New Roman"/>
          <w:color w:val="auto"/>
          <w:kern w:val="2"/>
          <w:sz w:val="32"/>
          <w:szCs w:val="32"/>
          <w:highlight w:val="none"/>
          <w:lang w:val="en-US" w:eastAsia="zh-CN" w:bidi="ar-SA"/>
        </w:rPr>
        <w:t>87.5</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总体</w:t>
      </w:r>
      <w:r>
        <w:rPr>
          <w:rFonts w:hint="eastAsia"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12.5</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偏差</w:t>
      </w:r>
      <w:r>
        <w:rPr>
          <w:rFonts w:hint="eastAsia"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color w:val="auto"/>
          <w:kern w:val="2"/>
          <w:sz w:val="32"/>
          <w:szCs w:val="32"/>
          <w:highlight w:val="none"/>
          <w:lang w:val="en-US" w:eastAsia="zh-CN" w:bidi="ar-SA"/>
        </w:rPr>
        <w:t>：项目完工时间未按照指标完成</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改进</w:t>
      </w:r>
      <w:r>
        <w:rPr>
          <w:rFonts w:hint="eastAsia" w:ascii="Times New Roman" w:hAnsi="Times New Roman" w:eastAsia="仿宋_GB2312" w:cs="Times New Roman"/>
          <w:color w:val="auto"/>
          <w:kern w:val="2"/>
          <w:sz w:val="32"/>
          <w:szCs w:val="32"/>
          <w:highlight w:val="none"/>
          <w:lang w:val="en-US" w:eastAsia="zh-CN" w:bidi="ar-SA"/>
        </w:rPr>
        <w:t>措施</w:t>
      </w:r>
      <w:r>
        <w:rPr>
          <w:rFonts w:hint="eastAsia" w:eastAsia="仿宋_GB2312" w:cs="Times New Roman"/>
          <w:color w:val="auto"/>
          <w:kern w:val="2"/>
          <w:sz w:val="32"/>
          <w:szCs w:val="32"/>
          <w:highlight w:val="none"/>
          <w:lang w:val="en-US" w:eastAsia="zh-CN" w:bidi="ar-SA"/>
        </w:rPr>
        <w:t>：优化工作流程，加强资源调配</w:t>
      </w:r>
      <w:r>
        <w:rPr>
          <w:rFonts w:hint="eastAsia" w:ascii="Times New Roman" w:hAnsi="Times New Roman" w:eastAsia="仿宋_GB2312" w:cs="Times New Roman"/>
          <w:color w:val="auto"/>
          <w:kern w:val="2"/>
          <w:sz w:val="32"/>
          <w:szCs w:val="32"/>
          <w:highlight w:val="none"/>
          <w:lang w:val="en-US" w:eastAsia="zh-CN" w:bidi="ar-SA"/>
        </w:rPr>
        <w:t>。</w:t>
      </w:r>
    </w:p>
    <w:p>
      <w:pPr>
        <w:spacing w:line="560" w:lineRule="exact"/>
        <w:ind w:firstLine="640" w:firstLineChars="200"/>
        <w:rPr>
          <w:rStyle w:val="19"/>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1"/>
        <w:spacing w:before="0" w:after="0" w:line="560" w:lineRule="exact"/>
        <w:ind w:firstLine="640" w:firstLineChars="200"/>
        <w:jc w:val="left"/>
        <w:rPr>
          <w:rFonts w:hint="default" w:ascii="Times New Roman" w:hAnsi="Times New Roman" w:eastAsia="仿宋_GB2312"/>
          <w:b w:val="0"/>
          <w:bCs w:val="0"/>
          <w:color w:val="auto"/>
          <w:kern w:val="2"/>
          <w:highlight w:val="none"/>
          <w:lang w:val="en-US" w:eastAsia="zh-CN"/>
        </w:rPr>
      </w:pPr>
      <w:r>
        <w:rPr>
          <w:rFonts w:ascii="Times New Roman" w:hAnsi="Times New Roman" w:eastAsia="仿宋_GB2312"/>
          <w:b w:val="0"/>
          <w:bCs w:val="0"/>
          <w:color w:val="auto"/>
          <w:kern w:val="2"/>
          <w:highlight w:val="none"/>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w:t>
      </w:r>
      <w:r>
        <w:rPr>
          <w:rFonts w:hint="eastAsia" w:ascii="Times New Roman" w:hAnsi="Times New Roman" w:eastAsia="仿宋_GB2312"/>
          <w:b w:val="0"/>
          <w:bCs w:val="0"/>
          <w:color w:val="auto"/>
          <w:kern w:val="2"/>
          <w:highlight w:val="none"/>
          <w:lang w:val="en-US" w:eastAsia="zh-CN"/>
        </w:rPr>
        <w:t>做到</w:t>
      </w:r>
      <w:r>
        <w:rPr>
          <w:rFonts w:ascii="Times New Roman" w:hAnsi="Times New Roman" w:eastAsia="仿宋_GB2312"/>
          <w:b w:val="0"/>
          <w:bCs w:val="0"/>
          <w:color w:val="auto"/>
          <w:kern w:val="2"/>
          <w:highlight w:val="none"/>
        </w:rPr>
        <w:t>尽量早发现问题，早解决问题。</w:t>
      </w:r>
      <w:r>
        <w:rPr>
          <w:rFonts w:hint="eastAsia" w:ascii="Times New Roman" w:hAnsi="Times New Roman" w:eastAsia="仿宋_GB2312"/>
          <w:b w:val="0"/>
          <w:bCs w:val="0"/>
          <w:color w:val="auto"/>
          <w:kern w:val="2"/>
          <w:highlight w:val="none"/>
          <w:lang w:val="en-US" w:eastAsia="zh-CN"/>
        </w:rPr>
        <w:t>确保项目安全、资金安全、干部安全。</w:t>
      </w:r>
    </w:p>
    <w:p>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单位在绩效管理方面，缺乏专业培训，相关绩效管理方面专业知识的系统性学习有待加强。各项指标的设置要结合项目实际情况进一步优化、完善，主要在细化、量化上改进。在绩效自评过程中，由于项目部相关工作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2.绩效评价过程缺乏专业指导，</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设定不够科学、</w:t>
      </w:r>
      <w:r>
        <w:rPr>
          <w:rFonts w:hint="eastAsia" w:ascii="仿宋_GB2312" w:hAnsi="仿宋_GB2312" w:eastAsia="仿宋_GB2312" w:cs="仿宋_GB2312"/>
          <w:color w:val="auto"/>
          <w:sz w:val="32"/>
          <w:szCs w:val="32"/>
          <w:highlight w:val="none"/>
          <w:lang w:val="en-US" w:eastAsia="zh-Hans"/>
        </w:rPr>
        <w:t>绩效指标细化、量化不足，效果指标的设定较为宏观，项目执行内容、总体目标、具体指标衔接</w:t>
      </w:r>
      <w:r>
        <w:rPr>
          <w:rFonts w:hint="eastAsia" w:ascii="仿宋_GB2312" w:hAnsi="仿宋_GB2312" w:eastAsia="仿宋_GB2312" w:cs="仿宋_GB2312"/>
          <w:color w:val="auto"/>
          <w:sz w:val="32"/>
          <w:szCs w:val="32"/>
          <w:highlight w:val="none"/>
          <w:lang w:val="en-US" w:eastAsia="zh-CN"/>
        </w:rPr>
        <w:t>不够紧密</w:t>
      </w:r>
      <w:r>
        <w:rPr>
          <w:rFonts w:hint="eastAsia" w:ascii="仿宋_GB2312" w:hAnsi="仿宋_GB2312" w:eastAsia="仿宋_GB2312" w:cs="仿宋_GB2312"/>
          <w:color w:val="auto"/>
          <w:sz w:val="32"/>
          <w:szCs w:val="32"/>
          <w:highlight w:val="none"/>
          <w:lang w:val="en-US" w:eastAsia="zh-Hans"/>
        </w:rPr>
        <w:t>。</w:t>
      </w:r>
      <w:r>
        <w:rPr>
          <w:rFonts w:hint="eastAsia" w:ascii="仿宋_GB2312" w:hAnsi="仿宋_GB2312" w:eastAsia="仿宋_GB2312" w:cs="仿宋_GB2312"/>
          <w:color w:val="auto"/>
          <w:sz w:val="32"/>
          <w:szCs w:val="32"/>
          <w:highlight w:val="none"/>
          <w:lang w:val="en-US" w:eastAsia="zh-CN"/>
        </w:rPr>
        <w:t>绩效评价相关资料还需要进一步完善。开展绩效评价前期工作还存在一些不足，主要是制定方案，方案内容的关键包含资料搜集、指标体系设置、问卷设计三个方面。</w:t>
      </w:r>
    </w:p>
    <w:p>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1.对相关工作人员多进行有关绩效管理工作方面的培训。积极组织开展绩效管理工作培训，进一步夯实业务基础，提高我单位绩效人员水平。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强化绩效人员管理，要将绩效管理贯穿项目始终。进一步提升我单位绩效管理工作业务水平，扎实做好绩效管理工作。对每一个项目要及时收集绩效评价相关资料，明确项目需提供的资料清单并对所提供资料进行认真核实和全面分析。其次，在单位要通过多种方式自行开展资料收集整理工作，设计绩效评价指标，形成评价指标体系，体系基本要素包括评价指标、指标说明、指标权重、评价要点、评分标准、评价依据等。同时，组织绩效评价专家、行业专家，在资料分析及现场调研的基础上完善评价指标，规范绩效评价过程，确保绩效评价取得实效。</w:t>
      </w:r>
    </w:p>
    <w:p>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pPr>
        <w:pStyle w:val="14"/>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pPr>
        <w:pStyle w:val="14"/>
        <w:spacing w:after="0" w:line="560" w:lineRule="exact"/>
        <w:ind w:left="0" w:leftChars="0" w:firstLine="640"/>
        <w:rPr>
          <w:rFonts w:ascii="仿宋_GB2312" w:hAnsi="仿宋_GB2312" w:eastAsia="仿宋_GB2312" w:cs="仿宋_GB2312"/>
          <w:color w:val="auto"/>
          <w:sz w:val="32"/>
          <w:szCs w:val="32"/>
          <w:highlight w:val="none"/>
        </w:rPr>
      </w:pPr>
    </w:p>
    <w:p>
      <w:pPr>
        <w:pStyle w:val="14"/>
        <w:spacing w:after="0" w:line="560" w:lineRule="exact"/>
        <w:ind w:left="0" w:leftChars="0" w:firstLine="0" w:firstLineChars="0"/>
        <w:rPr>
          <w:rFonts w:ascii="仿宋_GB2312" w:hAnsi="仿宋_GB2312" w:eastAsia="仿宋_GB2312" w:cs="仿宋_GB2312"/>
          <w:color w:val="auto"/>
          <w:sz w:val="32"/>
          <w:szCs w:val="32"/>
          <w:highlight w:val="none"/>
        </w:rPr>
      </w:pPr>
    </w:p>
    <w:p>
      <w:pPr>
        <w:widowControl/>
        <w:jc w:val="center"/>
        <w:textAlignment w:val="center"/>
        <w:rPr>
          <w:rFonts w:eastAsia="方正小标宋简体"/>
          <w:b/>
          <w:color w:val="auto"/>
          <w:kern w:val="0"/>
          <w:sz w:val="32"/>
          <w:szCs w:val="32"/>
          <w:highlight w:val="none"/>
          <w:lang w:bidi="ar"/>
        </w:rPr>
        <w:sectPr>
          <w:pgSz w:w="11906" w:h="16838"/>
          <w:pgMar w:top="1440" w:right="1558" w:bottom="1440" w:left="1800" w:header="851" w:footer="992" w:gutter="0"/>
          <w:cols w:space="425" w:num="1"/>
          <w:docGrid w:type="lines" w:linePitch="312" w:charSpace="0"/>
        </w:sectPr>
      </w:pPr>
    </w:p>
    <w:tbl>
      <w:tblPr>
        <w:tblStyle w:val="15"/>
        <w:tblW w:w="14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732"/>
        <w:gridCol w:w="868"/>
        <w:gridCol w:w="976"/>
        <w:gridCol w:w="976"/>
        <w:gridCol w:w="1320"/>
        <w:gridCol w:w="1"/>
        <w:gridCol w:w="157"/>
        <w:gridCol w:w="2025"/>
        <w:gridCol w:w="691"/>
        <w:gridCol w:w="631"/>
        <w:gridCol w:w="1"/>
        <w:gridCol w:w="1"/>
        <w:gridCol w:w="704"/>
        <w:gridCol w:w="800"/>
        <w:gridCol w:w="1"/>
        <w:gridCol w:w="555"/>
        <w:gridCol w:w="637"/>
        <w:gridCol w:w="1"/>
        <w:gridCol w:w="312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35" w:hRule="atLeast"/>
        </w:trPr>
        <w:tc>
          <w:tcPr>
            <w:tcW w:w="14200" w:type="dxa"/>
            <w:gridSpan w:val="1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auto"/>
                <w:sz w:val="32"/>
                <w:szCs w:val="32"/>
                <w:highlight w:val="none"/>
                <w:u w:val="none"/>
              </w:rPr>
            </w:pPr>
            <w:r>
              <w:rPr>
                <w:rFonts w:hint="eastAsia" w:ascii="宋体" w:hAnsi="宋体" w:eastAsia="宋体" w:cs="宋体"/>
                <w:b/>
                <w:i w:val="0"/>
                <w:color w:val="auto"/>
                <w:kern w:val="0"/>
                <w:sz w:val="32"/>
                <w:szCs w:val="32"/>
                <w:highlight w:val="none"/>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25" w:hRule="atLeast"/>
        </w:trPr>
        <w:tc>
          <w:tcPr>
            <w:tcW w:w="14200" w:type="dxa"/>
            <w:gridSpan w:val="19"/>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5" w:hRule="atLeast"/>
        </w:trPr>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项目名称</w:t>
            </w:r>
          </w:p>
        </w:tc>
        <w:tc>
          <w:tcPr>
            <w:tcW w:w="12600" w:type="dxa"/>
            <w:gridSpan w:val="1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昌吉州奇台县开垦河老奇台镇牛王宫村段中小河流治理工程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5" w:hRule="atLeast"/>
        </w:trPr>
        <w:tc>
          <w:tcPr>
            <w:tcW w:w="16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主管部门</w:t>
            </w:r>
          </w:p>
        </w:tc>
        <w:tc>
          <w:tcPr>
            <w:tcW w:w="545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奇台县水利工程建设管理处</w:t>
            </w: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实施单位</w:t>
            </w:r>
          </w:p>
        </w:tc>
        <w:tc>
          <w:tcPr>
            <w:tcW w:w="5821"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奇台县水利工程建设管理处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2" w:hRule="atLeast"/>
        </w:trPr>
        <w:tc>
          <w:tcPr>
            <w:tcW w:w="16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项目资金</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（万元）</w:t>
            </w: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年初预算数</w:t>
            </w: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全年预算数</w:t>
            </w: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全年执行数</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分值</w:t>
            </w:r>
          </w:p>
        </w:tc>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执行率</w:t>
            </w:r>
          </w:p>
        </w:tc>
        <w:tc>
          <w:tcPr>
            <w:tcW w:w="31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年度资金总额</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1276.00</w:t>
            </w: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1276.00</w:t>
            </w: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1276.00</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100.00%</w:t>
            </w:r>
          </w:p>
        </w:tc>
        <w:tc>
          <w:tcPr>
            <w:tcW w:w="31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其中：当年财政拨款</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w:t>
            </w: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w:t>
            </w: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1276</w:t>
            </w: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31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 xml:space="preserve">      上年结转资金</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31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62" w:hRule="atLeast"/>
        </w:trPr>
        <w:tc>
          <w:tcPr>
            <w:tcW w:w="16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 xml:space="preserve">  其他资金</w:t>
            </w:r>
          </w:p>
        </w:tc>
        <w:tc>
          <w:tcPr>
            <w:tcW w:w="132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0.00</w:t>
            </w:r>
          </w:p>
        </w:tc>
        <w:tc>
          <w:tcPr>
            <w:tcW w:w="2182"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0.00</w:t>
            </w:r>
          </w:p>
        </w:tc>
        <w:tc>
          <w:tcPr>
            <w:tcW w:w="132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50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1193"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c>
          <w:tcPr>
            <w:tcW w:w="312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5"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年度总体目标</w:t>
            </w:r>
          </w:p>
        </w:tc>
        <w:tc>
          <w:tcPr>
            <w:tcW w:w="632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预期目标</w:t>
            </w:r>
          </w:p>
        </w:tc>
        <w:tc>
          <w:tcPr>
            <w:tcW w:w="714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193"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32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工程新建护岸总长度为11.218km。</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牛王宫6-4队公路桥上游（桩E7+400.000～E12+370.000m）段：拟建左岸护岸桩E7+600.000～左E12+414.256m段，建设长度为4.814km；拟建右岸护岸桩E7+400.000～12+370.000m段，建设长度为4.970km。</w:t>
            </w:r>
            <w:r>
              <w:rPr>
                <w:rFonts w:hint="eastAsia" w:ascii="宋体" w:hAnsi="宋体" w:eastAsia="宋体" w:cs="宋体"/>
                <w:i w:val="0"/>
                <w:color w:val="auto"/>
                <w:kern w:val="0"/>
                <w:sz w:val="20"/>
                <w:szCs w:val="20"/>
                <w:highlight w:val="none"/>
                <w:u w:val="none"/>
                <w:lang w:val="en-US" w:eastAsia="zh-CN" w:bidi="ar"/>
              </w:rPr>
              <w:br w:type="textWrapping"/>
            </w:r>
            <w:r>
              <w:rPr>
                <w:rFonts w:hint="eastAsia" w:ascii="宋体" w:hAnsi="宋体" w:eastAsia="宋体" w:cs="宋体"/>
                <w:i w:val="0"/>
                <w:color w:val="auto"/>
                <w:kern w:val="0"/>
                <w:sz w:val="20"/>
                <w:szCs w:val="20"/>
                <w:highlight w:val="none"/>
                <w:u w:val="none"/>
                <w:lang w:val="en-US" w:eastAsia="zh-CN" w:bidi="ar"/>
              </w:rPr>
              <w:t>五马场乡公路桥上游（桩E16+000.000～E16+718.000m）段：拟建左岸护岸桩E16+000.000～左E16+718.188m段，建设长度为0.718km；拟建右岸护岸桩E16+000.000～16+716.405m段，建设长度为0.716km。</w:t>
            </w:r>
          </w:p>
        </w:tc>
        <w:tc>
          <w:tcPr>
            <w:tcW w:w="7145" w:type="dxa"/>
            <w:gridSpan w:val="11"/>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新建堤防：11.22km；工程验收合格率（%）：100；项目开工时间：2023；受益群众满意度（%）：95；防护两岸农田基础设施（%）：95；项目预算控制率（%）：100；项目完工时间：2023；正常运转率（%）：95。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976"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976"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132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158"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202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691"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632"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705"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80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556"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637"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c>
          <w:tcPr>
            <w:tcW w:w="3124"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2"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一级指标</w:t>
            </w: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二级指标</w:t>
            </w:r>
          </w:p>
        </w:tc>
        <w:tc>
          <w:tcPr>
            <w:tcW w:w="2454"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三级指标</w:t>
            </w:r>
          </w:p>
        </w:tc>
        <w:tc>
          <w:tcPr>
            <w:tcW w:w="202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年度指标值</w:t>
            </w:r>
          </w:p>
        </w:tc>
        <w:tc>
          <w:tcPr>
            <w:tcW w:w="69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实际完成值</w:t>
            </w:r>
          </w:p>
        </w:tc>
        <w:tc>
          <w:tcPr>
            <w:tcW w:w="1337" w:type="dxa"/>
            <w:gridSpan w:val="4"/>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分值</w:t>
            </w:r>
          </w:p>
        </w:tc>
        <w:tc>
          <w:tcPr>
            <w:tcW w:w="135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得分</w:t>
            </w:r>
          </w:p>
        </w:tc>
        <w:tc>
          <w:tcPr>
            <w:tcW w:w="376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2"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454"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202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9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37"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5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376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年度绩效指标完成情况</w:t>
            </w: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产出指标</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数量指标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新建堤防</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=11.22km</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=11.22km</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2"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质量指标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工程验收合格率（%）</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&gt;=100%</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954"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时效指标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项目开工时间</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=2023年4月15日</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=2023年4月15日</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16"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时效指标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项目完工时间</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=2023年8月15日</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=2023年8月30日</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原因：温度影响及资金未能及时到位。改进措施：优化工作流程，加强资源调配。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成本指标</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经济成本指标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项目预算控制率</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20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社会成本指标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生态环境成本指标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效益指标</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经济效益指标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正常运转率</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&gt;=95%</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=95%</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社会效益指标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防护两岸农田基础设施</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&gt;=95%</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=95%</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生态效益指标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680" w:hRule="atLeast"/>
        </w:trPr>
        <w:tc>
          <w:tcPr>
            <w:tcW w:w="732"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满意度指标</w:t>
            </w: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满意度指标</w:t>
            </w:r>
          </w:p>
        </w:tc>
        <w:tc>
          <w:tcPr>
            <w:tcW w:w="2454" w:type="dxa"/>
            <w:gridSpan w:val="4"/>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受益群众满意度（%）</w:t>
            </w: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&gt;=95%</w:t>
            </w: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=95%</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335" w:hRule="atLeast"/>
        </w:trPr>
        <w:tc>
          <w:tcPr>
            <w:tcW w:w="732"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68"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976"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1321" w:type="dxa"/>
            <w:gridSpan w:val="2"/>
            <w:tcBorders>
              <w:top w:val="single" w:color="000000" w:sz="4" w:space="0"/>
              <w:left w:val="nil"/>
              <w:bottom w:val="single" w:color="000000" w:sz="4" w:space="0"/>
              <w:right w:val="nil"/>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157"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宋体" w:hAnsi="宋体" w:eastAsia="宋体" w:cs="宋体"/>
                <w:i w:val="0"/>
                <w:color w:val="auto"/>
                <w:sz w:val="20"/>
                <w:szCs w:val="20"/>
                <w:highlight w:val="none"/>
                <w:u w:val="none"/>
              </w:rPr>
            </w:pPr>
          </w:p>
        </w:tc>
        <w:tc>
          <w:tcPr>
            <w:tcW w:w="20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9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31"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706" w:type="dxa"/>
            <w:gridSpan w:val="3"/>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80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556" w:type="dxa"/>
            <w:gridSpan w:val="2"/>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63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c>
          <w:tcPr>
            <w:tcW w:w="312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45" w:hRule="atLeast"/>
        </w:trPr>
        <w:tc>
          <w:tcPr>
            <w:tcW w:w="7746" w:type="dxa"/>
            <w:gridSpan w:val="9"/>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总分</w:t>
            </w:r>
          </w:p>
        </w:tc>
        <w:tc>
          <w:tcPr>
            <w:tcW w:w="1337"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100</w:t>
            </w:r>
          </w:p>
        </w:tc>
        <w:tc>
          <w:tcPr>
            <w:tcW w:w="1356"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highlight w:val="none"/>
                <w:u w:val="none"/>
              </w:rPr>
            </w:pPr>
            <w:r>
              <w:rPr>
                <w:rFonts w:hint="eastAsia" w:ascii="宋体" w:hAnsi="宋体" w:eastAsia="宋体" w:cs="宋体"/>
                <w:i w:val="0"/>
                <w:color w:val="auto"/>
                <w:kern w:val="0"/>
                <w:sz w:val="20"/>
                <w:szCs w:val="20"/>
                <w:highlight w:val="none"/>
                <w:u w:val="none"/>
                <w:lang w:val="en-US" w:eastAsia="zh-CN" w:bidi="ar"/>
              </w:rPr>
              <w:t>90.00分</w:t>
            </w:r>
          </w:p>
        </w:tc>
        <w:tc>
          <w:tcPr>
            <w:tcW w:w="3761"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0"/>
                <w:szCs w:val="20"/>
                <w:highlight w:val="none"/>
                <w:u w:val="none"/>
              </w:rPr>
            </w:pPr>
          </w:p>
        </w:tc>
      </w:tr>
    </w:tbl>
    <w:p>
      <w:pPr>
        <w:pStyle w:val="11"/>
        <w:keepNext w:val="0"/>
        <w:keepLines w:val="0"/>
        <w:pageBreakBefore w:val="0"/>
        <w:widowControl/>
        <w:kinsoku/>
        <w:wordWrap/>
        <w:overflowPunct/>
        <w:topLinePunct w:val="0"/>
        <w:autoSpaceDE/>
        <w:autoSpaceDN/>
        <w:bidi w:val="0"/>
        <w:adjustRightInd/>
        <w:snapToGrid/>
        <w:spacing w:line="240" w:lineRule="atLeast"/>
        <w:jc w:val="both"/>
        <w:textAlignment w:val="auto"/>
        <w:rPr>
          <w:rFonts w:ascii="Times New Roman" w:hAnsi="Times New Roman"/>
          <w:color w:val="auto"/>
          <w:highlight w:val="none"/>
        </w:rPr>
        <w:sectPr>
          <w:pgSz w:w="16838" w:h="11906" w:orient="landscape"/>
          <w:pgMar w:top="1689" w:right="1440" w:bottom="1558" w:left="1440" w:header="851" w:footer="992" w:gutter="0"/>
          <w:cols w:space="425" w:num="1"/>
          <w:docGrid w:type="lines" w:linePitch="312" w:charSpace="0"/>
        </w:sectPr>
      </w:pPr>
    </w:p>
    <w:p>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pPr>
        <w:pStyle w:val="20"/>
        <w:ind w:firstLine="562"/>
        <w:jc w:val="center"/>
        <w:rPr>
          <w:color w:val="auto"/>
          <w:sz w:val="28"/>
          <w:szCs w:val="40"/>
          <w:highlight w:val="none"/>
        </w:rPr>
      </w:pPr>
      <w:bookmarkStart w:id="7" w:name="_Toc26499_WPSOffice_Level2"/>
      <w:bookmarkStart w:id="8" w:name="_Toc30064_WPSOffice_Level1"/>
      <w:r>
        <w:rPr>
          <w:rFonts w:hint="eastAsia"/>
          <w:b/>
          <w:bCs/>
          <w:color w:val="auto"/>
          <w:sz w:val="28"/>
          <w:szCs w:val="40"/>
          <w:highlight w:val="none"/>
          <w:lang w:val="en-US" w:eastAsia="zh-CN"/>
        </w:rPr>
        <w:t>奇台县开垦河老奇台镇牛王宫村段中小河流治理工程</w:t>
      </w:r>
      <w:r>
        <w:rPr>
          <w:rFonts w:hint="eastAsia"/>
          <w:b/>
          <w:bCs/>
          <w:color w:val="auto"/>
          <w:sz w:val="28"/>
          <w:szCs w:val="40"/>
          <w:highlight w:val="none"/>
        </w:rPr>
        <w:t>项目</w:t>
      </w:r>
      <w:r>
        <w:rPr>
          <w:rFonts w:hint="eastAsia"/>
          <w:b/>
          <w:bCs/>
          <w:color w:val="auto"/>
          <w:sz w:val="28"/>
          <w:szCs w:val="40"/>
          <w:highlight w:val="none"/>
        </w:rPr>
        <w:t>绩效评价指标体系及综合评分表</w:t>
      </w:r>
      <w:bookmarkEnd w:id="7"/>
      <w:bookmarkEnd w:id="8"/>
    </w:p>
    <w:tbl>
      <w:tblPr>
        <w:tblStyle w:val="15"/>
        <w:tblW w:w="15320"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5"/>
        <w:gridCol w:w="923"/>
        <w:gridCol w:w="1054"/>
        <w:gridCol w:w="2843"/>
        <w:gridCol w:w="6278"/>
        <w:gridCol w:w="1571"/>
        <w:gridCol w:w="164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23" w:hRule="atLeast"/>
          <w:tblHeader/>
          <w:jc w:val="center"/>
        </w:trPr>
        <w:tc>
          <w:tcPr>
            <w:tcW w:w="1005"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923"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1054"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2843"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6278"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1646"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486" w:hRule="atLeast"/>
          <w:jc w:val="center"/>
        </w:trPr>
        <w:tc>
          <w:tcPr>
            <w:tcW w:w="1005" w:type="dxa"/>
            <w:vMerge w:val="restart"/>
            <w:shd w:val="clear" w:color="auto" w:fill="FFFFFF"/>
            <w:vAlign w:val="center"/>
          </w:tcPr>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p>
          <w:p>
            <w:pPr>
              <w:widowControl/>
              <w:spacing w:line="0" w:lineRule="atLeast"/>
              <w:jc w:val="center"/>
              <w:rPr>
                <w:color w:val="auto"/>
                <w:kern w:val="0"/>
                <w:sz w:val="22"/>
                <w:szCs w:val="22"/>
                <w:highlight w:val="none"/>
              </w:rPr>
            </w:pPr>
            <w:r>
              <w:rPr>
                <w:color w:val="auto"/>
                <w:kern w:val="0"/>
                <w:sz w:val="22"/>
                <w:szCs w:val="22"/>
                <w:highlight w:val="none"/>
              </w:rPr>
              <w:t>决策　</w:t>
            </w: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立项依据</w:t>
            </w:r>
          </w:p>
          <w:p>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2843"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6278" w:type="dxa"/>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646" w:type="dxa"/>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9"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vMerge w:val="continue"/>
            <w:shd w:val="clear" w:color="auto" w:fill="FFFFFF"/>
            <w:vAlign w:val="center"/>
          </w:tcPr>
          <w:p>
            <w:pPr>
              <w:widowControl/>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立项程序</w:t>
            </w:r>
          </w:p>
          <w:p>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2843"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6278" w:type="dxa"/>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646" w:type="dxa"/>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39"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绩效目标</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6278" w:type="dxa"/>
            <w:shd w:val="clear" w:color="000000"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277"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vMerge w:val="continue"/>
            <w:shd w:val="clear" w:color="auto" w:fill="FFFFFF"/>
            <w:vAlign w:val="center"/>
          </w:tcPr>
          <w:p>
            <w:pPr>
              <w:widowControl/>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绩效指标</w:t>
            </w:r>
          </w:p>
          <w:p>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49"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资金投入</w:t>
            </w:r>
          </w:p>
          <w:p>
            <w:pPr>
              <w:spacing w:line="0" w:lineRule="atLeast"/>
              <w:jc w:val="center"/>
              <w:rPr>
                <w:color w:val="auto"/>
                <w:kern w:val="0"/>
                <w:sz w:val="22"/>
                <w:szCs w:val="22"/>
                <w:highlight w:val="none"/>
              </w:rPr>
            </w:pPr>
            <w:r>
              <w:rPr>
                <w:color w:val="auto"/>
                <w:kern w:val="0"/>
                <w:sz w:val="22"/>
                <w:szCs w:val="22"/>
                <w:highlight w:val="none"/>
              </w:rPr>
              <w:t>　</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预算编制</w:t>
            </w:r>
          </w:p>
          <w:p>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2843"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6278"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79"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vMerge w:val="continue"/>
            <w:shd w:val="clear" w:color="auto" w:fill="FFFFFF"/>
            <w:vAlign w:val="center"/>
          </w:tcPr>
          <w:p>
            <w:pPr>
              <w:widowControl/>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资金分配</w:t>
            </w:r>
          </w:p>
          <w:p>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843"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6278"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34" w:hRule="atLeast"/>
          <w:jc w:val="center"/>
        </w:trPr>
        <w:tc>
          <w:tcPr>
            <w:tcW w:w="1005" w:type="dxa"/>
            <w:vMerge w:val="restart"/>
            <w:shd w:val="clear" w:color="auto" w:fill="FFFFFF"/>
            <w:vAlign w:val="center"/>
          </w:tcPr>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p>
          <w:p>
            <w:pPr>
              <w:spacing w:line="0" w:lineRule="atLeast"/>
              <w:jc w:val="center"/>
              <w:rPr>
                <w:color w:val="auto"/>
                <w:kern w:val="0"/>
                <w:sz w:val="22"/>
                <w:szCs w:val="22"/>
                <w:highlight w:val="none"/>
              </w:rPr>
            </w:pPr>
            <w:r>
              <w:rPr>
                <w:color w:val="auto"/>
                <w:kern w:val="0"/>
                <w:sz w:val="22"/>
                <w:szCs w:val="22"/>
                <w:highlight w:val="none"/>
              </w:rPr>
              <w:t>过程</w:t>
            </w:r>
          </w:p>
          <w:p>
            <w:pPr>
              <w:widowControl/>
              <w:spacing w:line="0" w:lineRule="atLeast"/>
              <w:jc w:val="center"/>
              <w:rPr>
                <w:color w:val="auto"/>
                <w:kern w:val="0"/>
                <w:sz w:val="22"/>
                <w:szCs w:val="22"/>
                <w:highlight w:val="none"/>
              </w:rPr>
            </w:pPr>
            <w:r>
              <w:rPr>
                <w:color w:val="auto"/>
                <w:kern w:val="0"/>
                <w:sz w:val="22"/>
                <w:szCs w:val="22"/>
                <w:highlight w:val="none"/>
              </w:rPr>
              <w:t>　　</w:t>
            </w: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61"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vMerge w:val="continue"/>
            <w:shd w:val="clear" w:color="auto" w:fill="FFFFFF"/>
            <w:vAlign w:val="center"/>
          </w:tcPr>
          <w:p>
            <w:pPr>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2843"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6278"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auto"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9"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资金使用</w:t>
            </w:r>
          </w:p>
          <w:p>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6278" w:type="dxa"/>
            <w:shd w:val="clear" w:color="000000" w:fill="FFFFFF"/>
            <w:vAlign w:val="center"/>
          </w:tcPr>
          <w:p>
            <w:pPr>
              <w:keepNext w:val="0"/>
              <w:keepLines w:val="0"/>
              <w:widowControl/>
              <w:suppressLineNumbers w:val="0"/>
              <w:jc w:val="left"/>
              <w:rPr>
                <w:color w:val="auto"/>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rFonts w:ascii="宋体" w:hAnsi="宋体" w:eastAsia="宋体" w:cs="宋体"/>
                <w:color w:val="auto"/>
                <w:kern w:val="0"/>
                <w:sz w:val="24"/>
                <w:szCs w:val="24"/>
                <w:highlight w:val="none"/>
                <w:lang w:val="en-US" w:eastAsia="zh-CN" w:bidi="ar"/>
              </w:rPr>
              <w:drawing>
                <wp:inline distT="0" distB="0" distL="114300" distR="114300">
                  <wp:extent cx="304800" cy="304800"/>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5"/>
                          <a:stretch>
                            <a:fillRect/>
                          </a:stretch>
                        </pic:blipFill>
                        <pic:spPr>
                          <a:xfrm>
                            <a:off x="0" y="0"/>
                            <a:ext cx="304800" cy="304800"/>
                          </a:xfrm>
                          <a:prstGeom prst="rect">
                            <a:avLst/>
                          </a:prstGeom>
                          <a:noFill/>
                          <a:ln w="9525">
                            <a:noFill/>
                          </a:ln>
                        </pic:spPr>
                      </pic:pic>
                    </a:graphicData>
                  </a:graphic>
                </wp:inline>
              </w:drawing>
            </w:r>
          </w:p>
          <w:p>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846"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组织实施</w:t>
            </w:r>
          </w:p>
          <w:p>
            <w:pPr>
              <w:spacing w:line="0" w:lineRule="atLeast"/>
              <w:jc w:val="center"/>
              <w:rPr>
                <w:color w:val="auto"/>
                <w:kern w:val="0"/>
                <w:sz w:val="22"/>
                <w:szCs w:val="22"/>
                <w:highlight w:val="none"/>
              </w:rPr>
            </w:pPr>
            <w:r>
              <w:rPr>
                <w:color w:val="auto"/>
                <w:kern w:val="0"/>
                <w:sz w:val="22"/>
                <w:szCs w:val="22"/>
                <w:highlight w:val="none"/>
              </w:rPr>
              <w:t>　</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管理制度</w:t>
            </w:r>
          </w:p>
          <w:p>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49"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vMerge w:val="continue"/>
            <w:shd w:val="clear" w:color="auto" w:fill="FFFFFF"/>
            <w:vAlign w:val="center"/>
          </w:tcPr>
          <w:p>
            <w:pPr>
              <w:widowControl/>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制度执行</w:t>
            </w:r>
          </w:p>
          <w:p>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68" w:hRule="atLeast"/>
          <w:jc w:val="center"/>
        </w:trPr>
        <w:tc>
          <w:tcPr>
            <w:tcW w:w="1005"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w:t>
            </w:r>
          </w:p>
        </w:tc>
        <w:tc>
          <w:tcPr>
            <w:tcW w:w="92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5"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50" w:hRule="atLeast"/>
          <w:jc w:val="center"/>
        </w:trPr>
        <w:tc>
          <w:tcPr>
            <w:tcW w:w="1005" w:type="dxa"/>
            <w:vMerge w:val="continue"/>
            <w:shd w:val="clear" w:color="auto" w:fill="FFFFFF"/>
            <w:vAlign w:val="center"/>
          </w:tcPr>
          <w:p>
            <w:pPr>
              <w:spacing w:line="0" w:lineRule="atLeast"/>
              <w:jc w:val="center"/>
              <w:rPr>
                <w:color w:val="auto"/>
                <w:kern w:val="0"/>
                <w:sz w:val="22"/>
                <w:szCs w:val="22"/>
                <w:highlight w:val="none"/>
              </w:rPr>
            </w:pPr>
          </w:p>
        </w:tc>
        <w:tc>
          <w:tcPr>
            <w:tcW w:w="923" w:type="dxa"/>
            <w:shd w:val="clear" w:color="auto" w:fill="FFFFFF"/>
            <w:vAlign w:val="center"/>
          </w:tcPr>
          <w:p>
            <w:pPr>
              <w:spacing w:line="0" w:lineRule="atLeast"/>
              <w:jc w:val="center"/>
              <w:rPr>
                <w:color w:val="auto"/>
                <w:kern w:val="0"/>
                <w:sz w:val="22"/>
                <w:szCs w:val="22"/>
                <w:highlight w:val="none"/>
              </w:rPr>
            </w:pPr>
            <w:r>
              <w:rPr>
                <w:color w:val="auto"/>
                <w:kern w:val="0"/>
                <w:sz w:val="22"/>
                <w:szCs w:val="22"/>
                <w:highlight w:val="none"/>
              </w:rPr>
              <w:t>产出时效</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000000" w:fill="FFFFFF"/>
            <w:vAlign w:val="center"/>
          </w:tcPr>
          <w:p>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129"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p>
            <w:pPr>
              <w:bidi w:val="0"/>
              <w:rPr>
                <w:rFonts w:ascii="Times New Roman" w:hAnsi="Times New Roman" w:eastAsia="宋体" w:cs="Times New Roman"/>
                <w:color w:val="auto"/>
                <w:kern w:val="2"/>
                <w:sz w:val="21"/>
                <w:szCs w:val="24"/>
                <w:highlight w:val="none"/>
                <w:lang w:val="en-US" w:eastAsia="zh-CN" w:bidi="ar-SA"/>
              </w:rPr>
            </w:pPr>
          </w:p>
          <w:p>
            <w:pPr>
              <w:bidi w:val="0"/>
              <w:jc w:val="right"/>
              <w:rPr>
                <w:color w:val="auto"/>
                <w:highlight w:val="none"/>
                <w:lang w:val="en-US" w:eastAsia="zh-CN"/>
              </w:rPr>
            </w:pP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23" w:hRule="atLeast"/>
          <w:jc w:val="center"/>
        </w:trPr>
        <w:tc>
          <w:tcPr>
            <w:tcW w:w="1005"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效益　</w:t>
            </w:r>
          </w:p>
        </w:tc>
        <w:tc>
          <w:tcPr>
            <w:tcW w:w="923" w:type="dxa"/>
            <w:vMerge w:val="restart"/>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2843" w:type="dxa"/>
            <w:shd w:val="clear" w:color="auto" w:fill="FFFFFF"/>
            <w:vAlign w:val="center"/>
          </w:tcPr>
          <w:p>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6278" w:type="dxa"/>
            <w:shd w:val="clear" w:color="auto" w:fill="FFFFFF"/>
            <w:vAlign w:val="center"/>
          </w:tcPr>
          <w:p>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1571" w:type="dxa"/>
            <w:shd w:val="clear" w:color="auto"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auto"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95" w:hRule="atLeast"/>
          <w:jc w:val="center"/>
        </w:trPr>
        <w:tc>
          <w:tcPr>
            <w:tcW w:w="1005" w:type="dxa"/>
            <w:vMerge w:val="continue"/>
            <w:shd w:val="clear" w:color="auto" w:fill="FFFFFF"/>
            <w:vAlign w:val="center"/>
          </w:tcPr>
          <w:p>
            <w:pPr>
              <w:widowControl/>
              <w:spacing w:line="0" w:lineRule="atLeast"/>
              <w:jc w:val="center"/>
              <w:rPr>
                <w:color w:val="auto"/>
                <w:kern w:val="0"/>
                <w:sz w:val="22"/>
                <w:szCs w:val="22"/>
                <w:highlight w:val="none"/>
              </w:rPr>
            </w:pPr>
          </w:p>
        </w:tc>
        <w:tc>
          <w:tcPr>
            <w:tcW w:w="923" w:type="dxa"/>
            <w:vMerge w:val="continue"/>
            <w:shd w:val="clear" w:color="auto" w:fill="FFFFFF"/>
            <w:vAlign w:val="center"/>
          </w:tcPr>
          <w:p>
            <w:pPr>
              <w:widowControl/>
              <w:spacing w:line="0" w:lineRule="atLeast"/>
              <w:jc w:val="center"/>
              <w:rPr>
                <w:color w:val="auto"/>
                <w:kern w:val="0"/>
                <w:sz w:val="22"/>
                <w:szCs w:val="22"/>
                <w:highlight w:val="none"/>
              </w:rPr>
            </w:pPr>
          </w:p>
        </w:tc>
        <w:tc>
          <w:tcPr>
            <w:tcW w:w="1054" w:type="dxa"/>
            <w:shd w:val="clear" w:color="auto" w:fill="FFFFFF"/>
            <w:vAlign w:val="center"/>
          </w:tcPr>
          <w:p>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2843"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6278" w:type="dxa"/>
            <w:shd w:val="clear" w:color="000000" w:fill="FFFFFF"/>
            <w:vAlign w:val="center"/>
          </w:tcPr>
          <w:p>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1571" w:type="dxa"/>
            <w:shd w:val="clear" w:color="000000" w:fill="FFFFFF"/>
            <w:vAlign w:val="center"/>
          </w:tcPr>
          <w:p>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646" w:type="dxa"/>
            <w:shd w:val="clear" w:color="000000" w:fill="FFFFFF"/>
            <w:vAlign w:val="center"/>
          </w:tcPr>
          <w:p>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bl>
    <w:p>
      <w:pPr>
        <w:rPr>
          <w:color w:val="auto"/>
          <w:highlight w:val="none"/>
        </w:rPr>
      </w:pPr>
    </w:p>
    <w:bookmarkEnd w:id="9"/>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6CCC797-D17B-4E80-8A39-6E526B3EFE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2" w:fontKey="{E07258FB-A50B-43DF-BD11-CC08F570C3CA}"/>
  </w:font>
  <w:font w:name="华文中宋">
    <w:panose1 w:val="02010600040101010101"/>
    <w:charset w:val="86"/>
    <w:family w:val="auto"/>
    <w:pitch w:val="default"/>
    <w:sig w:usb0="00000287" w:usb1="080F0000" w:usb2="00000000" w:usb3="00000000" w:csb0="0004009F" w:csb1="DFD70000"/>
    <w:embedRegular r:id="rId3" w:fontKey="{2E490E08-338F-4362-9638-72C1E6A6F7DF}"/>
  </w:font>
  <w:font w:name="方正小标宋_GBK">
    <w:panose1 w:val="03000509000000000000"/>
    <w:charset w:val="86"/>
    <w:family w:val="script"/>
    <w:pitch w:val="default"/>
    <w:sig w:usb0="00000001" w:usb1="080E0000" w:usb2="00000000" w:usb3="00000000" w:csb0="00040000" w:csb1="00000000"/>
    <w:embedRegular r:id="rId4" w:fontKey="{71ED3FD4-4C76-43C1-A4BF-3E769C3B4935}"/>
  </w:font>
  <w:font w:name="楷体_GB2312">
    <w:altName w:val="楷体"/>
    <w:panose1 w:val="00000000000000000000"/>
    <w:charset w:val="86"/>
    <w:family w:val="auto"/>
    <w:pitch w:val="default"/>
    <w:sig w:usb0="00000000" w:usb1="00000000" w:usb2="00000000" w:usb3="00000000" w:csb0="00040000" w:csb1="00000000"/>
    <w:embedRegular r:id="rId5" w:fontKey="{297B52D1-0578-40AA-A807-1FD5549DACFD}"/>
  </w:font>
  <w:font w:name="仿宋">
    <w:panose1 w:val="02010609060101010101"/>
    <w:charset w:val="86"/>
    <w:family w:val="auto"/>
    <w:pitch w:val="default"/>
    <w:sig w:usb0="800002BF" w:usb1="38CF7CFA" w:usb2="00000016" w:usb3="00000000" w:csb0="00040001" w:csb1="00000000"/>
    <w:embedRegular r:id="rId6" w:fontKey="{5D8CCAC6-7F17-4B5D-BE4F-14570E453293}"/>
  </w:font>
  <w:font w:name="方正仿宋_GBK">
    <w:panose1 w:val="02000000000000000000"/>
    <w:charset w:val="86"/>
    <w:family w:val="auto"/>
    <w:pitch w:val="default"/>
    <w:sig w:usb0="A00002BF" w:usb1="38CF7CFA" w:usb2="00082016" w:usb3="00000000" w:csb0="00040001" w:csb1="00000000"/>
    <w:embedRegular r:id="rId7" w:fontKey="{34BC0C14-2A00-4FE7-8E17-B84504B4902F}"/>
  </w:font>
  <w:font w:name="楷体">
    <w:panose1 w:val="02010609060101010101"/>
    <w:charset w:val="86"/>
    <w:family w:val="modern"/>
    <w:pitch w:val="default"/>
    <w:sig w:usb0="800002BF" w:usb1="38CF7CFA" w:usb2="00000016" w:usb3="00000000" w:csb0="00040001" w:csb1="00000000"/>
    <w:embedRegular r:id="rId8" w:fontKey="{5AB70977-FE15-4345-B165-BA2454EFE926}"/>
  </w:font>
  <w:font w:name="方正小标宋简体">
    <w:panose1 w:val="03000509000000000000"/>
    <w:charset w:val="86"/>
    <w:family w:val="auto"/>
    <w:pitch w:val="default"/>
    <w:sig w:usb0="00000001" w:usb1="080E0000" w:usb2="00000000" w:usb3="00000000" w:csb0="00040000" w:csb1="00000000"/>
    <w:embedRegular r:id="rId9" w:fontKey="{7820B32D-7EB3-458A-AB80-23DC5477C93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FF6C4049"/>
    <w:rsid w:val="003A0289"/>
    <w:rsid w:val="006F7242"/>
    <w:rsid w:val="007B168A"/>
    <w:rsid w:val="008B2CFE"/>
    <w:rsid w:val="00F26FF6"/>
    <w:rsid w:val="05F534EC"/>
    <w:rsid w:val="06DE2BFC"/>
    <w:rsid w:val="07397B77"/>
    <w:rsid w:val="09C45E9B"/>
    <w:rsid w:val="0BAE4414"/>
    <w:rsid w:val="0D4972F0"/>
    <w:rsid w:val="0DB56CEC"/>
    <w:rsid w:val="125A139B"/>
    <w:rsid w:val="13471461"/>
    <w:rsid w:val="13B90F01"/>
    <w:rsid w:val="15097AF8"/>
    <w:rsid w:val="181066D2"/>
    <w:rsid w:val="1C671E73"/>
    <w:rsid w:val="1E413B0A"/>
    <w:rsid w:val="21F507B3"/>
    <w:rsid w:val="2627572C"/>
    <w:rsid w:val="281456E1"/>
    <w:rsid w:val="28897568"/>
    <w:rsid w:val="2A06253E"/>
    <w:rsid w:val="2B7C454D"/>
    <w:rsid w:val="2CA34905"/>
    <w:rsid w:val="2FB56378"/>
    <w:rsid w:val="309506C7"/>
    <w:rsid w:val="311E231F"/>
    <w:rsid w:val="31336CDA"/>
    <w:rsid w:val="33434F83"/>
    <w:rsid w:val="339371A3"/>
    <w:rsid w:val="34E652EF"/>
    <w:rsid w:val="35102DAB"/>
    <w:rsid w:val="38651CCB"/>
    <w:rsid w:val="38CA40DD"/>
    <w:rsid w:val="395F2B56"/>
    <w:rsid w:val="3B223E04"/>
    <w:rsid w:val="3BECE841"/>
    <w:rsid w:val="3D9F2BBE"/>
    <w:rsid w:val="3FF7797D"/>
    <w:rsid w:val="4002717D"/>
    <w:rsid w:val="404F3CAC"/>
    <w:rsid w:val="441B2960"/>
    <w:rsid w:val="448450C0"/>
    <w:rsid w:val="49532AD3"/>
    <w:rsid w:val="49EA0112"/>
    <w:rsid w:val="4BE87E41"/>
    <w:rsid w:val="52A21993"/>
    <w:rsid w:val="52DE6B00"/>
    <w:rsid w:val="54024CD1"/>
    <w:rsid w:val="540456DA"/>
    <w:rsid w:val="5BFF6039"/>
    <w:rsid w:val="5CCC3CFF"/>
    <w:rsid w:val="5D63040F"/>
    <w:rsid w:val="5D76A616"/>
    <w:rsid w:val="5D7F20B9"/>
    <w:rsid w:val="5DAC7D0E"/>
    <w:rsid w:val="5E581544"/>
    <w:rsid w:val="5E5F1000"/>
    <w:rsid w:val="5F98B5AF"/>
    <w:rsid w:val="5FFE8511"/>
    <w:rsid w:val="5FFEACE2"/>
    <w:rsid w:val="636C5F85"/>
    <w:rsid w:val="63D0156C"/>
    <w:rsid w:val="64252592"/>
    <w:rsid w:val="643EE26D"/>
    <w:rsid w:val="6876642B"/>
    <w:rsid w:val="6A382D69"/>
    <w:rsid w:val="6B83682F"/>
    <w:rsid w:val="6D572E2F"/>
    <w:rsid w:val="6E105ABB"/>
    <w:rsid w:val="6E4C131F"/>
    <w:rsid w:val="6F5C41AC"/>
    <w:rsid w:val="6FAF6C78"/>
    <w:rsid w:val="6FBF26C3"/>
    <w:rsid w:val="70A05974"/>
    <w:rsid w:val="72000E72"/>
    <w:rsid w:val="72B63DCB"/>
    <w:rsid w:val="7317C656"/>
    <w:rsid w:val="734ED73F"/>
    <w:rsid w:val="76C86235"/>
    <w:rsid w:val="77FD8BE9"/>
    <w:rsid w:val="793C0810"/>
    <w:rsid w:val="79A9BD3F"/>
    <w:rsid w:val="7B9657FE"/>
    <w:rsid w:val="7BFFFDD0"/>
    <w:rsid w:val="7C074F66"/>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4"/>
    <w:next w:val="4"/>
    <w:link w:val="24"/>
    <w:qFormat/>
    <w:uiPriority w:val="0"/>
    <w:rPr>
      <w:b/>
      <w:bCs/>
    </w:rPr>
  </w:style>
  <w:style w:type="paragraph" w:styleId="13">
    <w:name w:val="Body Text First Indent"/>
    <w:basedOn w:val="5"/>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4"/>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NUL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9654</Words>
  <Characters>10336</Characters>
  <Lines>58</Lines>
  <Paragraphs>16</Paragraphs>
  <TotalTime>0</TotalTime>
  <ScaleCrop>false</ScaleCrop>
  <LinksUpToDate>false</LinksUpToDate>
  <CharactersWithSpaces>10362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杜里里oppo</cp:lastModifiedBy>
  <dcterms:modified xsi:type="dcterms:W3CDTF">2024-10-09T08:30:23Z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01DB1FCA31614B32B34E2934DE9BA924_13</vt:lpwstr>
  </property>
</Properties>
</file>