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项目名称：奇台县 2018 年</w:t>
      </w:r>
      <w:r>
        <w:rPr>
          <w:rFonts w:hint="eastAsia" w:hAnsi="宋体" w:eastAsia="仿宋_GB2312" w:cs="宋体"/>
          <w:kern w:val="0"/>
          <w:sz w:val="36"/>
          <w:szCs w:val="36"/>
          <w:lang w:eastAsia="zh-CN"/>
        </w:rPr>
        <w:t>西梁片区等</w:t>
      </w:r>
      <w:r>
        <w:rPr>
          <w:rFonts w:hint="eastAsia" w:hAnsi="宋体" w:eastAsia="仿宋_GB2312" w:cs="宋体"/>
          <w:kern w:val="0"/>
          <w:sz w:val="36"/>
          <w:szCs w:val="36"/>
        </w:rPr>
        <w:t>棚户区改造项目</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奇台县城市建设投资发展有限责任公司</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主管部门（公章）：奇台县住房和城乡建设局</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项目负责人（签章）：刘文生（拆迁办主任）</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  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01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22</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bCs w:val="0"/>
          <w:spacing w:val="-4"/>
          <w:sz w:val="32"/>
          <w:szCs w:val="32"/>
        </w:rPr>
      </w:pPr>
      <w:r>
        <w:rPr>
          <w:rStyle w:val="17"/>
          <w:rFonts w:hint="eastAsia" w:ascii="黑体" w:hAnsi="黑体" w:eastAsia="黑体"/>
          <w:b/>
          <w:bCs w:val="0"/>
          <w:spacing w:val="-4"/>
          <w:sz w:val="32"/>
          <w:szCs w:val="32"/>
        </w:rPr>
        <w:t>一、项目概况</w:t>
      </w:r>
    </w:p>
    <w:p>
      <w:pPr>
        <w:spacing w:line="540" w:lineRule="exact"/>
        <w:ind w:firstLine="567"/>
        <w:rPr>
          <w:rStyle w:val="17"/>
          <w:rFonts w:hint="eastAsia" w:ascii="楷体" w:hAnsi="楷体" w:eastAsia="楷体"/>
          <w:b w:val="0"/>
          <w:bCs w:val="0"/>
          <w:spacing w:val="-4"/>
          <w:sz w:val="32"/>
          <w:szCs w:val="32"/>
        </w:rPr>
      </w:pPr>
      <w:r>
        <w:rPr>
          <w:rStyle w:val="17"/>
          <w:rFonts w:hint="eastAsia" w:ascii="楷体" w:hAnsi="楷体" w:eastAsia="楷体"/>
          <w:b w:val="0"/>
          <w:bCs w:val="0"/>
          <w:spacing w:val="-4"/>
          <w:sz w:val="32"/>
          <w:szCs w:val="32"/>
        </w:rPr>
        <w:t>（一）项目单位基本情况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奇台县城市建设投资发展有限责任公司成立于2008年5月，纳统一社会信用代码：91652325673440174P；公司地址：新疆昌吉州奇台县古城商业街金融大厦11层；企业法人为陶发刚；注册资本：2618.4194万元；企业类型为有限责任公司；经营范围为：城市基础设施建设项目融资、投资、建设和管理；盘活、开发、经营规划区闲置土地；经营管理城市建设国有土地；保障性住房建设与管理；房地产开发与经营；物业管理；广告设施的租赁与管理。</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p>
    <w:p>
      <w:pPr>
        <w:spacing w:beforeLines="0" w:afterLines="0"/>
        <w:ind w:firstLine="624" w:firstLineChars="200"/>
        <w:jc w:val="left"/>
        <w:rPr>
          <w:rStyle w:val="17"/>
          <w:rFonts w:hint="eastAsia" w:ascii="仿宋" w:hAnsi="仿宋" w:eastAsia="仿宋"/>
          <w:b w:val="0"/>
          <w:bCs/>
          <w:spacing w:val="-4"/>
          <w:sz w:val="32"/>
          <w:szCs w:val="32"/>
          <w:highlight w:val="none"/>
          <w:lang w:val="en-US" w:eastAsia="zh-CN"/>
        </w:rPr>
      </w:pPr>
      <w:r>
        <w:rPr>
          <w:rStyle w:val="17"/>
          <w:rFonts w:hint="eastAsia" w:ascii="仿宋" w:hAnsi="仿宋" w:eastAsia="仿宋"/>
          <w:b w:val="0"/>
          <w:bCs/>
          <w:spacing w:val="-4"/>
          <w:sz w:val="32"/>
          <w:szCs w:val="32"/>
          <w:highlight w:val="none"/>
          <w:lang w:val="en-US" w:eastAsia="zh-CN"/>
        </w:rPr>
        <w:t>（二）项目预算绩效目标设定情况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1.7974亿元棚户区改造建设项目，主要用于改善我县人居环境及生活水平，改善交通状况。该项目共有9个片区，分别为县城内以下9各个片区：</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1、奇台县西梁片区团结路以北段2018年棚户区（城中村）改造建设项目计划为286户。本次棚户区改造片区占地面积142918.00㎡（214.38</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征迁群众户数286户，群众人数686人；拆迁建筑物总面积60060.00㎡，其中拆迁非住宅面积8726.79㎡（属于与住宅穿插交织难以分割、需同步拆除部分），拆迁房屋面积51333.21㎡；拆迁房屋面积中砖混结构17227.81㎡、砖木结构19345.30㎡，土木结构7481.81㎡,简易砖木（彩砖）结构7278.29㎡。其中纯货币补偿方式拆迁面积33384.53㎡，安置房补偿方式拆迁面积17948.68㎡。</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2、奇台县西梁片区团结路东西段2018年棚户区（城中村）改造建设项目计划为291户。</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本次棚户区改造片区占地面积138669.02㎡（208.00</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征迁群众户数291户，群众人数698人；拆迁建筑物总面积59665.00㎡，其中拆迁非住宅面积11391㎡（属于与住宅穿插交织难以分割、需同步拆除部分,其中商业面积219.06㎡，住改非面积11171.94㎡），拆迁房屋面积48274.00㎡；拆迁房屋面积中砖混结构12049.80㎡、砖木结构19576.86㎡，土木结构11140.94㎡,简易砖木（彩砖）结构5506.40㎡。其中纯货币补偿方式拆迁面积34339.24㎡，安置房补偿方式拆迁面积13934.76㎡。本项目安置方式采用纯货币补偿和回购现房安置相结合的方式。其中纯货币补偿207户，回购现房安置84户。</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3、奇台县水磨河片区2018年棚户区（城中村）改造建设项目计划为146户。本次棚户区改造片区占地面积84307.95㎡（126.46</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征迁群众户数146户，群众人数350人；拆迁建筑物总面积32601.12㎡，其中拆迁非住宅面积2469.80㎡（属于与住宅穿插交织难以分割、需同步拆除部分），拆迁房屋面积30131.32㎡；拆迁房屋面积中砖混结构1961.59㎡、砖木结构16971.23㎡，土木结构11198.50㎡。其中纯货币补偿方式拆迁面积20637.89㎡，安置房补偿方式拆迁面积9493.43㎡。</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4、奇台县犁铧尖片区古城中街段2018年棚户区（城中村）改造建设项目计划为309户。本次棚户区改造片区占地面积181942.24㎡（272.91</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征迁群众户数309户，群众人数742人；拆迁建筑物总面积70515.51㎡，其中拆迁非住宅面积14502.91㎡（属于与住宅穿插交织难以分割、需同步拆除部分,其中商业面积899.23㎡，住改非面积13603.68㎡），拆迁房屋面积56012.60㎡；拆迁房屋面积中砖混结构11927.08㎡、砖木结构23428.10㎡，土木结构16837.14㎡,简易砖木（彩砖）结构3820.28㎡。其中纯货币补偿方式拆迁面积37885.54㎡，安置房补偿方式拆迁面积18127.06㎡。本项目安置方式采用纯货币补偿和回购现房安置相结合的方式。其中纯货币补偿209户，回购现房安置100户。</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5、奇台县犁铧尖片区古城南街段2018年棚户区（城中村）改造建设项目计划为272户。本次棚户区改造片区占地面积140374.30㎡（210.56</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 xml:space="preserve">，征迁群众户数272户，群众人数653人；拆迁建筑物总面积60633.25㎡，其中拆迁非住宅面积11644.40㎡（属于与住宅穿插交织难以分割、需同步拆除部分），拆迁房屋面积48988.85㎡；拆迁房屋面积中砖混结构9770.39㎡、砖木结构2142.35㎡，土木结构16771.01㎡,简易砖木（彩砖）结构1045.00㎡。其中纯货币补偿方式拆迁面积33499.73㎡，安置房补偿方式拆迁面积15489.12㎡。本项目安置方式采用纯货币补偿和回购现房安置相结合的方式。其中纯货币补偿186户，回购现房安置86户。 </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6、奇台县犁铧尖片区古城北街段2018年棚户区（城中村）改造建设项目计划为312户。本次棚户区改造片区占地面积159988.15㎡（239.98</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征迁群众户数312户，群众人数749人；拆迁建筑物总面积68952.71㎡，其中拆迁非住宅面积12052.83㎡（属于与住宅穿插交织难以分割、需同步拆除部分,其中商业面积321.00㎡，住改非面积11731.83㎡），拆迁房屋面积56899.88㎡；拆迁房屋面积中砖混结构1247138㎡、砖木结构24815.64㎡，土木结构13064.02㎡,简易砖木（彩砖）结构6548.85㎡。其中纯货币补偿方式拆迁面积38662.74㎡，安置房补偿方式拆迁面积18237.14㎡。本项目安置方式采用纯货币补偿和回购现房安置相结合的方式。其中纯货币补偿212户，回购现房安置100户。</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7、奇台县城南片区苗圃巷段2018年棚户区（城中村）改造建设项目计划为315户。本次棚户区改造片区占地面积107676.89㎡（161.51</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征迁群众户数315户，群众人数756人；拆迁建筑物总面积62501.58㎡，其中拆迁非住宅面积12222.26㎡（属于与住宅穿插交织难以分割、需同步拆除部分,其中商业面积4858.74㎡，住改非面积7363.52㎡），拆迁房屋面积50279.32㎡；拆迁房屋面积中砖混结构19672.28㎡、砖木结构23194.72㎡，土木结构7412.32㎡。其中纯货币补偿方式拆迁面积40063.84㎡，安置房补偿方式拆迁面积10215.48㎡。 本项目安置方式采用纯货币补偿和回购现房安置相结合的方式。其中纯货币补偿251户，回购现房安置64户。</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8、奇台县城南片区老砖窑巷段2018年棚户区（城中村）改造建设项目计划为261户。本次棚户区改造片区占地面积154404.53㎡（231.61</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征迁群众户数261户，群众人数626人；拆迁建筑物总面积60291.00㎡，其中拆迁非住宅面积5531.00㎡（属于与住宅穿插交织难以分割、需同步拆除部分），拆迁房屋面积54760.00㎡；拆迁房屋面积中砖混结构12711.20㎡、砖木结构24873.79 ㎡，土木结构9435.62㎡,简易砖木（彩砖）结构7739.39㎡。其中纯货币补偿方式拆迁面积39024.37㎡，安置房补偿方式拆迁面积15735.63㎡。本项目安置方式采用纯货币补偿和回购现房安置相结合的方式。其中纯货币补偿186户，回购现房安置75户。</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9、奇台县城南片区八家户村段2018年棚户区（城中村）改造建设项目计划为305户。本次棚户区改造片区占地面积185326.64㎡（277.99</w:t>
      </w:r>
      <w:r>
        <w:rPr>
          <w:rStyle w:val="17"/>
          <w:rFonts w:hint="eastAsia" w:ascii="仿宋" w:hAnsi="仿宋" w:eastAsia="仿宋"/>
          <w:b w:val="0"/>
          <w:spacing w:val="-4"/>
          <w:sz w:val="32"/>
          <w:szCs w:val="32"/>
          <w:highlight w:val="none"/>
          <w:lang w:val="zh-CN" w:eastAsia="zh-CN"/>
        </w:rPr>
        <w:t>亩）</w:t>
      </w:r>
      <w:r>
        <w:rPr>
          <w:rStyle w:val="17"/>
          <w:rFonts w:hint="eastAsia" w:ascii="仿宋" w:hAnsi="仿宋" w:eastAsia="仿宋"/>
          <w:b w:val="0"/>
          <w:spacing w:val="-4"/>
          <w:sz w:val="32"/>
          <w:szCs w:val="32"/>
          <w:highlight w:val="none"/>
          <w:lang w:val="en-US" w:eastAsia="zh-CN"/>
        </w:rPr>
        <w:t>，征迁群众户数305户，群众人数732人；拆迁建筑物总面积71370.00㎡，其中拆迁非住宅面积5319.00㎡（属于与住宅穿插交织难以分割、需同步拆除部分），拆迁房屋面积66051.00㎡；拆迁房屋面积中砖混结构8358.12㎡、砖木结构41565.06㎡，土木结构7556.57㎡,简易砖木（彩砖）结构8571.25㎡。其中纯货币补偿方式拆迁面积51974.56㎡，安置房补偿方式拆迁面积14076.44㎡。本项目安置方式采用纯货币补偿和回购现房安置相结合的方式。其中纯货币补偿240户，回购现房安置65户。</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p>
    <w:p>
      <w:pPr>
        <w:spacing w:beforeLines="0" w:afterLines="0"/>
        <w:ind w:firstLine="627" w:firstLineChars="200"/>
        <w:jc w:val="left"/>
        <w:rPr>
          <w:rStyle w:val="17"/>
          <w:rFonts w:hint="eastAsia" w:ascii="仿宋" w:hAnsi="仿宋" w:eastAsia="仿宋"/>
          <w:b/>
          <w:bCs w:val="0"/>
          <w:spacing w:val="-4"/>
          <w:sz w:val="32"/>
          <w:szCs w:val="32"/>
          <w:highlight w:val="none"/>
          <w:lang w:val="en-US" w:eastAsia="zh-CN"/>
        </w:rPr>
      </w:pPr>
      <w:r>
        <w:rPr>
          <w:rStyle w:val="17"/>
          <w:rFonts w:hint="eastAsia" w:ascii="仿宋" w:hAnsi="仿宋" w:eastAsia="仿宋"/>
          <w:b/>
          <w:bCs w:val="0"/>
          <w:spacing w:val="-4"/>
          <w:sz w:val="32"/>
          <w:szCs w:val="32"/>
          <w:highlight w:val="none"/>
          <w:lang w:val="en-US" w:eastAsia="zh-CN"/>
        </w:rPr>
        <w:t>二、项目资金使用及管理情况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（一）项目资金安排落实、总投入等情况分析</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西梁北段项目总投资27228.64万元，其中申请银行贷款21600.00万元，占项目总投资79.33%；自筹资金5628.64万元，占项目总投资的20.67%</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西梁东西段项目总投资34708.50万元，其中申请银行贷款27500.00万元，占项目总投资79.23%；自筹资金7208.50万元，占项目总投资的20.77%。</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水磨河项目总投资17529.14万元，其中申请银行贷款14000.00万元，占项目总投资79.87%；自筹资金3529.14万元，占项目总投资的20.13%。</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犁铧尖中街项目总投资36946.43万元，其中申请银行贷款29500.00万元，占项目总投资79.85%；自筹资金7446.43万元，占项目总投资的20.15%。</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犁铧尖南街项目总投资32626.08万元，其中申请银行贷款26000.00万元，占项目总投资79.69%；自筹资金6626.08万元，占项目总投资的20.31%。</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犁铧尖北街项目总投资36946.44万元，其中申请银行贷款29500.00万元，占项目总投资79.85%；自筹资金7446.44万元，占项目总投资的20.15%。</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城南苗圃项目总投资36875.68万元，其中申请银行贷款29200.00万元，占项目总投资79.18%；自筹资金7675.68万元，占项目总投资的20.82%。</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城南老砖窑项目总投资30942.61万元，其中申请银行贷款24700.00万元，占项目总投资79.83%；自筹资金6242.60万元，占项目总投资的20.17%。</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城南八家户项目总投资36027.60万元，其中申请银行贷款28500.00万元，占项目总投资79.11%；自筹资金7527.60万元，占项目总投资的20.89%。</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（二）项目资金实际使用情况分析</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该项目财政拨款1.7974亿元，主要用于棚户区改造。</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（三）项目资金管理情况分析</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该项目资金管理严格按照奇台县政府投资项目资金拨付审批管理制度执行。</w:t>
      </w:r>
    </w:p>
    <w:p>
      <w:pPr>
        <w:spacing w:beforeLines="0" w:afterLines="0"/>
        <w:ind w:firstLine="627" w:firstLineChars="200"/>
        <w:jc w:val="left"/>
        <w:rPr>
          <w:rStyle w:val="17"/>
          <w:rFonts w:hint="eastAsia" w:ascii="仿宋" w:hAnsi="仿宋" w:eastAsia="仿宋"/>
          <w:b/>
          <w:bCs w:val="0"/>
          <w:spacing w:val="-4"/>
          <w:sz w:val="32"/>
          <w:szCs w:val="32"/>
          <w:highlight w:val="none"/>
          <w:lang w:val="en-US" w:eastAsia="zh-CN"/>
        </w:rPr>
      </w:pPr>
      <w:r>
        <w:rPr>
          <w:rStyle w:val="17"/>
          <w:rFonts w:hint="eastAsia" w:ascii="仿宋" w:hAnsi="仿宋" w:eastAsia="仿宋"/>
          <w:b/>
          <w:bCs w:val="0"/>
          <w:spacing w:val="-4"/>
          <w:sz w:val="32"/>
          <w:szCs w:val="32"/>
          <w:highlight w:val="none"/>
          <w:lang w:val="en-US" w:eastAsia="zh-CN"/>
        </w:rPr>
        <w:t>三、项目组织实施情况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（一）项目组织情况分析</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（包括项目投标情况、调整情况、完成验收等）</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（二）项目管理情况分析</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1.7974亿元项目资金于2018年7-9月份分别打入各片区拆迁专户，并与2018年年底全部发完。</w:t>
      </w:r>
    </w:p>
    <w:p>
      <w:pPr>
        <w:spacing w:beforeLines="0" w:afterLines="0"/>
        <w:ind w:firstLine="627" w:firstLineChars="200"/>
        <w:jc w:val="left"/>
        <w:rPr>
          <w:rStyle w:val="17"/>
          <w:rFonts w:hint="eastAsia" w:ascii="仿宋" w:hAnsi="仿宋" w:eastAsia="仿宋"/>
          <w:b/>
          <w:bCs w:val="0"/>
          <w:spacing w:val="-4"/>
          <w:sz w:val="32"/>
          <w:szCs w:val="32"/>
          <w:highlight w:val="none"/>
          <w:lang w:val="en-US" w:eastAsia="zh-CN"/>
        </w:rPr>
      </w:pPr>
      <w:r>
        <w:rPr>
          <w:rStyle w:val="17"/>
          <w:rFonts w:hint="eastAsia" w:ascii="仿宋" w:hAnsi="仿宋" w:eastAsia="仿宋"/>
          <w:b/>
          <w:bCs w:val="0"/>
          <w:spacing w:val="-4"/>
          <w:sz w:val="32"/>
          <w:szCs w:val="32"/>
          <w:highlight w:val="none"/>
          <w:lang w:val="en-US" w:eastAsia="zh-CN"/>
        </w:rPr>
        <w:t xml:space="preserve">四、项目绩效情况 </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（一）项目绩效目标完成情况分析</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该项目解决了部分贫困家庭的居住环境，妥善安置了棚户区房屋征收户，改善了奇台县居民的住房及生活环境。</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（二）项目绩效目标未完成原因分析</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无</w:t>
      </w:r>
    </w:p>
    <w:p>
      <w:pPr>
        <w:spacing w:beforeLines="0" w:afterLines="0"/>
        <w:ind w:firstLine="627" w:firstLineChars="200"/>
        <w:jc w:val="left"/>
        <w:rPr>
          <w:rStyle w:val="17"/>
          <w:rFonts w:hint="eastAsia" w:ascii="仿宋" w:hAnsi="仿宋" w:eastAsia="仿宋"/>
          <w:b/>
          <w:bCs w:val="0"/>
          <w:spacing w:val="-4"/>
          <w:sz w:val="32"/>
          <w:szCs w:val="32"/>
          <w:highlight w:val="none"/>
          <w:lang w:val="en-US" w:eastAsia="zh-CN"/>
        </w:rPr>
      </w:pPr>
      <w:r>
        <w:rPr>
          <w:rStyle w:val="17"/>
          <w:rFonts w:hint="eastAsia" w:ascii="仿宋" w:hAnsi="仿宋" w:eastAsia="仿宋"/>
          <w:b/>
          <w:bCs w:val="0"/>
          <w:spacing w:val="-4"/>
          <w:sz w:val="32"/>
          <w:szCs w:val="32"/>
          <w:highlight w:val="none"/>
          <w:lang w:val="en-US" w:eastAsia="zh-CN"/>
        </w:rPr>
        <w:t>五、其他需要说明的问题</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（一）后续工作计划</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无</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（二）主要经验及做法、存在问题和建议</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无</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（三）其他</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无</w:t>
      </w:r>
    </w:p>
    <w:p>
      <w:pPr>
        <w:spacing w:beforeLines="0" w:afterLines="0"/>
        <w:ind w:firstLine="627" w:firstLineChars="200"/>
        <w:jc w:val="left"/>
        <w:rPr>
          <w:rStyle w:val="17"/>
          <w:rFonts w:hint="eastAsia" w:ascii="仿宋" w:hAnsi="仿宋" w:eastAsia="仿宋"/>
          <w:b/>
          <w:bCs w:val="0"/>
          <w:spacing w:val="-4"/>
          <w:sz w:val="32"/>
          <w:szCs w:val="32"/>
          <w:highlight w:val="none"/>
          <w:lang w:val="en-US" w:eastAsia="zh-CN"/>
        </w:rPr>
      </w:pPr>
      <w:r>
        <w:rPr>
          <w:rStyle w:val="17"/>
          <w:rFonts w:hint="eastAsia" w:ascii="仿宋" w:hAnsi="仿宋" w:eastAsia="仿宋"/>
          <w:b/>
          <w:bCs w:val="0"/>
          <w:spacing w:val="-4"/>
          <w:sz w:val="32"/>
          <w:szCs w:val="32"/>
          <w:highlight w:val="none"/>
          <w:lang w:val="en-US" w:eastAsia="zh-CN"/>
        </w:rPr>
        <w:t>六、项目评价工作情况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该项目资料通过逐级审核，资料完整数据准确， 保证资金的合理使用，资金发放准确无误。</w:t>
      </w:r>
    </w:p>
    <w:p>
      <w:pPr>
        <w:spacing w:beforeLines="0" w:afterLines="0"/>
        <w:ind w:firstLine="627"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bCs w:val="0"/>
          <w:spacing w:val="-4"/>
          <w:sz w:val="32"/>
          <w:szCs w:val="32"/>
          <w:highlight w:val="none"/>
          <w:lang w:val="en-US" w:eastAsia="zh-CN"/>
        </w:rPr>
        <w:t>七、附表</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《自治州财政项目支出绩效自评表》</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348"/>
        <w:gridCol w:w="1492"/>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自治州财政项目支出绩效自评表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348"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492"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hAnsi="宋体" w:eastAsia="仿宋_GB2312" w:cs="宋体"/>
                <w:kern w:val="0"/>
                <w:sz w:val="21"/>
                <w:szCs w:val="21"/>
              </w:rPr>
              <w:t>奇台县 2018 年棚户区改造项目</w:t>
            </w: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spacing w:line="700" w:lineRule="exact"/>
              <w:jc w:val="center"/>
              <w:rPr>
                <w:rFonts w:hint="eastAsia" w:hAnsi="宋体" w:eastAsia="仿宋_GB2312" w:cs="宋体"/>
                <w:kern w:val="0"/>
                <w:sz w:val="21"/>
                <w:szCs w:val="21"/>
                <w:lang w:eastAsia="zh-CN"/>
              </w:rPr>
            </w:pPr>
            <w:r>
              <w:rPr>
                <w:rFonts w:hint="eastAsia" w:hAnsi="宋体" w:eastAsia="仿宋_GB2312" w:cs="宋体"/>
                <w:kern w:val="0"/>
                <w:sz w:val="21"/>
                <w:szCs w:val="21"/>
                <w:lang w:eastAsia="zh-CN"/>
              </w:rPr>
              <w:t>奇台县城市建设投资发展有限责任公司</w:t>
            </w:r>
          </w:p>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17974万元</w:t>
            </w:r>
            <w:r>
              <w:rPr>
                <w:rFonts w:hint="eastAsia" w:ascii="宋体" w:hAnsi="宋体" w:cs="宋体"/>
                <w:kern w:val="0"/>
                <w:sz w:val="20"/>
                <w:szCs w:val="20"/>
              </w:rPr>
              <w:t>　</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492"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r>
              <w:rPr>
                <w:rFonts w:hint="eastAsia" w:ascii="宋体" w:hAnsi="宋体" w:cs="宋体"/>
                <w:kern w:val="0"/>
                <w:sz w:val="20"/>
                <w:szCs w:val="20"/>
                <w:lang w:val="en-US" w:eastAsia="zh-CN"/>
              </w:rPr>
              <w:t>17974万元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17974万元</w:t>
            </w:r>
            <w:r>
              <w:rPr>
                <w:rFonts w:hint="eastAsia" w:ascii="宋体" w:hAnsi="宋体" w:cs="宋体"/>
                <w:kern w:val="0"/>
                <w:sz w:val="20"/>
                <w:szCs w:val="20"/>
              </w:rPr>
              <w:t>　</w:t>
            </w:r>
          </w:p>
        </w:tc>
        <w:tc>
          <w:tcPr>
            <w:tcW w:w="2348"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492"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bookmarkStart w:id="0" w:name="_GoBack"/>
            <w:bookmarkEnd w:id="0"/>
            <w:r>
              <w:rPr>
                <w:rFonts w:hint="eastAsia" w:ascii="宋体" w:hAnsi="宋体" w:cs="宋体"/>
                <w:kern w:val="0"/>
                <w:sz w:val="20"/>
                <w:szCs w:val="20"/>
                <w:lang w:val="en-US" w:eastAsia="zh-CN"/>
              </w:rPr>
              <w:t>17974万元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8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348"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2018年度奇台县棚户区改造工程按期全面完工</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2018年度奇台县棚户区改造工程按期100%完工</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3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西梁北段</w:t>
            </w:r>
            <w:r>
              <w:rPr>
                <w:rFonts w:hint="eastAsia" w:ascii="宋体" w:hAnsi="宋体" w:cs="宋体"/>
                <w:kern w:val="0"/>
                <w:sz w:val="20"/>
                <w:szCs w:val="20"/>
                <w:lang w:val="en-US" w:eastAsia="zh-CN"/>
              </w:rPr>
              <w:t>18户，755万元</w:t>
            </w: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西梁东西段</w:t>
            </w:r>
            <w:r>
              <w:rPr>
                <w:rFonts w:hint="eastAsia" w:ascii="宋体" w:hAnsi="宋体" w:cs="宋体"/>
                <w:kern w:val="0"/>
                <w:sz w:val="20"/>
                <w:szCs w:val="20"/>
                <w:lang w:val="en-US" w:eastAsia="zh-CN"/>
              </w:rPr>
              <w:t>49户，2557万元</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水磨河</w:t>
            </w:r>
            <w:r>
              <w:rPr>
                <w:rFonts w:hint="eastAsia" w:ascii="宋体" w:hAnsi="宋体" w:cs="宋体"/>
                <w:kern w:val="0"/>
                <w:sz w:val="20"/>
                <w:szCs w:val="20"/>
                <w:lang w:val="en-US" w:eastAsia="zh-CN"/>
              </w:rPr>
              <w:t>24户1420万元</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4：</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犁铧尖中街</w:t>
            </w:r>
            <w:r>
              <w:rPr>
                <w:rFonts w:hint="eastAsia" w:ascii="宋体" w:hAnsi="宋体" w:cs="宋体"/>
                <w:kern w:val="0"/>
                <w:sz w:val="20"/>
                <w:szCs w:val="20"/>
                <w:lang w:val="en-US" w:eastAsia="zh-CN"/>
              </w:rPr>
              <w:t>36户1793万元</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5：</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犁铧尖南街</w:t>
            </w:r>
            <w:r>
              <w:rPr>
                <w:rFonts w:hint="eastAsia" w:ascii="宋体" w:hAnsi="宋体" w:cs="宋体"/>
                <w:kern w:val="0"/>
                <w:sz w:val="20"/>
                <w:szCs w:val="20"/>
                <w:lang w:val="en-US" w:eastAsia="zh-CN"/>
              </w:rPr>
              <w:t>28户，1145万元</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6：</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犁铧尖北街</w:t>
            </w:r>
            <w:r>
              <w:rPr>
                <w:rFonts w:hint="eastAsia" w:ascii="宋体" w:hAnsi="宋体" w:cs="宋体"/>
                <w:kern w:val="0"/>
                <w:sz w:val="20"/>
                <w:szCs w:val="20"/>
                <w:lang w:val="en-US" w:eastAsia="zh-CN"/>
              </w:rPr>
              <w:t>31户，1692万元</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7：</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城南苗圃</w:t>
            </w:r>
            <w:r>
              <w:rPr>
                <w:rFonts w:hint="eastAsia" w:ascii="宋体" w:hAnsi="宋体" w:cs="宋体"/>
                <w:kern w:val="0"/>
                <w:sz w:val="20"/>
                <w:szCs w:val="20"/>
                <w:lang w:val="en-US" w:eastAsia="zh-CN"/>
              </w:rPr>
              <w:t>26户，2950万元</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8：</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城南老砖窑</w:t>
            </w:r>
            <w:r>
              <w:rPr>
                <w:rFonts w:hint="eastAsia" w:ascii="宋体" w:hAnsi="宋体" w:cs="宋体"/>
                <w:kern w:val="0"/>
                <w:sz w:val="20"/>
                <w:szCs w:val="20"/>
                <w:lang w:val="en-US" w:eastAsia="zh-CN"/>
              </w:rPr>
              <w:t>26户2450万元</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9：</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城南八家户</w:t>
            </w:r>
            <w:r>
              <w:rPr>
                <w:rFonts w:hint="eastAsia" w:ascii="宋体" w:hAnsi="宋体" w:cs="宋体"/>
                <w:kern w:val="0"/>
                <w:sz w:val="20"/>
                <w:szCs w:val="20"/>
                <w:lang w:val="en-US" w:eastAsia="zh-CN"/>
              </w:rPr>
              <w:t>31户3212万元</w:t>
            </w: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西梁北段</w:t>
            </w:r>
            <w:r>
              <w:rPr>
                <w:rFonts w:hint="eastAsia" w:ascii="宋体" w:hAnsi="宋体" w:cs="宋体"/>
                <w:kern w:val="0"/>
                <w:sz w:val="20"/>
                <w:szCs w:val="20"/>
                <w:lang w:val="en-US" w:eastAsia="zh-CN"/>
              </w:rPr>
              <w:t>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西梁东西段资金发放准确率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水磨河资金发放准确率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4：</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犁铧尖中街资金发放准确率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5：</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犁铧尖南街资金发放准确率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6：</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犁铧尖北街资金发放准确率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7：</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城南苗圃资金发放准确率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8：</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城南老砖窑资金发放准确率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9：</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城南八家户资金发放准确率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西梁北段</w:t>
            </w:r>
            <w:r>
              <w:rPr>
                <w:rFonts w:hint="eastAsia" w:ascii="宋体" w:hAnsi="宋体" w:cs="宋体"/>
                <w:kern w:val="0"/>
                <w:sz w:val="20"/>
                <w:szCs w:val="20"/>
                <w:lang w:val="en-US" w:eastAsia="zh-CN"/>
              </w:rPr>
              <w:t>资金发放率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西梁东西段资金发放率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水磨河资金发放准确率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4：</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犁铧尖中街资金发放率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5：</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犁铧尖南街资金发放率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6：</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犁铧尖北街资金发放率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7：</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城南苗圃资金发放率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8：</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城南老砖窑资金发放率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9：</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城南八家户资金发放率</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西梁北段</w:t>
            </w:r>
            <w:r>
              <w:rPr>
                <w:rFonts w:hint="eastAsia" w:ascii="宋体" w:hAnsi="宋体" w:cs="宋体"/>
                <w:kern w:val="0"/>
                <w:sz w:val="20"/>
                <w:szCs w:val="20"/>
                <w:lang w:val="en-US" w:eastAsia="zh-CN"/>
              </w:rPr>
              <w:t>分配资金755万元</w:t>
            </w: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西梁北段实际完成</w:t>
            </w:r>
            <w:r>
              <w:rPr>
                <w:rFonts w:hint="eastAsia" w:ascii="宋体" w:hAnsi="宋体" w:cs="宋体"/>
                <w:kern w:val="0"/>
                <w:sz w:val="20"/>
                <w:szCs w:val="20"/>
                <w:lang w:val="en-US" w:eastAsia="zh-CN"/>
              </w:rPr>
              <w:t>755万元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西梁东西段</w:t>
            </w:r>
            <w:r>
              <w:rPr>
                <w:rFonts w:hint="eastAsia" w:ascii="宋体" w:hAnsi="宋体" w:cs="宋体"/>
                <w:kern w:val="0"/>
                <w:sz w:val="20"/>
                <w:szCs w:val="20"/>
                <w:lang w:val="en-US" w:eastAsia="zh-CN"/>
              </w:rPr>
              <w:t>分配资金2557万元</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西梁东西段实际完成</w:t>
            </w:r>
            <w:r>
              <w:rPr>
                <w:rFonts w:hint="eastAsia" w:ascii="宋体" w:hAnsi="宋体" w:cs="宋体"/>
                <w:kern w:val="0"/>
                <w:sz w:val="20"/>
                <w:szCs w:val="20"/>
                <w:lang w:val="en-US" w:eastAsia="zh-CN"/>
              </w:rPr>
              <w:t>2557万元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水磨河</w:t>
            </w:r>
            <w:r>
              <w:rPr>
                <w:rFonts w:hint="eastAsia" w:ascii="宋体" w:hAnsi="宋体" w:cs="宋体"/>
                <w:kern w:val="0"/>
                <w:sz w:val="20"/>
                <w:szCs w:val="20"/>
                <w:lang w:val="en-US" w:eastAsia="zh-CN"/>
              </w:rPr>
              <w:t>分配资金1420万元</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水磨河实际完成</w:t>
            </w:r>
            <w:r>
              <w:rPr>
                <w:rFonts w:hint="eastAsia" w:ascii="宋体" w:hAnsi="宋体" w:cs="宋体"/>
                <w:kern w:val="0"/>
                <w:sz w:val="20"/>
                <w:szCs w:val="20"/>
                <w:lang w:val="en-US" w:eastAsia="zh-CN"/>
              </w:rPr>
              <w:t>1420万元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4：</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犁铧尖中街</w:t>
            </w:r>
            <w:r>
              <w:rPr>
                <w:rFonts w:hint="eastAsia" w:ascii="宋体" w:hAnsi="宋体" w:cs="宋体"/>
                <w:kern w:val="0"/>
                <w:sz w:val="20"/>
                <w:szCs w:val="20"/>
                <w:lang w:val="en-US" w:eastAsia="zh-CN"/>
              </w:rPr>
              <w:t>分配资金1793万元</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犁铧尖中街实际完成</w:t>
            </w:r>
            <w:r>
              <w:rPr>
                <w:rFonts w:hint="eastAsia" w:ascii="宋体" w:hAnsi="宋体" w:cs="宋体"/>
                <w:kern w:val="0"/>
                <w:sz w:val="20"/>
                <w:szCs w:val="20"/>
                <w:lang w:val="en-US" w:eastAsia="zh-CN"/>
              </w:rPr>
              <w:t>1793万元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5：</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犁铧尖南街</w:t>
            </w:r>
            <w:r>
              <w:rPr>
                <w:rFonts w:hint="eastAsia" w:ascii="宋体" w:hAnsi="宋体" w:cs="宋体"/>
                <w:kern w:val="0"/>
                <w:sz w:val="20"/>
                <w:szCs w:val="20"/>
                <w:lang w:val="en-US" w:eastAsia="zh-CN"/>
              </w:rPr>
              <w:t>分配资金1145万元</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犁铧尖南街实际完成</w:t>
            </w:r>
            <w:r>
              <w:rPr>
                <w:rFonts w:hint="eastAsia" w:ascii="宋体" w:hAnsi="宋体" w:cs="宋体"/>
                <w:kern w:val="0"/>
                <w:sz w:val="20"/>
                <w:szCs w:val="20"/>
                <w:lang w:val="en-US" w:eastAsia="zh-CN"/>
              </w:rPr>
              <w:t>1145万元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6：</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犁铧尖北街</w:t>
            </w:r>
            <w:r>
              <w:rPr>
                <w:rFonts w:hint="eastAsia" w:ascii="宋体" w:hAnsi="宋体" w:cs="宋体"/>
                <w:kern w:val="0"/>
                <w:sz w:val="20"/>
                <w:szCs w:val="20"/>
                <w:lang w:val="en-US" w:eastAsia="zh-CN"/>
              </w:rPr>
              <w:t>分配资金，1692万元</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犁铧尖北街</w:t>
            </w:r>
            <w:r>
              <w:rPr>
                <w:rFonts w:hint="eastAsia" w:ascii="宋体" w:hAnsi="宋体" w:cs="宋体"/>
                <w:kern w:val="0"/>
                <w:sz w:val="20"/>
                <w:szCs w:val="20"/>
                <w:lang w:val="en-US" w:eastAsia="zh-CN"/>
              </w:rPr>
              <w:t>实际完成1692万元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7：</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城南苗圃</w:t>
            </w:r>
            <w:r>
              <w:rPr>
                <w:rFonts w:hint="eastAsia" w:ascii="宋体" w:hAnsi="宋体" w:cs="宋体"/>
                <w:kern w:val="0"/>
                <w:sz w:val="20"/>
                <w:szCs w:val="20"/>
                <w:lang w:val="en-US" w:eastAsia="zh-CN"/>
              </w:rPr>
              <w:t>分配资金，2950万元</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城南苗圃</w:t>
            </w:r>
            <w:r>
              <w:rPr>
                <w:rFonts w:hint="eastAsia" w:ascii="宋体" w:hAnsi="宋体" w:cs="宋体"/>
                <w:kern w:val="0"/>
                <w:sz w:val="20"/>
                <w:szCs w:val="20"/>
                <w:lang w:val="en-US" w:eastAsia="zh-CN"/>
              </w:rPr>
              <w:t>实际完成2950万元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8：</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城南老砖窑</w:t>
            </w:r>
            <w:r>
              <w:rPr>
                <w:rFonts w:hint="eastAsia" w:ascii="宋体" w:hAnsi="宋体" w:cs="宋体"/>
                <w:kern w:val="0"/>
                <w:sz w:val="20"/>
                <w:szCs w:val="20"/>
                <w:lang w:val="en-US" w:eastAsia="zh-CN"/>
              </w:rPr>
              <w:t>分配资金2450万元</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城南老砖窑实际完成</w:t>
            </w:r>
            <w:r>
              <w:rPr>
                <w:rFonts w:hint="eastAsia" w:ascii="宋体" w:hAnsi="宋体" w:cs="宋体"/>
                <w:kern w:val="0"/>
                <w:sz w:val="20"/>
                <w:szCs w:val="20"/>
                <w:lang w:val="en-US" w:eastAsia="zh-CN"/>
              </w:rPr>
              <w:t>2450万元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9：</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城南八家户</w:t>
            </w:r>
            <w:r>
              <w:rPr>
                <w:rFonts w:hint="eastAsia" w:ascii="宋体" w:hAnsi="宋体" w:cs="宋体"/>
                <w:kern w:val="0"/>
                <w:sz w:val="20"/>
                <w:szCs w:val="20"/>
                <w:lang w:val="en-US" w:eastAsia="zh-CN"/>
              </w:rPr>
              <w:t>分配资金3212万元</w:t>
            </w: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城南八家户实际完成</w:t>
            </w:r>
            <w:r>
              <w:rPr>
                <w:rFonts w:hint="eastAsia" w:ascii="宋体" w:hAnsi="宋体" w:cs="宋体"/>
                <w:kern w:val="0"/>
                <w:sz w:val="20"/>
                <w:szCs w:val="20"/>
                <w:lang w:val="en-US" w:eastAsia="zh-CN"/>
              </w:rPr>
              <w:t>3212万元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西梁北段受益户数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18户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西梁东西段受益户数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49户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水磨河受益户数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24户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4：</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犁铧尖中街受益户数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36户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5：</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犁铧尖南街受益户数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28户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6：</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犁铧尖北街受益户数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31户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7：</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城南苗圃受益户数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26户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8：</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城南老砖窑受益户数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26户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9：</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城南八家户受益户数</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31户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西梁北段群众满意度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西梁东西段群众满意度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水磨河群众满意度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4：</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犁铧尖中街群众满意度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5：</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犁铧尖南街群众满意度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6：</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犁铧尖北街群众满意度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7：</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城南苗圃群众满意度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8：</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城南老砖窑群众满意度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9：</w:t>
            </w:r>
          </w:p>
        </w:tc>
        <w:tc>
          <w:tcPr>
            <w:tcW w:w="234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城南八家户群众满意度</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楷体_GB2312">
    <w:altName w:val="楷体"/>
    <w:panose1 w:val="02010609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 w:name="RomanS">
    <w:altName w:val="Vrinda"/>
    <w:panose1 w:val="02000400000000000000"/>
    <w:charset w:val="00"/>
    <w:family w:val="auto"/>
    <w:pitch w:val="default"/>
    <w:sig w:usb0="00000000" w:usb1="00000000" w:usb2="00000000" w:usb3="00000000" w:csb0="000001FF" w:csb1="00000000"/>
  </w:font>
  <w:font w:name="Vrinda">
    <w:panose1 w:val="020B0502040204020203"/>
    <w:charset w:val="00"/>
    <w:family w:val="auto"/>
    <w:pitch w:val="default"/>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3BD26AC"/>
    <w:rsid w:val="05861B18"/>
    <w:rsid w:val="081527A6"/>
    <w:rsid w:val="083658F7"/>
    <w:rsid w:val="0A22665C"/>
    <w:rsid w:val="10122D8E"/>
    <w:rsid w:val="2C095EA4"/>
    <w:rsid w:val="2CF85C86"/>
    <w:rsid w:val="45521288"/>
    <w:rsid w:val="45FC1683"/>
    <w:rsid w:val="490225CE"/>
    <w:rsid w:val="5078179E"/>
    <w:rsid w:val="527A0EAB"/>
    <w:rsid w:val="52C5712C"/>
    <w:rsid w:val="5A953201"/>
    <w:rsid w:val="5E685A08"/>
    <w:rsid w:val="60327478"/>
    <w:rsid w:val="64853E18"/>
    <w:rsid w:val="70862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35</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2019-01-24T08:09:32Z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