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奇台县财政项目支出绩效自评报告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bookmarkStart w:id="1" w:name="_GoBack"/>
      <w:bookmarkEnd w:id="1"/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拥军优属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实施单位（公章）：奇台县民政局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主管部门（公章）：奇台县民政局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项目负责人（签章）：卢春林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 年 1月 20日</w:t>
      </w:r>
    </w:p>
    <w:p>
      <w:pPr>
        <w:spacing w:line="540" w:lineRule="exact"/>
        <w:ind w:firstLine="640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ind w:firstLine="640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ind w:firstLine="640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0"/>
          <w:szCs w:val="30"/>
        </w:rPr>
        <w:t>主要职能：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民政局主要承担：城乡低保、城乡医疗救助、城乡解困、救灾救济、基层政权和社区建设、优抚安置、双拥共建、婚姻登记、收养登记、孤儿管理、五保供养、“三无人员”管理、流浪乞讨人员管理、临时救助、一门受理协同办理、社会福利、福利机构管理、殡葬管理、行政区划、地名管理、民办非企业单位和社会团体登记管理等工作职能，承担新社会组织党工委各项工作。</w:t>
      </w:r>
    </w:p>
    <w:p>
      <w:pPr>
        <w:spacing w:line="540" w:lineRule="exact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拥军优属</w:t>
      </w:r>
      <w:r>
        <w:rPr>
          <w:rFonts w:hint="eastAsia" w:ascii="仿宋_GB2312" w:hAnsi="仿宋_GB2312" w:eastAsia="仿宋_GB2312" w:cs="仿宋_GB2312"/>
          <w:sz w:val="30"/>
          <w:szCs w:val="30"/>
        </w:rPr>
        <w:t>项目资金用于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拥军优属</w:t>
      </w:r>
      <w:r>
        <w:rPr>
          <w:rFonts w:hint="eastAsia" w:ascii="仿宋_GB2312" w:hAnsi="仿宋_GB2312" w:eastAsia="仿宋_GB2312" w:cs="仿宋_GB2312"/>
          <w:sz w:val="30"/>
          <w:szCs w:val="30"/>
        </w:rPr>
        <w:t>活动的支出，主要是节日慰问部队及军人家属。使优抚对象及家属感受到党和政府对其的关心、关怀。</w:t>
      </w:r>
    </w:p>
    <w:p>
      <w:pPr>
        <w:ind w:firstLine="624" w:firstLineChars="200"/>
        <w:jc w:val="lef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拥军优属</w:t>
      </w:r>
      <w:r>
        <w:rPr>
          <w:rFonts w:hint="eastAsia" w:ascii="仿宋_GB2312" w:hAnsi="仿宋_GB2312" w:eastAsia="仿宋_GB2312" w:cs="仿宋_GB2312"/>
          <w:sz w:val="30"/>
          <w:szCs w:val="30"/>
        </w:rPr>
        <w:t>项目资金用于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拥军优属</w:t>
      </w:r>
      <w:r>
        <w:rPr>
          <w:rFonts w:hint="eastAsia" w:ascii="仿宋_GB2312" w:hAnsi="仿宋_GB2312" w:eastAsia="仿宋_GB2312" w:cs="仿宋_GB2312"/>
          <w:sz w:val="30"/>
          <w:szCs w:val="30"/>
        </w:rPr>
        <w:t>活动的支出，该项目总投入46.6万元，其中上级财政拨款安排46.6万元。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拥军优属</w:t>
      </w:r>
      <w:r>
        <w:rPr>
          <w:rFonts w:hint="eastAsia" w:ascii="仿宋_GB2312" w:hAnsi="仿宋_GB2312" w:eastAsia="仿宋_GB2312" w:cs="仿宋_GB2312"/>
          <w:sz w:val="30"/>
          <w:szCs w:val="30"/>
        </w:rPr>
        <w:t>项目资金用于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拥军优属</w:t>
      </w:r>
      <w:r>
        <w:rPr>
          <w:rFonts w:hint="eastAsia" w:ascii="仿宋_GB2312" w:hAnsi="仿宋_GB2312" w:eastAsia="仿宋_GB2312" w:cs="仿宋_GB2312"/>
          <w:sz w:val="30"/>
          <w:szCs w:val="30"/>
        </w:rPr>
        <w:t>活动的支出，该项目总投入46.4万元，其中上级财政拨款安排46.4万元。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ind w:firstLine="600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bidi="ar"/>
        </w:rPr>
        <w:t>根据《中华人民共和国预算法》、《中华人民共和国会计法》</w:t>
      </w:r>
      <w:r>
        <w:rPr>
          <w:rFonts w:hint="eastAsia" w:ascii="宋体" w:hAnsi="宋体" w:cs="Arial"/>
          <w:color w:val="000000"/>
          <w:sz w:val="28"/>
          <w:szCs w:val="28"/>
          <w:lang w:bidi="ar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奇台县民政局项目资金管理办法。严格遵守项目资金管理的具体要求，实行“专款专用”，对项目资金进行计划申请、划拨、使用、及时规范对收支进行账务处理和会计核算。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拥军优属</w:t>
      </w:r>
      <w:r>
        <w:rPr>
          <w:rFonts w:hint="eastAsia" w:ascii="仿宋_GB2312" w:hAnsi="仿宋_GB2312" w:eastAsia="仿宋_GB2312" w:cs="仿宋_GB2312"/>
          <w:sz w:val="30"/>
          <w:szCs w:val="30"/>
        </w:rPr>
        <w:t>项目经县委、县政府批准后，优抚对象抚恤经费包括残疾军人、老复员军人、带病回乡退伍军人以及烈士遗属、因公牺牲军人遗属、病故军人遗属等支出，依据新民发【2017】136号&lt;&lt;关于调整部分优抚对象抚恤和生活补助标准的通知&gt;&gt;由县民政局组织实施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成立奇台县民政局项目资金管理领导小组，具体负责项目资金的使用和管理，在项目实施过程中接受县、乡镇纪检、财政、审计、督查部门、服务对象对项目资金发放进行全程监督。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拥军优属</w:t>
      </w:r>
      <w:r>
        <w:rPr>
          <w:rFonts w:hint="eastAsia" w:ascii="仿宋_GB2312" w:hAnsi="仿宋_GB2312" w:eastAsia="仿宋_GB2312" w:cs="仿宋_GB2312"/>
          <w:sz w:val="30"/>
          <w:szCs w:val="30"/>
        </w:rPr>
        <w:t>项目共投入资金46.6万元，涉及慰问单位26个，受益群体较多，项目完成质量高。优抚对象和双拥活动参与群体满意率良好。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项目绩效目标未完成原因分析</w:t>
      </w:r>
    </w:p>
    <w:p>
      <w:pPr>
        <w:spacing w:line="540" w:lineRule="exact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 xml:space="preserve">      </w:t>
      </w:r>
      <w:r>
        <w:rPr>
          <w:rFonts w:hint="eastAsia" w:ascii="楷体" w:hAnsi="楷体" w:eastAsia="楷体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项目绩效目标按年度如期完成。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817" w:firstLineChars="280"/>
        <w:rPr>
          <w:rFonts w:ascii="楷体" w:hAnsi="楷体" w:eastAsia="楷体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进一步加大服务力度，提高服务质量，提升管理水平，提高项目资金的使用效率，如期实现</w:t>
      </w:r>
      <w:r>
        <w:rPr>
          <w:rFonts w:hint="eastAsia" w:ascii="楷体" w:hAnsi="楷体" w:eastAsia="楷体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项目绩效目标。</w:t>
      </w:r>
    </w:p>
    <w:p>
      <w:pPr>
        <w:numPr>
          <w:ilvl w:val="0"/>
          <w:numId w:val="2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spacing w:line="540" w:lineRule="exact"/>
        <w:rPr>
          <w:rFonts w:ascii="楷体" w:hAnsi="楷体" w:eastAsia="楷体"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 xml:space="preserve">     </w:t>
      </w:r>
      <w:r>
        <w:rPr>
          <w:rFonts w:hint="eastAsia" w:ascii="楷体" w:hAnsi="楷体" w:eastAsia="楷体"/>
          <w:bCs/>
          <w:spacing w:val="-4"/>
          <w:sz w:val="32"/>
          <w:szCs w:val="32"/>
        </w:rPr>
        <w:t xml:space="preserve"> 绩效目标管理工作起步较晚，经验不足，业务人员业务知识缺乏，急待专业培训。形成专业人员管理实施项目的工作态势，提高资金项目实施的规范化、时效性，提高项目实施的针对性和实用性。</w:t>
      </w:r>
    </w:p>
    <w:p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1491" w:firstLineChars="478"/>
        <w:rPr>
          <w:rFonts w:ascii="楷体" w:hAnsi="楷体" w:eastAsia="楷体"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Cs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此次绩效评价民政部门通过入户核查、听取乡镇民政干事汇报、查阅资料、满意度测评等多种方法，认为优抚资金发放及时到位，优抚对象较满意。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《自治州财政项目支出绩效自评表》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pPr w:leftFromText="180" w:rightFromText="180" w:vertAnchor="text" w:horzAnchor="page" w:tblpX="1877" w:tblpY="236"/>
        <w:tblOverlap w:val="never"/>
        <w:tblW w:w="90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bookmarkStart w:id="0" w:name="_Hlk20232114"/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奇台县财政项目支出绩效自评表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（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2018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eastAsia="zh-CN"/>
              </w:rPr>
              <w:t>拥军优属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奇台县民政局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预算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执行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情况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46.6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46.6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46.6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46.6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年度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目标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现役士兵和退役士兵享受，提高国防意识，维护社会稳定。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现役士兵和退役士兵享受，提高了国防意识，维护社会稳定。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年度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绩效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保障率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应保尽保100%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应保尽保100%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优抚资金补助到位率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保障标准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伤残军人：分为因战、因公、因病3种性质1－10个等级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老复员军人：1035元／人／月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带病回乡退伍军人：550元／人／月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两参退役人员：600元／人／月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烈士遗属：1752元／人／月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因共牺牲军人遗属：1504元／人／月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病故军人遗属：1415元／人／月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伤残军人：分为因战、因公、因病3种性质1－10个等级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老复员军人：1035元／人／月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带病回乡退伍军人：550元／人／月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两参退役人员：600元／人／月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烈士遗属：1752元／人／月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因共牺牲军人遗属：1504元／人／月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病故军人遗属：1415元／人／月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在规定时间内发放保障资金的比例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经济效益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社会效益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生态效益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可持续影响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满意度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政策知晓率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工作满意度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bookmarkEnd w:id="0"/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3C8856"/>
    <w:multiLevelType w:val="singleLevel"/>
    <w:tmpl w:val="5C3C8856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5C3D2C05"/>
    <w:multiLevelType w:val="singleLevel"/>
    <w:tmpl w:val="5C3D2C05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iOGZiYWVmZDhlOWI5MWU4OWZmOTU1MWVjZmE1NjcifQ=="/>
  </w:docVars>
  <w:rsids>
    <w:rsidRoot w:val="00172A27"/>
    <w:rsid w:val="00035FD7"/>
    <w:rsid w:val="00056465"/>
    <w:rsid w:val="00121AE4"/>
    <w:rsid w:val="00146AAD"/>
    <w:rsid w:val="00172A27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C79D8"/>
    <w:rsid w:val="005D10D6"/>
    <w:rsid w:val="007806A5"/>
    <w:rsid w:val="007E67F2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68242CA"/>
    <w:rsid w:val="069318C5"/>
    <w:rsid w:val="092F1C6A"/>
    <w:rsid w:val="0B4001AF"/>
    <w:rsid w:val="0CFE70EC"/>
    <w:rsid w:val="11C22287"/>
    <w:rsid w:val="11DA0264"/>
    <w:rsid w:val="144C5BDC"/>
    <w:rsid w:val="19D0212E"/>
    <w:rsid w:val="1A7057C7"/>
    <w:rsid w:val="1E964D57"/>
    <w:rsid w:val="22313CD6"/>
    <w:rsid w:val="26EF0BA0"/>
    <w:rsid w:val="2CCF474E"/>
    <w:rsid w:val="2E365080"/>
    <w:rsid w:val="37E16FCC"/>
    <w:rsid w:val="39B143D0"/>
    <w:rsid w:val="428A768E"/>
    <w:rsid w:val="470532C6"/>
    <w:rsid w:val="47963B47"/>
    <w:rsid w:val="4A6D3135"/>
    <w:rsid w:val="5E292E6C"/>
    <w:rsid w:val="606A30C9"/>
    <w:rsid w:val="60F44CD9"/>
    <w:rsid w:val="62FA7B00"/>
    <w:rsid w:val="67011EDA"/>
    <w:rsid w:val="6911552B"/>
    <w:rsid w:val="70764670"/>
    <w:rsid w:val="71D57682"/>
    <w:rsid w:val="75D20AE8"/>
    <w:rsid w:val="7AC7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引用1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uiPriority w:val="29"/>
    <w:rPr>
      <w:i/>
      <w:sz w:val="24"/>
      <w:szCs w:val="24"/>
    </w:rPr>
  </w:style>
  <w:style w:type="paragraph" w:customStyle="1" w:styleId="35">
    <w:name w:val="明显引用1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356</Words>
  <Characters>2030</Characters>
  <Lines>16</Lines>
  <Paragraphs>4</Paragraphs>
  <TotalTime>1</TotalTime>
  <ScaleCrop>false</ScaleCrop>
  <LinksUpToDate>false</LinksUpToDate>
  <CharactersWithSpaces>2382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2024-01-16T10:02:02Z</dcterms:modified>
  <dc:title>附件1：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108821DB387E40DEB34A2846C91F4F71_12</vt:lpwstr>
  </property>
</Properties>
</file>