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征地和拆迁补偿支出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国土资源</w:t>
      </w:r>
      <w:r>
        <w:rPr>
          <w:rFonts w:hint="eastAsia" w:hAnsi="宋体" w:eastAsia="仿宋_GB2312" w:cs="宋体"/>
          <w:kern w:val="0"/>
          <w:sz w:val="36"/>
          <w:szCs w:val="36"/>
        </w:rPr>
        <w:t>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人民政府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王斌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  <w:highlight w:val="yellow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01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2"/>
        <w:ind w:firstLine="624" w:firstLineChars="200"/>
        <w:rPr>
          <w:rFonts w:hint="eastAsia" w:ascii="仿宋" w:hAnsi="仿宋" w:eastAsia="仿宋" w:cs="仿宋"/>
          <w:b w:val="0"/>
          <w:bCs w:val="0"/>
          <w:i w:val="0"/>
          <w:iCs w:val="0"/>
          <w:lang w:eastAsia="zh-CN"/>
        </w:rPr>
      </w:pPr>
      <w:r>
        <w:rPr>
          <w:rStyle w:val="20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eastAsia="zh-CN"/>
        </w:rPr>
        <w:t>奇台县国土资源局隶属于奇台县人民政府，下属三个事业单位，即奇台县土地资源储备中心、奇台县不动产登记中心、奇台县农用地管理中心。共有行政编制</w:t>
      </w:r>
      <w:r>
        <w:rPr>
          <w:rStyle w:val="20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val="en-US" w:eastAsia="zh-CN"/>
        </w:rPr>
        <w:t>10个、工勤编1个、事业编41个，2018年末实有工作人员45个。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20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zh-CN" w:eastAsia="zh-CN"/>
        </w:rPr>
      </w:pP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  <w:highlight w:val="none"/>
          <w:shd w:val="clear" w:color="auto" w:fill="auto"/>
          <w:lang w:eastAsia="zh-CN"/>
        </w:rPr>
        <w:t>项目基本情况：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项目总投资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18966.2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万元，其中土地征收补偿安置费用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18000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万元，占项目总投资的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94.9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%；项目技术服务费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69.7万元，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占项目总投资的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0.4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%；上缴2017年第六七批次征拨未利用地管理费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135.53万元，占项目总投资的0.7%；退还土地出让金760.98万元，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占项目总投资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%。</w:t>
      </w:r>
    </w:p>
    <w:p>
      <w:pPr>
        <w:spacing w:beforeLines="0" w:afterLines="0"/>
        <w:ind w:firstLine="624" w:firstLineChars="200"/>
        <w:jc w:val="left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20"/>
          <w:rFonts w:hint="eastAsia" w:ascii="楷体" w:hAnsi="楷体" w:eastAsia="楷体"/>
          <w:spacing w:val="-4"/>
          <w:sz w:val="32"/>
          <w:szCs w:val="32"/>
          <w:lang w:eastAsia="zh-CN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征地和拆迁补偿支出项目资金主要用于支付征地补偿费，</w:t>
      </w: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1899.2万元均为财政拨款。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zh-CN" w:eastAsia="zh-CN"/>
        </w:rPr>
      </w:pP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项目总投资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18966.2</w:t>
      </w: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万元，其中土地征收补偿安置费用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18000</w:t>
      </w: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万元，占项目总投资的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94.9</w:t>
      </w: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%；项目技术服务费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69.7万元，</w:t>
      </w: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占项目总投资的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0.4</w:t>
      </w: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%；上缴2017年第六七批次征拨未利用地管理费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135.53万元，占项目总投资的0.7%；退还土地出让金760.98万元，</w:t>
      </w: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占项目总投资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%。</w:t>
      </w:r>
    </w:p>
    <w:p>
      <w:pPr>
        <w:spacing w:line="540" w:lineRule="exact"/>
        <w:rPr>
          <w:rStyle w:val="20"/>
          <w:rFonts w:hint="eastAsia" w:ascii="楷体" w:hAnsi="楷体" w:eastAsia="楷体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项目资金</w:t>
      </w:r>
      <w:r>
        <w:rPr>
          <w:rFonts w:hint="eastAsia" w:ascii="仿宋" w:hAnsi="仿宋" w:eastAsia="仿宋" w:cs="仿宋"/>
          <w:sz w:val="32"/>
          <w:szCs w:val="32"/>
        </w:rPr>
        <w:t>依据《中华人民共和国土地管理法》、《土地储备管理办法》、《关于规范土地储备和资金管理等相关问题的通知》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</w:p>
    <w:p>
      <w:pPr>
        <w:pStyle w:val="1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fill="FFFFFF"/>
          <w:lang w:eastAsia="zh-CN"/>
        </w:rPr>
        <w:t>项目资金的使用严格按照专款专用的原则，按照</w:t>
      </w:r>
      <w:r>
        <w:rPr>
          <w:rFonts w:hint="eastAsia" w:ascii="仿宋" w:hAnsi="仿宋" w:eastAsia="仿宋" w:cs="仿宋"/>
          <w:sz w:val="32"/>
          <w:szCs w:val="32"/>
          <w:shd w:val="clear" w:fill="FFFFFF"/>
        </w:rPr>
        <w:t>县国土资源局与</w:t>
      </w:r>
      <w:r>
        <w:rPr>
          <w:rFonts w:hint="eastAsia" w:ascii="仿宋" w:hAnsi="仿宋" w:eastAsia="仿宋" w:cs="仿宋"/>
          <w:sz w:val="32"/>
          <w:szCs w:val="32"/>
          <w:shd w:val="clear" w:fill="FFFFFF"/>
          <w:lang w:eastAsia="zh-CN"/>
        </w:rPr>
        <w:t>被征地</w:t>
      </w:r>
      <w:r>
        <w:rPr>
          <w:rFonts w:hint="eastAsia" w:ascii="仿宋" w:hAnsi="仿宋" w:eastAsia="仿宋" w:cs="仿宋"/>
          <w:sz w:val="32"/>
          <w:szCs w:val="32"/>
          <w:shd w:val="clear" w:fill="FFFFFF"/>
        </w:rPr>
        <w:t>单位</w:t>
      </w:r>
      <w:r>
        <w:rPr>
          <w:rFonts w:hint="eastAsia" w:ascii="仿宋" w:hAnsi="仿宋" w:eastAsia="仿宋" w:cs="仿宋"/>
          <w:sz w:val="32"/>
          <w:szCs w:val="32"/>
          <w:shd w:val="clear" w:fill="FFFFFF"/>
          <w:lang w:eastAsia="zh-CN"/>
        </w:rPr>
        <w:t>和个人</w:t>
      </w:r>
      <w:r>
        <w:rPr>
          <w:rFonts w:hint="eastAsia" w:ascii="仿宋" w:hAnsi="仿宋" w:eastAsia="仿宋" w:cs="仿宋"/>
          <w:sz w:val="32"/>
          <w:szCs w:val="32"/>
          <w:shd w:val="clear" w:fill="FFFFFF"/>
        </w:rPr>
        <w:t>签定</w:t>
      </w:r>
      <w:r>
        <w:rPr>
          <w:rFonts w:hint="eastAsia" w:ascii="仿宋" w:hAnsi="仿宋" w:eastAsia="仿宋" w:cs="仿宋"/>
          <w:sz w:val="32"/>
          <w:szCs w:val="32"/>
          <w:shd w:val="clear" w:fill="FFFFFF"/>
          <w:lang w:eastAsia="zh-CN"/>
        </w:rPr>
        <w:t>的征地补偿协议支付，并</w:t>
      </w:r>
      <w:r>
        <w:rPr>
          <w:rFonts w:hint="eastAsia" w:ascii="仿宋" w:hAnsi="仿宋" w:eastAsia="仿宋" w:cs="仿宋"/>
          <w:sz w:val="32"/>
          <w:szCs w:val="32"/>
          <w:shd w:val="clear" w:fill="FFFFFF"/>
        </w:rPr>
        <w:t>按财政部门的要求在银行</w:t>
      </w:r>
      <w:r>
        <w:rPr>
          <w:rFonts w:hint="eastAsia" w:ascii="仿宋" w:hAnsi="仿宋" w:eastAsia="仿宋" w:cs="仿宋"/>
          <w:sz w:val="32"/>
          <w:szCs w:val="32"/>
          <w:shd w:val="clear" w:fill="FFFFFF"/>
          <w:lang w:eastAsia="zh-CN"/>
        </w:rPr>
        <w:t>开设</w:t>
      </w:r>
      <w:r>
        <w:rPr>
          <w:rFonts w:hint="eastAsia" w:ascii="仿宋" w:hAnsi="仿宋" w:eastAsia="仿宋" w:cs="仿宋"/>
          <w:sz w:val="32"/>
          <w:szCs w:val="32"/>
          <w:shd w:val="clear" w:fill="FFFFFF"/>
        </w:rPr>
        <w:t xml:space="preserve">土地储备专项债券资金结算专户。 </w:t>
      </w: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79" w:firstLineChars="181"/>
        <w:rPr>
          <w:rStyle w:val="20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主要</w:t>
      </w:r>
      <w:r>
        <w:rPr>
          <w:rFonts w:hint="eastAsia" w:ascii="仿宋" w:hAnsi="仿宋" w:eastAsia="仿宋" w:cs="仿宋"/>
          <w:sz w:val="32"/>
          <w:szCs w:val="32"/>
        </w:rPr>
        <w:t>领导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非常</w:t>
      </w:r>
      <w:r>
        <w:rPr>
          <w:rFonts w:hint="eastAsia" w:ascii="仿宋" w:hAnsi="仿宋" w:eastAsia="仿宋" w:cs="仿宋"/>
          <w:sz w:val="32"/>
          <w:szCs w:val="32"/>
        </w:rPr>
        <w:t>重视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征地补偿费的发放工作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在不到一个月的时间</w:t>
      </w:r>
      <w:r>
        <w:rPr>
          <w:rFonts w:hint="eastAsia" w:ascii="仿宋" w:hAnsi="仿宋" w:eastAsia="仿宋" w:cs="仿宋"/>
          <w:sz w:val="32"/>
          <w:szCs w:val="32"/>
        </w:rPr>
        <w:t>完成了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奇台县域内征地协议的签订和补偿费支付工作。</w:t>
      </w:r>
    </w:p>
    <w:p>
      <w:pPr>
        <w:spacing w:line="540" w:lineRule="exact"/>
        <w:ind w:firstLine="567" w:firstLineChars="181"/>
        <w:rPr>
          <w:rStyle w:val="20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</w:rPr>
        <w:t>土地征收征用范围面积为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29000</w:t>
      </w:r>
      <w:r>
        <w:rPr>
          <w:rFonts w:hint="eastAsia" w:ascii="仿宋" w:hAnsi="仿宋" w:eastAsia="仿宋" w:cs="仿宋"/>
          <w:sz w:val="32"/>
          <w:szCs w:val="32"/>
        </w:rPr>
        <w:t>亩，其中具有较高效益的商业、住宅土地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546</w:t>
      </w:r>
      <w:r>
        <w:rPr>
          <w:rFonts w:hint="eastAsia" w:ascii="仿宋" w:hAnsi="仿宋" w:eastAsia="仿宋" w:cs="仿宋"/>
          <w:sz w:val="32"/>
          <w:szCs w:val="32"/>
        </w:rPr>
        <w:t>亩，近期可开发出让，土地收益估算收入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2.898</w:t>
      </w:r>
      <w:r>
        <w:rPr>
          <w:rFonts w:hint="eastAsia" w:ascii="仿宋" w:hAnsi="仿宋" w:eastAsia="仿宋" w:cs="仿宋"/>
          <w:sz w:val="32"/>
          <w:szCs w:val="32"/>
        </w:rPr>
        <w:t>亿元，可作为项目偿还债券到期本息和。</w:t>
      </w:r>
    </w:p>
    <w:p>
      <w:pPr>
        <w:spacing w:line="540" w:lineRule="exact"/>
        <w:ind w:firstLine="640"/>
        <w:rPr>
          <w:rStyle w:val="20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</w:pPr>
      <w:r>
        <w:rPr>
          <w:rStyle w:val="20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本项目资金的使由发债银行和财政共同监管完成</w:t>
      </w:r>
    </w:p>
    <w:p>
      <w:pPr>
        <w:spacing w:line="540" w:lineRule="exact"/>
        <w:ind w:firstLine="640"/>
        <w:rPr>
          <w:rStyle w:val="20"/>
          <w:rFonts w:ascii="黑体" w:hAnsi="黑体" w:eastAsia="黑体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20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依据《中华人民共和国土地管理法》、《土地储备管理办法》、《关于规范土地储备和资金管理等相关问题的通知》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</w:rPr>
        <w:t>土地征收征用范围面积为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29000</w:t>
      </w:r>
      <w:r>
        <w:rPr>
          <w:rFonts w:hint="eastAsia" w:ascii="仿宋" w:hAnsi="仿宋" w:eastAsia="仿宋" w:cs="仿宋"/>
          <w:sz w:val="32"/>
          <w:szCs w:val="32"/>
        </w:rPr>
        <w:t>亩，其中具有较高效益的商业、住宅土地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546</w:t>
      </w:r>
      <w:r>
        <w:rPr>
          <w:rFonts w:hint="eastAsia" w:ascii="仿宋" w:hAnsi="仿宋" w:eastAsia="仿宋" w:cs="仿宋"/>
          <w:sz w:val="32"/>
          <w:szCs w:val="32"/>
        </w:rPr>
        <w:t>亩，近期可开发出让，土地收益估算收入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2.898</w:t>
      </w:r>
      <w:r>
        <w:rPr>
          <w:rFonts w:hint="eastAsia" w:ascii="仿宋" w:hAnsi="仿宋" w:eastAsia="仿宋" w:cs="仿宋"/>
          <w:sz w:val="32"/>
          <w:szCs w:val="32"/>
        </w:rPr>
        <w:t>亿元，可作为项目偿还债券到期本息和。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  <w:t>本项目资金将已签订征地协议的补偿费完成支付</w:t>
      </w: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val="en-US" w:eastAsia="zh-CN"/>
        </w:rPr>
        <w:t>45%，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切实维护群众合法权益。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  <w:highlight w:val="none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《自治州财政项目支出绩效自评表》</w:t>
      </w: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  <w:rPr>
          <w:rStyle w:val="20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pStyle w:val="3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3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25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奇台县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征地和拆迁补偿支出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奇台县国土资源局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18966.2万元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18966.2万元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18966.2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18966.2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计划支付已签订征地补偿费的45%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完成预定目标的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征地补偿费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18000万元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18000万元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上缴未利用地管理费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760.98万元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760.98万元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支付技术服务费等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205.22万元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205.22万元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征地补偿费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上缴未利用地管理费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支付技术服务费等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征地补偿费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18000万元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18000万元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上缴未利用地管理费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760.98万元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760.98万元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支付技术服务费等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205.22万元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205.22万元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受益对象满意度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B2051BD"/>
    <w:rsid w:val="0CFE70EC"/>
    <w:rsid w:val="10C821E7"/>
    <w:rsid w:val="11DA0264"/>
    <w:rsid w:val="13F66919"/>
    <w:rsid w:val="144C5BDC"/>
    <w:rsid w:val="15837D33"/>
    <w:rsid w:val="25364509"/>
    <w:rsid w:val="386C7A77"/>
    <w:rsid w:val="3D8828EF"/>
    <w:rsid w:val="606A30C9"/>
    <w:rsid w:val="61AF36E9"/>
    <w:rsid w:val="73E2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qFormat="1" w:uiPriority="99" w:semiHidden="0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6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2">
    <w:name w:val="heading 2"/>
    <w:basedOn w:val="1"/>
    <w:next w:val="3"/>
    <w:link w:val="27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8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9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10">
    <w:name w:val="heading 8"/>
    <w:basedOn w:val="1"/>
    <w:next w:val="1"/>
    <w:link w:val="33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1">
    <w:name w:val="heading 9"/>
    <w:basedOn w:val="1"/>
    <w:next w:val="1"/>
    <w:link w:val="34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qFormat/>
    <w:uiPriority w:val="1"/>
  </w:style>
  <w:style w:type="table" w:default="1" w:styleId="2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Plain Text"/>
    <w:basedOn w:val="1"/>
    <w:unhideWhenUsed/>
    <w:qFormat/>
    <w:uiPriority w:val="99"/>
    <w:rPr>
      <w:rFonts w:ascii="宋体" w:hAnsi="Courier New"/>
    </w:rPr>
  </w:style>
  <w:style w:type="paragraph" w:styleId="13">
    <w:name w:val="Balloon Text"/>
    <w:basedOn w:val="1"/>
    <w:link w:val="51"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5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5">
    <w:name w:val="header"/>
    <w:basedOn w:val="1"/>
    <w:link w:val="4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6">
    <w:name w:val="Subtitle"/>
    <w:basedOn w:val="1"/>
    <w:next w:val="1"/>
    <w:link w:val="36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8">
    <w:name w:val="Title"/>
    <w:basedOn w:val="1"/>
    <w:next w:val="1"/>
    <w:link w:val="35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FollowedHyperlink"/>
    <w:basedOn w:val="19"/>
    <w:unhideWhenUsed/>
    <w:qFormat/>
    <w:uiPriority w:val="99"/>
    <w:rPr>
      <w:rFonts w:ascii="微软雅黑" w:hAnsi="微软雅黑" w:eastAsia="微软雅黑" w:cs="微软雅黑"/>
      <w:color w:val="333333"/>
      <w:u w:val="none"/>
    </w:rPr>
  </w:style>
  <w:style w:type="character" w:styleId="22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3">
    <w:name w:val="HTML Acronym"/>
    <w:basedOn w:val="19"/>
    <w:unhideWhenUsed/>
    <w:qFormat/>
    <w:uiPriority w:val="99"/>
  </w:style>
  <w:style w:type="character" w:styleId="24">
    <w:name w:val="Hyperlink"/>
    <w:basedOn w:val="19"/>
    <w:unhideWhenUsed/>
    <w:qFormat/>
    <w:uiPriority w:val="99"/>
    <w:rPr>
      <w:rFonts w:hint="eastAsia" w:ascii="微软雅黑" w:hAnsi="微软雅黑" w:eastAsia="微软雅黑" w:cs="微软雅黑"/>
      <w:color w:val="333333"/>
      <w:u w:val="none"/>
    </w:rPr>
  </w:style>
  <w:style w:type="character" w:customStyle="1" w:styleId="26">
    <w:name w:val="标题 1 Char"/>
    <w:basedOn w:val="19"/>
    <w:link w:val="4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7">
    <w:name w:val="标题 2 Char"/>
    <w:basedOn w:val="19"/>
    <w:link w:val="2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8">
    <w:name w:val="标题 3 Char"/>
    <w:basedOn w:val="19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9">
    <w:name w:val="标题 4 Char"/>
    <w:basedOn w:val="19"/>
    <w:link w:val="6"/>
    <w:semiHidden/>
    <w:qFormat/>
    <w:uiPriority w:val="9"/>
    <w:rPr>
      <w:b/>
      <w:bCs/>
      <w:sz w:val="28"/>
      <w:szCs w:val="28"/>
    </w:rPr>
  </w:style>
  <w:style w:type="character" w:customStyle="1" w:styleId="30">
    <w:name w:val="标题 5 Char"/>
    <w:basedOn w:val="19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31">
    <w:name w:val="标题 6 Char"/>
    <w:basedOn w:val="19"/>
    <w:link w:val="8"/>
    <w:semiHidden/>
    <w:qFormat/>
    <w:uiPriority w:val="9"/>
    <w:rPr>
      <w:b/>
      <w:bCs/>
    </w:rPr>
  </w:style>
  <w:style w:type="character" w:customStyle="1" w:styleId="32">
    <w:name w:val="标题 7 Char"/>
    <w:basedOn w:val="19"/>
    <w:link w:val="9"/>
    <w:semiHidden/>
    <w:qFormat/>
    <w:uiPriority w:val="9"/>
    <w:rPr>
      <w:sz w:val="24"/>
      <w:szCs w:val="24"/>
    </w:rPr>
  </w:style>
  <w:style w:type="character" w:customStyle="1" w:styleId="33">
    <w:name w:val="标题 8 Char"/>
    <w:basedOn w:val="19"/>
    <w:link w:val="10"/>
    <w:semiHidden/>
    <w:qFormat/>
    <w:uiPriority w:val="9"/>
    <w:rPr>
      <w:i/>
      <w:iCs/>
      <w:sz w:val="24"/>
      <w:szCs w:val="24"/>
    </w:rPr>
  </w:style>
  <w:style w:type="character" w:customStyle="1" w:styleId="34">
    <w:name w:val="标题 9 Char"/>
    <w:basedOn w:val="19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5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6">
    <w:name w:val="副标题 Char"/>
    <w:basedOn w:val="19"/>
    <w:link w:val="16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7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8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9">
    <w:name w:val="Quote"/>
    <w:basedOn w:val="1"/>
    <w:next w:val="1"/>
    <w:link w:val="40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40">
    <w:name w:val="引用 Char"/>
    <w:basedOn w:val="19"/>
    <w:link w:val="39"/>
    <w:qFormat/>
    <w:uiPriority w:val="29"/>
    <w:rPr>
      <w:i/>
      <w:sz w:val="24"/>
      <w:szCs w:val="24"/>
    </w:rPr>
  </w:style>
  <w:style w:type="paragraph" w:customStyle="1" w:styleId="41">
    <w:name w:val="Intense Quote"/>
    <w:basedOn w:val="1"/>
    <w:next w:val="1"/>
    <w:link w:val="42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2">
    <w:name w:val="明显引用 Char"/>
    <w:basedOn w:val="19"/>
    <w:link w:val="41"/>
    <w:qFormat/>
    <w:uiPriority w:val="30"/>
    <w:rPr>
      <w:b/>
      <w:i/>
      <w:sz w:val="24"/>
    </w:rPr>
  </w:style>
  <w:style w:type="character" w:customStyle="1" w:styleId="43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4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5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6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7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8">
    <w:name w:val="TOC Heading"/>
    <w:basedOn w:val="4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9">
    <w:name w:val="页眉 Char"/>
    <w:basedOn w:val="19"/>
    <w:link w:val="15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50">
    <w:name w:val="页脚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51">
    <w:name w:val="批注框文本 Char"/>
    <w:basedOn w:val="19"/>
    <w:link w:val="13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52">
    <w:name w:val="gwds_nopic"/>
    <w:basedOn w:val="19"/>
    <w:qFormat/>
    <w:uiPriority w:val="0"/>
  </w:style>
  <w:style w:type="character" w:customStyle="1" w:styleId="53">
    <w:name w:val="gwds_nopic1"/>
    <w:basedOn w:val="19"/>
    <w:qFormat/>
    <w:uiPriority w:val="0"/>
  </w:style>
  <w:style w:type="character" w:customStyle="1" w:styleId="54">
    <w:name w:val="gwds_nopic2"/>
    <w:basedOn w:val="19"/>
    <w:qFormat/>
    <w:uiPriority w:val="0"/>
  </w:style>
  <w:style w:type="character" w:customStyle="1" w:styleId="55">
    <w:name w:val="tit"/>
    <w:basedOn w:val="1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4</TotalTime>
  <ScaleCrop>false</ScaleCrop>
  <LinksUpToDate>false</LinksUpToDate>
  <CharactersWithSpaces>1366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lenovo</cp:lastModifiedBy>
  <cp:lastPrinted>2019-01-13T12:20:00Z</cp:lastPrinted>
  <dcterms:modified xsi:type="dcterms:W3CDTF">2019-01-28T09:43:56Z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