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lang w:eastAsia="zh-CN"/>
        </w:rPr>
        <w:t>中国共产党奇台县委员会党校</w:t>
      </w:r>
      <w:r>
        <w:rPr>
          <w:rFonts w:hint="eastAsia" w:ascii="方正小标宋_GBK" w:hAnsi="华文中宋" w:eastAsia="方正小标宋_GBK" w:cs="宋体"/>
          <w:b/>
          <w:kern w:val="0"/>
          <w:sz w:val="44"/>
          <w:szCs w:val="44"/>
        </w:rPr>
        <w:t>财政项目支出</w:t>
      </w:r>
      <w:r>
        <w:rPr>
          <w:rFonts w:hint="eastAsia" w:ascii="方正小标宋_GBK" w:hAnsi="华文中宋" w:eastAsia="方正小标宋_GBK" w:cs="宋体"/>
          <w:b/>
          <w:kern w:val="0"/>
          <w:sz w:val="44"/>
          <w:szCs w:val="44"/>
          <w:lang w:val="en-US" w:eastAsia="zh-CN"/>
        </w:rPr>
        <w:t xml:space="preserve">  </w:t>
      </w:r>
      <w:r>
        <w:rPr>
          <w:rFonts w:hint="eastAsia" w:ascii="方正小标宋_GBK" w:hAnsi="华文中宋" w:eastAsia="方正小标宋_GBK" w:cs="宋体"/>
          <w:b/>
          <w:kern w:val="0"/>
          <w:sz w:val="44"/>
          <w:szCs w:val="44"/>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奇台县委党校综合教学楼建设项目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lang w:eastAsia="zh-CN"/>
        </w:rPr>
        <w:t>中国共产党奇台县委员会党校</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r>
        <w:rPr>
          <w:rFonts w:hint="eastAsia" w:hAnsi="宋体" w:eastAsia="仿宋_GB2312" w:cs="宋体"/>
          <w:kern w:val="0"/>
          <w:sz w:val="32"/>
          <w:szCs w:val="32"/>
          <w:lang w:eastAsia="zh-CN"/>
        </w:rPr>
        <w:t>中国共产党奇台县委员会党校</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卢静</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1月21</w:t>
      </w:r>
      <w:r>
        <w:rPr>
          <w:rFonts w:hint="eastAsia" w:hAnsi="宋体" w:eastAsia="仿宋_GB2312" w:cs="宋体"/>
          <w:kern w:val="0"/>
          <w:sz w:val="36"/>
          <w:szCs w:val="36"/>
        </w:rPr>
        <w:t>日</w:t>
      </w:r>
    </w:p>
    <w:p>
      <w:pPr>
        <w:spacing w:line="700" w:lineRule="exact"/>
        <w:ind w:firstLine="849" w:firstLineChars="236"/>
        <w:jc w:val="left"/>
        <w:rPr>
          <w:rFonts w:hint="eastAsia" w:hAnsi="宋体" w:eastAsia="仿宋_GB2312" w:cs="宋体"/>
          <w:kern w:val="0"/>
          <w:sz w:val="36"/>
          <w:szCs w:val="36"/>
        </w:rPr>
      </w:pP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bookmarkStart w:id="0" w:name="_GoBack"/>
      <w:bookmarkEnd w:id="0"/>
    </w:p>
    <w:p>
      <w:pPr>
        <w:spacing w:line="560" w:lineRule="exact"/>
        <w:ind w:firstLine="643" w:firstLineChars="200"/>
        <w:rPr>
          <w:rFonts w:hint="eastAsia" w:ascii="仿宋_GB2312" w:eastAsia="仿宋_GB2312"/>
          <w:b/>
          <w:bCs/>
          <w:color w:val="000000"/>
          <w:sz w:val="32"/>
          <w:szCs w:val="32"/>
        </w:rPr>
      </w:pPr>
      <w:r>
        <w:rPr>
          <w:rFonts w:hint="eastAsia" w:ascii="仿宋_GB2312" w:eastAsia="仿宋_GB2312"/>
          <w:b/>
          <w:bCs/>
          <w:color w:val="000000"/>
          <w:sz w:val="32"/>
          <w:szCs w:val="32"/>
        </w:rPr>
        <w:t>（一）项目单位基本情况</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单位</w:t>
      </w:r>
      <w:r>
        <w:rPr>
          <w:rFonts w:hint="eastAsia" w:ascii="仿宋_GB2312" w:eastAsia="仿宋_GB2312"/>
          <w:color w:val="000000"/>
          <w:sz w:val="32"/>
          <w:szCs w:val="32"/>
        </w:rPr>
        <w:t>主要职能</w:t>
      </w:r>
      <w:r>
        <w:rPr>
          <w:rFonts w:hint="eastAsia" w:ascii="仿宋_GB2312" w:eastAsia="仿宋_GB2312"/>
          <w:color w:val="000000"/>
          <w:sz w:val="32"/>
          <w:szCs w:val="32"/>
          <w:lang w:eastAsia="zh-CN"/>
        </w:rPr>
        <w:t>：</w:t>
      </w:r>
    </w:p>
    <w:p>
      <w:pPr>
        <w:numPr>
          <w:ilvl w:val="0"/>
          <w:numId w:val="1"/>
        </w:numPr>
        <w:spacing w:line="560" w:lineRule="exact"/>
        <w:ind w:firstLine="640" w:firstLineChars="200"/>
        <w:rPr>
          <w:rFonts w:hint="eastAsia" w:ascii="仿宋_GB2312" w:eastAsia="仿宋_GB2312"/>
          <w:color w:val="000000"/>
          <w:sz w:val="32"/>
          <w:szCs w:val="32"/>
          <w:lang w:val="en-US"/>
        </w:rPr>
      </w:pPr>
      <w:r>
        <w:rPr>
          <w:rFonts w:hint="eastAsia" w:ascii="仿宋_GB2312" w:eastAsia="仿宋_GB2312"/>
          <w:color w:val="000000"/>
          <w:sz w:val="32"/>
          <w:szCs w:val="32"/>
          <w:lang w:val="en-US"/>
        </w:rPr>
        <w:t>负责研究和宣传党的方针</w:t>
      </w:r>
      <w:r>
        <w:rPr>
          <w:rFonts w:hint="eastAsia" w:ascii="仿宋_GB2312" w:eastAsia="仿宋_GB2312"/>
          <w:color w:val="000000"/>
          <w:sz w:val="32"/>
          <w:szCs w:val="32"/>
          <w:lang w:val="en-US" w:eastAsia="zh-CN"/>
        </w:rPr>
        <w:t>、</w:t>
      </w:r>
      <w:r>
        <w:rPr>
          <w:rFonts w:hint="eastAsia" w:ascii="仿宋_GB2312" w:eastAsia="仿宋_GB2312"/>
          <w:color w:val="000000"/>
          <w:sz w:val="32"/>
          <w:szCs w:val="32"/>
          <w:lang w:val="en-US"/>
        </w:rPr>
        <w:t>政策及重大战略思想，围绕党的中心任务和县委、县政府的重大战略部署，对全县重大理论和现实问题开展研究，为教学和社会实践服务，为县委、县政府决策服务。</w:t>
      </w:r>
    </w:p>
    <w:p>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rPr>
        <w:t>根据县委、县政府中心工作的需要，举办各类专题研讨班，研讨和解决工作中的热点、难点问题；</w:t>
      </w:r>
    </w:p>
    <w:p>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rPr>
        <w:t>负责党员领导干部、后备干部、大学生“村官”、基层党员干部、理论骨干、知识分子和公务员的培训管理。</w:t>
      </w:r>
    </w:p>
    <w:p>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rPr>
        <w:t>负责对乡（镇）基层党校进行业务指导和师资培训工作；</w:t>
      </w:r>
    </w:p>
    <w:p>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rPr>
        <w:t>完成主管部门或上级业务部门交办的其他工作。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utoSpaceDE w:val="0"/>
        <w:autoSpaceDN w:val="0"/>
        <w:adjustRightInd w:val="0"/>
        <w:spacing w:line="50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奇台县委党校综合教学楼建设项目建筑面积</w:t>
      </w:r>
      <w:r>
        <w:rPr>
          <w:rFonts w:hint="eastAsia" w:ascii="仿宋_GB2312" w:eastAsia="仿宋_GB2312"/>
          <w:color w:val="000000"/>
          <w:sz w:val="32"/>
          <w:szCs w:val="32"/>
          <w:lang w:val="en-US" w:eastAsia="zh-CN"/>
        </w:rPr>
        <w:t>1万平方米，框架结构，地上十一层，地下一层。主要建设内容为综合教学楼土建施工及水、电、暖等配套设施安装。本项目主要以发挥党校职能为目标，以培训全县党员领导干部为主。</w:t>
      </w:r>
    </w:p>
    <w:p>
      <w:pPr>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utoSpaceDE w:val="0"/>
        <w:spacing w:line="560" w:lineRule="exact"/>
        <w:rPr>
          <w:rFonts w:hint="eastAsia" w:ascii="仿宋_GB2312" w:hAnsi="仿宋_GB2312" w:eastAsia="仿宋_GB2312" w:cs="仿宋_GB2312"/>
          <w:sz w:val="30"/>
          <w:lang w:val="en-US" w:eastAsia="zh-CN"/>
        </w:rPr>
      </w:pPr>
      <w:r>
        <w:rPr>
          <w:rFonts w:hint="eastAsia" w:ascii="仿宋_GB2312" w:hAnsi="仿宋_GB2312" w:eastAsia="仿宋_GB2312" w:cs="仿宋_GB2312"/>
          <w:sz w:val="30"/>
          <w:lang w:val="en-US" w:eastAsia="zh-CN"/>
        </w:rPr>
        <w:t xml:space="preserve">     奇台县委党校综合教学楼建设项目于2016年6月立项，项目总投资5260万元，建设期限2016年7月至2017年10月，资金来源全额县财政资金。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pStyle w:val="48"/>
        <w:spacing w:line="360" w:lineRule="auto"/>
        <w:rPr>
          <w:rFonts w:hint="eastAsia" w:ascii="仿宋_GB2312" w:hAnsi="仿宋_GB2312" w:eastAsia="仿宋_GB2312"/>
          <w:color w:val="000000"/>
          <w:kern w:val="0"/>
          <w:sz w:val="32"/>
          <w:lang w:val="en-US" w:eastAsia="zh-CN"/>
        </w:rPr>
      </w:pPr>
      <w:r>
        <w:rPr>
          <w:rFonts w:hint="eastAsia" w:ascii="仿宋_GB2312" w:hAnsi="仿宋_GB2312" w:eastAsia="仿宋_GB2312"/>
          <w:color w:val="000000"/>
          <w:kern w:val="0"/>
          <w:sz w:val="32"/>
          <w:lang w:val="en-US" w:eastAsia="zh-CN"/>
        </w:rPr>
        <w:t>2018年本级财政安排该项目资金37.05万元，</w:t>
      </w:r>
      <w:r>
        <w:rPr>
          <w:rFonts w:hint="eastAsia" w:ascii="仿宋_GB2312" w:hAnsi="仿宋" w:eastAsia="仿宋_GB2312" w:cs="Times New Roman"/>
          <w:b w:val="0"/>
          <w:bCs/>
          <w:kern w:val="2"/>
          <w:sz w:val="32"/>
          <w:szCs w:val="32"/>
          <w:lang w:val="en-US" w:eastAsia="zh-CN" w:bidi="ar-SA"/>
        </w:rPr>
        <w:t>该项目支出本属罚没款，由我校</w:t>
      </w:r>
      <w:r>
        <w:rPr>
          <w:rFonts w:hint="eastAsia" w:hAnsi="仿宋" w:cs="Times New Roman"/>
          <w:b w:val="0"/>
          <w:bCs/>
          <w:kern w:val="2"/>
          <w:sz w:val="32"/>
          <w:szCs w:val="32"/>
          <w:lang w:val="en-US" w:eastAsia="zh-CN" w:bidi="ar-SA"/>
        </w:rPr>
        <w:t>于2018年1月</w:t>
      </w:r>
      <w:r>
        <w:rPr>
          <w:rFonts w:hint="eastAsia" w:ascii="仿宋_GB2312" w:hAnsi="仿宋" w:eastAsia="仿宋_GB2312" w:cs="Times New Roman"/>
          <w:b w:val="0"/>
          <w:bCs/>
          <w:kern w:val="2"/>
          <w:sz w:val="32"/>
          <w:szCs w:val="32"/>
          <w:lang w:val="en-US" w:eastAsia="zh-CN" w:bidi="ar-SA"/>
        </w:rPr>
        <w:t>外借</w:t>
      </w:r>
      <w:r>
        <w:rPr>
          <w:rFonts w:hint="eastAsia" w:hAnsi="仿宋" w:cs="Times New Roman"/>
          <w:b w:val="0"/>
          <w:bCs/>
          <w:kern w:val="2"/>
          <w:sz w:val="32"/>
          <w:szCs w:val="32"/>
          <w:lang w:val="en-US" w:eastAsia="zh-CN" w:bidi="ar-SA"/>
        </w:rPr>
        <w:t>奇台县方正建筑安装工程有限责任公司37.5万元，于2018年1月</w:t>
      </w:r>
      <w:r>
        <w:rPr>
          <w:rFonts w:hint="eastAsia" w:ascii="仿宋_GB2312" w:hAnsi="仿宋" w:eastAsia="仿宋_GB2312" w:cs="Times New Roman"/>
          <w:b w:val="0"/>
          <w:bCs/>
          <w:kern w:val="2"/>
          <w:sz w:val="32"/>
          <w:szCs w:val="32"/>
          <w:lang w:val="en-US" w:eastAsia="zh-CN" w:bidi="ar-SA"/>
        </w:rPr>
        <w:t>被</w:t>
      </w:r>
      <w:r>
        <w:rPr>
          <w:rFonts w:hint="eastAsia" w:hAnsi="仿宋" w:cs="Times New Roman"/>
          <w:b w:val="0"/>
          <w:bCs/>
          <w:kern w:val="2"/>
          <w:sz w:val="32"/>
          <w:szCs w:val="32"/>
          <w:lang w:val="en-US" w:eastAsia="zh-CN" w:bidi="ar-SA"/>
        </w:rPr>
        <w:t>县</w:t>
      </w:r>
      <w:r>
        <w:rPr>
          <w:rFonts w:hint="eastAsia" w:ascii="仿宋_GB2312" w:hAnsi="仿宋" w:eastAsia="仿宋_GB2312" w:cs="Times New Roman"/>
          <w:b w:val="0"/>
          <w:bCs/>
          <w:kern w:val="2"/>
          <w:sz w:val="32"/>
          <w:szCs w:val="32"/>
          <w:lang w:val="en-US" w:eastAsia="zh-CN" w:bidi="ar-SA"/>
        </w:rPr>
        <w:t>财政收回，财政局</w:t>
      </w:r>
      <w:r>
        <w:rPr>
          <w:rFonts w:hint="eastAsia" w:hAnsi="仿宋" w:cs="Times New Roman"/>
          <w:b w:val="0"/>
          <w:bCs/>
          <w:kern w:val="2"/>
          <w:sz w:val="32"/>
          <w:szCs w:val="32"/>
          <w:lang w:val="en-US" w:eastAsia="zh-CN" w:bidi="ar-SA"/>
        </w:rPr>
        <w:t>于2018年5月</w:t>
      </w:r>
      <w:r>
        <w:rPr>
          <w:rFonts w:hint="eastAsia" w:ascii="仿宋_GB2312" w:hAnsi="仿宋" w:eastAsia="仿宋_GB2312" w:cs="Times New Roman"/>
          <w:b w:val="0"/>
          <w:bCs/>
          <w:kern w:val="2"/>
          <w:sz w:val="32"/>
          <w:szCs w:val="32"/>
          <w:lang w:val="en-US" w:eastAsia="zh-CN" w:bidi="ar-SA"/>
        </w:rPr>
        <w:t>以授权支付形式下拨我单位，我单位收到后</w:t>
      </w:r>
      <w:r>
        <w:rPr>
          <w:rFonts w:hint="eastAsia" w:hAnsi="仿宋" w:cs="Times New Roman"/>
          <w:b w:val="0"/>
          <w:bCs/>
          <w:kern w:val="2"/>
          <w:sz w:val="32"/>
          <w:szCs w:val="32"/>
          <w:lang w:val="en-US" w:eastAsia="zh-CN" w:bidi="ar-SA"/>
        </w:rPr>
        <w:t>于2018年5月</w:t>
      </w:r>
      <w:r>
        <w:rPr>
          <w:rFonts w:hint="eastAsia" w:ascii="仿宋_GB2312" w:hAnsi="仿宋" w:eastAsia="仿宋_GB2312" w:cs="Times New Roman"/>
          <w:b w:val="0"/>
          <w:bCs/>
          <w:kern w:val="2"/>
          <w:sz w:val="32"/>
          <w:szCs w:val="32"/>
          <w:lang w:val="en-US" w:eastAsia="zh-CN" w:bidi="ar-SA"/>
        </w:rPr>
        <w:t>归还</w:t>
      </w:r>
      <w:r>
        <w:rPr>
          <w:rFonts w:hint="eastAsia" w:hAnsi="仿宋" w:cs="Times New Roman"/>
          <w:b w:val="0"/>
          <w:bCs/>
          <w:kern w:val="2"/>
          <w:sz w:val="32"/>
          <w:szCs w:val="32"/>
          <w:lang w:val="en-US" w:eastAsia="zh-CN" w:bidi="ar-SA"/>
        </w:rPr>
        <w:t>奇台县方正建筑安装工程有限责任公司</w:t>
      </w:r>
      <w:r>
        <w:rPr>
          <w:rFonts w:hint="eastAsia" w:ascii="仿宋_GB2312" w:hAnsi="仿宋" w:eastAsia="仿宋_GB2312" w:cs="Times New Roman"/>
          <w:b w:val="0"/>
          <w:bCs/>
          <w:kern w:val="2"/>
          <w:sz w:val="32"/>
          <w:szCs w:val="32"/>
          <w:lang w:val="en-US" w:eastAsia="zh-CN" w:bidi="ar-SA"/>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utoSpaceDE w:val="0"/>
        <w:spacing w:line="560" w:lineRule="exact"/>
        <w:ind w:firstLine="800"/>
        <w:rPr>
          <w:rFonts w:hint="default" w:ascii="宋体" w:hAnsi="宋体"/>
          <w:sz w:val="24"/>
        </w:rPr>
      </w:pPr>
      <w:r>
        <w:rPr>
          <w:rFonts w:hint="default" w:ascii="仿宋_GB2312" w:hAnsi="仿宋_GB2312" w:eastAsia="仿宋_GB2312"/>
          <w:color w:val="000000"/>
          <w:kern w:val="0"/>
          <w:sz w:val="32"/>
          <w:lang w:eastAsia="zh-CN"/>
        </w:rPr>
        <w:t>1.认真按照上级部门的统一部署，统一思想认识，强化资金使用绩效，狠抓责任落实，保证项目建设资金按时到位，专款专用。</w:t>
      </w:r>
    </w:p>
    <w:p>
      <w:pPr>
        <w:autoSpaceDE w:val="0"/>
        <w:spacing w:line="560" w:lineRule="exact"/>
        <w:ind w:firstLine="800"/>
        <w:rPr>
          <w:rFonts w:hint="default" w:ascii="宋体" w:hAnsi="宋体"/>
          <w:sz w:val="24"/>
        </w:rPr>
      </w:pPr>
      <w:r>
        <w:rPr>
          <w:rFonts w:hint="default" w:ascii="仿宋_GB2312" w:hAnsi="仿宋_GB2312" w:eastAsia="仿宋_GB2312"/>
          <w:color w:val="000000"/>
          <w:kern w:val="0"/>
          <w:sz w:val="32"/>
          <w:lang w:eastAsia="zh-CN"/>
        </w:rPr>
        <w:t>2.全面推行信息公开、公告、公示制度，确保项目建设资金的使用公正透明，确保项目实施达到预期的经济效益、社会效益、生态效益。</w:t>
      </w:r>
    </w:p>
    <w:p>
      <w:pPr>
        <w:autoSpaceDE w:val="0"/>
        <w:spacing w:line="560" w:lineRule="exact"/>
        <w:ind w:firstLine="800"/>
        <w:rPr>
          <w:rStyle w:val="18"/>
          <w:rFonts w:hint="eastAsia" w:ascii="仿宋" w:hAnsi="仿宋" w:eastAsia="仿宋"/>
          <w:b w:val="0"/>
          <w:spacing w:val="-4"/>
          <w:sz w:val="32"/>
          <w:szCs w:val="32"/>
          <w:highlight w:val="yellow"/>
        </w:rPr>
      </w:pPr>
      <w:r>
        <w:rPr>
          <w:rFonts w:hint="default" w:ascii="仿宋_GB2312" w:hAnsi="仿宋_GB2312" w:eastAsia="仿宋_GB2312"/>
          <w:color w:val="000000"/>
          <w:kern w:val="0"/>
          <w:sz w:val="32"/>
          <w:lang w:eastAsia="zh-CN"/>
        </w:rPr>
        <w:t>3.项目资金支付形式，由</w:t>
      </w:r>
      <w:r>
        <w:rPr>
          <w:rFonts w:hint="eastAsia" w:ascii="仿宋_GB2312" w:hAnsi="仿宋_GB2312" w:eastAsia="仿宋_GB2312"/>
          <w:color w:val="000000"/>
          <w:kern w:val="0"/>
          <w:sz w:val="32"/>
          <w:lang w:eastAsia="zh-CN"/>
        </w:rPr>
        <w:t>财务室</w:t>
      </w:r>
      <w:r>
        <w:rPr>
          <w:rFonts w:hint="default" w:ascii="仿宋_GB2312" w:hAnsi="仿宋_GB2312" w:eastAsia="仿宋_GB2312"/>
          <w:color w:val="000000"/>
          <w:kern w:val="0"/>
          <w:sz w:val="32"/>
          <w:lang w:eastAsia="zh-CN"/>
        </w:rPr>
        <w:t>年初拟定用款计划，严格按照项目资金管理办法对资金进行计划申请、划拨、使用，及时、规范对收支进行账务处理和会计核算。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奇台县委党校综合教学楼建设项目由奇台县委党校负责组织实施，经公开招标，由奇台县方正建筑安装工程有限责任公司中标承建。奇台县委党校与奇台县方正建筑安装工程有限责任公司签订合同协议书。开工日期2016年7月，计划竣工日期2017年10月，目前主体基本完工，现处于停建状态。</w:t>
      </w:r>
    </w:p>
    <w:p>
      <w:pPr>
        <w:numPr>
          <w:ilvl w:val="0"/>
          <w:numId w:val="2"/>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项目管理情况分析</w:t>
      </w:r>
    </w:p>
    <w:p>
      <w:pPr>
        <w:numPr>
          <w:ilvl w:val="0"/>
          <w:numId w:val="0"/>
        </w:num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严格执行国家、</w:t>
      </w:r>
      <w:r>
        <w:rPr>
          <w:rFonts w:hint="eastAsia" w:ascii="仿宋_GB2312" w:hAnsi="仿宋_GB2312" w:eastAsia="仿宋_GB2312" w:cs="仿宋_GB2312"/>
          <w:sz w:val="32"/>
          <w:szCs w:val="32"/>
          <w:lang w:eastAsia="zh-CN"/>
        </w:rPr>
        <w:t>区、州、县</w:t>
      </w:r>
      <w:r>
        <w:rPr>
          <w:rFonts w:hint="eastAsia" w:ascii="仿宋_GB2312" w:hAnsi="仿宋_GB2312" w:eastAsia="仿宋_GB2312" w:cs="仿宋_GB2312"/>
          <w:sz w:val="32"/>
          <w:szCs w:val="32"/>
        </w:rPr>
        <w:t>项目管理相关制度，</w:t>
      </w:r>
      <w:r>
        <w:rPr>
          <w:rFonts w:hint="eastAsia" w:ascii="仿宋_GB2312" w:hAnsi="仿宋_GB2312" w:eastAsia="仿宋_GB2312" w:cs="仿宋_GB2312"/>
          <w:sz w:val="32"/>
          <w:szCs w:val="32"/>
          <w:lang w:eastAsia="zh-CN"/>
        </w:rPr>
        <w:t>完善了前期立项手续，公开招投标，签订了设计、勘察、施工、监理、电力安装等合同，并按合同规定认真组织实施，全程由新疆天正工程项目管理公司奇台县分公司负责监理施工。</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numPr>
          <w:ilvl w:val="0"/>
          <w:numId w:val="0"/>
        </w:numPr>
        <w:spacing w:line="560" w:lineRule="exact"/>
        <w:ind w:firstLine="640" w:firstLineChars="200"/>
        <w:rPr>
          <w:rFonts w:hint="eastAsia" w:ascii="仿宋_GB2312" w:eastAsia="仿宋_GB2312"/>
          <w:color w:val="000000"/>
          <w:sz w:val="32"/>
          <w:szCs w:val="32"/>
        </w:rPr>
      </w:pPr>
      <w:r>
        <w:rPr>
          <w:rFonts w:hint="eastAsia" w:ascii="仿宋_GB2312" w:hAnsi="仿宋_GB2312" w:eastAsia="仿宋_GB2312" w:cs="仿宋_GB2312"/>
          <w:sz w:val="32"/>
          <w:szCs w:val="32"/>
        </w:rPr>
        <w:t>1、项目的经济性：</w:t>
      </w:r>
      <w:r>
        <w:rPr>
          <w:rFonts w:hint="eastAsia" w:ascii="仿宋_GB2312" w:hAnsi="仿宋_GB2312" w:eastAsia="仿宋_GB2312" w:cs="仿宋_GB2312"/>
          <w:sz w:val="32"/>
          <w:szCs w:val="32"/>
          <w:lang w:eastAsia="zh-CN"/>
        </w:rPr>
        <w:t>该项目建成后将</w:t>
      </w:r>
      <w:r>
        <w:rPr>
          <w:rFonts w:hint="eastAsia" w:ascii="仿宋_GB2312" w:eastAsia="仿宋_GB2312"/>
          <w:color w:val="000000"/>
          <w:sz w:val="32"/>
          <w:szCs w:val="32"/>
          <w:lang w:val="en-US"/>
        </w:rPr>
        <w:t>根据县委、县政府中心工作的需要，举办各类专题研讨班，研讨和解决工作中的热点、难点问题；</w:t>
      </w:r>
      <w:r>
        <w:rPr>
          <w:rFonts w:hint="eastAsia" w:ascii="仿宋_GB2312" w:eastAsia="仿宋_GB2312"/>
          <w:color w:val="000000"/>
          <w:sz w:val="32"/>
          <w:szCs w:val="32"/>
          <w:lang w:val="en-US" w:eastAsia="zh-CN"/>
        </w:rPr>
        <w:t>承担全县</w:t>
      </w:r>
      <w:r>
        <w:rPr>
          <w:rFonts w:hint="eastAsia" w:ascii="仿宋_GB2312" w:eastAsia="仿宋_GB2312"/>
          <w:color w:val="000000"/>
          <w:sz w:val="32"/>
          <w:szCs w:val="32"/>
          <w:lang w:val="en-US"/>
        </w:rPr>
        <w:t>党员领导干部、后备干部、大学生“村官”、基层党员干部、理论骨干、知识分子和公务员的培训管理</w:t>
      </w:r>
      <w:r>
        <w:rPr>
          <w:rFonts w:hint="eastAsia" w:ascii="仿宋_GB2312" w:eastAsia="仿宋_GB2312"/>
          <w:color w:val="000000"/>
          <w:sz w:val="32"/>
          <w:szCs w:val="32"/>
          <w:lang w:val="en-US" w:eastAsia="zh-CN"/>
        </w:rPr>
        <w:t>工作，同时承担</w:t>
      </w:r>
      <w:r>
        <w:rPr>
          <w:rFonts w:hint="eastAsia" w:ascii="仿宋_GB2312" w:eastAsia="仿宋_GB2312"/>
          <w:color w:val="000000"/>
          <w:sz w:val="32"/>
          <w:szCs w:val="32"/>
          <w:lang w:val="en-US"/>
        </w:rPr>
        <w:t>对乡（镇）基层党校进行业务指导和师资培训工作；</w:t>
      </w:r>
    </w:p>
    <w:p>
      <w:pPr>
        <w:numPr>
          <w:ilvl w:val="0"/>
          <w:numId w:val="0"/>
        </w:num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w:t>
      </w:r>
      <w:r>
        <w:rPr>
          <w:rFonts w:hint="eastAsia" w:ascii="仿宋_GB2312" w:hAnsi="仿宋_GB2312" w:eastAsia="仿宋_GB2312" w:cs="仿宋_GB2312"/>
          <w:color w:val="000000"/>
          <w:sz w:val="32"/>
          <w:szCs w:val="32"/>
        </w:rPr>
        <w:t>认真贯彻落实县委全会精神，深入研究、宣传、阐释全会提出的新观点、新论断、新要求、新举措，为推进依法治县、建设幸福美丽</w:t>
      </w:r>
      <w:r>
        <w:rPr>
          <w:rFonts w:hint="eastAsia" w:ascii="仿宋_GB2312" w:hAnsi="仿宋_GB2312" w:eastAsia="仿宋_GB2312" w:cs="仿宋_GB2312"/>
          <w:color w:val="000000"/>
          <w:sz w:val="32"/>
          <w:szCs w:val="32"/>
          <w:lang w:eastAsia="zh-CN"/>
        </w:rPr>
        <w:t>奇台</w:t>
      </w:r>
      <w:r>
        <w:rPr>
          <w:rFonts w:hint="eastAsia" w:ascii="仿宋_GB2312" w:hAnsi="仿宋_GB2312" w:eastAsia="仿宋_GB2312" w:cs="仿宋_GB2312"/>
          <w:color w:val="000000"/>
          <w:sz w:val="32"/>
          <w:szCs w:val="32"/>
        </w:rPr>
        <w:t>提供理论和智力支持。</w:t>
      </w:r>
    </w:p>
    <w:p>
      <w:pPr>
        <w:numPr>
          <w:ilvl w:val="0"/>
          <w:numId w:val="0"/>
        </w:numPr>
        <w:spacing w:line="560" w:lineRule="exact"/>
        <w:ind w:firstLine="640" w:firstLineChars="200"/>
        <w:rPr>
          <w:rFonts w:hint="eastAsia" w:ascii="仿宋_GB2312" w:eastAsia="仿宋_GB2312"/>
          <w:color w:val="000000"/>
          <w:sz w:val="32"/>
          <w:szCs w:val="32"/>
          <w:lang w:val="en-US"/>
        </w:rPr>
      </w:pPr>
      <w:r>
        <w:rPr>
          <w:rFonts w:hint="eastAsia" w:ascii="仿宋_GB2312" w:hAnsi="仿宋_GB2312" w:eastAsia="仿宋_GB2312" w:cs="仿宋_GB2312"/>
          <w:sz w:val="32"/>
          <w:szCs w:val="32"/>
        </w:rPr>
        <w:t>3、项目的有益性：</w:t>
      </w:r>
      <w:r>
        <w:rPr>
          <w:rFonts w:hint="eastAsia" w:ascii="仿宋_GB2312" w:hAnsi="仿宋_GB2312" w:eastAsia="仿宋_GB2312" w:cs="仿宋_GB2312"/>
          <w:sz w:val="32"/>
          <w:szCs w:val="32"/>
          <w:lang w:eastAsia="zh-CN"/>
        </w:rPr>
        <w:t>该项目建成后将承担</w:t>
      </w:r>
      <w:r>
        <w:rPr>
          <w:rFonts w:hint="eastAsia" w:ascii="仿宋_GB2312" w:eastAsia="仿宋_GB2312"/>
          <w:color w:val="000000"/>
          <w:sz w:val="32"/>
          <w:szCs w:val="32"/>
          <w:lang w:val="en-US"/>
        </w:rPr>
        <w:t>研究和宣传党的方针</w:t>
      </w:r>
      <w:r>
        <w:rPr>
          <w:rFonts w:hint="eastAsia" w:ascii="仿宋_GB2312" w:eastAsia="仿宋_GB2312"/>
          <w:color w:val="000000"/>
          <w:sz w:val="32"/>
          <w:szCs w:val="32"/>
          <w:lang w:val="en-US" w:eastAsia="zh-CN"/>
        </w:rPr>
        <w:t>、</w:t>
      </w:r>
      <w:r>
        <w:rPr>
          <w:rFonts w:hint="eastAsia" w:ascii="仿宋_GB2312" w:eastAsia="仿宋_GB2312"/>
          <w:color w:val="000000"/>
          <w:sz w:val="32"/>
          <w:szCs w:val="32"/>
          <w:lang w:val="en-US"/>
        </w:rPr>
        <w:t>政策及重大战略思想，围绕党的中心任务和县委、县政府的重大战略部署，对全县重大理论和现实问题开展研究，为教学和社会实践服务，为县委、县政府决策服务。</w:t>
      </w:r>
    </w:p>
    <w:p>
      <w:pPr>
        <w:pStyle w:val="15"/>
        <w:shd w:val="clear" w:color="auto" w:fill="FFFFFF"/>
        <w:spacing w:before="0" w:beforeAutospacing="0" w:after="0" w:afterAutospacing="0" w:line="420" w:lineRule="atLeast"/>
        <w:ind w:firstLine="640" w:firstLineChars="200"/>
        <w:rPr>
          <w:rFonts w:hint="eastAsia" w:ascii="仿宋_GB2312" w:eastAsia="仿宋_GB2312"/>
          <w:color w:val="000000"/>
          <w:sz w:val="32"/>
          <w:szCs w:val="32"/>
          <w:lang w:val="en-US"/>
        </w:rPr>
      </w:pPr>
      <w:r>
        <w:rPr>
          <w:rFonts w:hint="eastAsia" w:ascii="仿宋_GB2312" w:hAnsi="仿宋_GB2312" w:eastAsia="仿宋_GB2312" w:cs="仿宋_GB2312"/>
          <w:sz w:val="32"/>
          <w:szCs w:val="32"/>
        </w:rPr>
        <w:t>4、项目的可持续性：</w:t>
      </w:r>
      <w:r>
        <w:rPr>
          <w:rFonts w:hint="eastAsia" w:ascii="仿宋_GB2312" w:hAnsi="仿宋_GB2312" w:eastAsia="仿宋_GB2312" w:cs="仿宋_GB2312"/>
          <w:sz w:val="32"/>
          <w:szCs w:val="32"/>
          <w:lang w:eastAsia="zh-CN"/>
        </w:rPr>
        <w:t>该建设项目</w:t>
      </w:r>
      <w:r>
        <w:rPr>
          <w:rFonts w:hint="eastAsia" w:ascii="仿宋_GB2312" w:hAnsi="仿宋_GB2312" w:eastAsia="仿宋_GB2312" w:cs="仿宋_GB2312"/>
          <w:color w:val="000000"/>
          <w:sz w:val="32"/>
          <w:szCs w:val="32"/>
        </w:rPr>
        <w:t>坚持问题导向，紧紧围绕依法治县工作大局精心设计决策咨询研究课题，发挥教师、学员两个优势，深入基层、深入实际、深入群众，着力加强调查研究，对党校教师和学员撰写的涉及全局性、具有普遍指导意义的调研报告，及时向县委县政府领导和相关部门报送，推进有价值的资政研究成果有效服务领导决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r>
        <w:rPr>
          <w:rFonts w:hint="eastAsia" w:ascii="楷体" w:hAnsi="楷体" w:eastAsia="楷体"/>
          <w:b/>
          <w:spacing w:val="-4"/>
          <w:sz w:val="32"/>
          <w:szCs w:val="32"/>
          <w:lang w:val="en-US"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79" w:firstLineChars="181"/>
        <w:rPr>
          <w:rFonts w:ascii="楷体" w:hAnsi="楷体" w:eastAsia="楷体"/>
          <w:b/>
          <w:spacing w:val="-4"/>
          <w:sz w:val="32"/>
          <w:szCs w:val="32"/>
        </w:rPr>
      </w:pPr>
      <w:r>
        <w:rPr>
          <w:rFonts w:hint="eastAsia" w:ascii="仿宋_GB2312" w:eastAsia="仿宋_GB2312"/>
          <w:color w:val="000000"/>
          <w:sz w:val="32"/>
          <w:szCs w:val="32"/>
          <w:lang w:eastAsia="zh-CN"/>
        </w:rPr>
        <w:t>该项目</w:t>
      </w:r>
      <w:r>
        <w:rPr>
          <w:rFonts w:hint="eastAsia" w:ascii="仿宋_GB2312" w:eastAsia="仿宋_GB2312"/>
          <w:color w:val="000000"/>
          <w:sz w:val="32"/>
          <w:szCs w:val="32"/>
        </w:rPr>
        <w:t>工程</w:t>
      </w:r>
      <w:r>
        <w:rPr>
          <w:rFonts w:hint="eastAsia" w:ascii="仿宋_GB2312" w:eastAsia="仿宋_GB2312"/>
          <w:color w:val="000000"/>
          <w:sz w:val="32"/>
          <w:szCs w:val="32"/>
          <w:lang w:eastAsia="zh-CN"/>
        </w:rPr>
        <w:t>目前暂时停建，处于待装修阶段，待县委做出明确决策同意重新开工后，将按照计划申报后续资金。</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numPr>
          <w:ilvl w:val="0"/>
          <w:numId w:val="0"/>
        </w:num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olor w:val="000000"/>
          <w:kern w:val="0"/>
          <w:sz w:val="32"/>
          <w:lang w:val="en-US" w:eastAsia="zh-CN"/>
        </w:rPr>
        <w:t>主要经验及做法：</w:t>
      </w:r>
      <w:r>
        <w:rPr>
          <w:rFonts w:hint="default" w:ascii="仿宋_GB2312" w:hAnsi="仿宋_GB2312" w:eastAsia="仿宋_GB2312"/>
          <w:color w:val="000000"/>
          <w:kern w:val="0"/>
          <w:sz w:val="32"/>
          <w:lang w:eastAsia="zh-CN"/>
        </w:rPr>
        <w:t>我</w:t>
      </w:r>
      <w:r>
        <w:rPr>
          <w:rFonts w:hint="eastAsia" w:ascii="仿宋_GB2312" w:hAnsi="仿宋_GB2312" w:eastAsia="仿宋_GB2312"/>
          <w:color w:val="000000"/>
          <w:kern w:val="0"/>
          <w:sz w:val="32"/>
          <w:lang w:eastAsia="zh-CN"/>
        </w:rPr>
        <w:t>校</w:t>
      </w:r>
      <w:r>
        <w:rPr>
          <w:rFonts w:hint="default" w:ascii="仿宋_GB2312" w:hAnsi="仿宋_GB2312" w:eastAsia="仿宋_GB2312"/>
          <w:color w:val="000000"/>
          <w:kern w:val="0"/>
          <w:sz w:val="32"/>
          <w:lang w:eastAsia="zh-CN"/>
        </w:rPr>
        <w:t>201</w:t>
      </w:r>
      <w:r>
        <w:rPr>
          <w:rFonts w:hint="eastAsia" w:ascii="仿宋_GB2312" w:hAnsi="仿宋_GB2312" w:eastAsia="仿宋_GB2312"/>
          <w:color w:val="000000"/>
          <w:kern w:val="0"/>
          <w:sz w:val="32"/>
          <w:lang w:val="en-US" w:eastAsia="zh-CN"/>
        </w:rPr>
        <w:t>8</w:t>
      </w:r>
      <w:r>
        <w:rPr>
          <w:rFonts w:hint="default" w:ascii="仿宋_GB2312" w:hAnsi="仿宋_GB2312" w:eastAsia="仿宋_GB2312"/>
          <w:color w:val="000000"/>
          <w:kern w:val="0"/>
          <w:sz w:val="32"/>
          <w:lang w:eastAsia="zh-CN"/>
        </w:rPr>
        <w:t>年的项目资金分配合理，资金监管有力。</w:t>
      </w:r>
      <w:r>
        <w:rPr>
          <w:rFonts w:hint="eastAsia" w:ascii="仿宋_GB2312" w:hAnsi="仿宋_GB2312" w:eastAsia="仿宋_GB2312"/>
          <w:color w:val="000000"/>
          <w:kern w:val="0"/>
          <w:sz w:val="32"/>
          <w:lang w:eastAsia="zh-CN"/>
        </w:rPr>
        <w:t>该项建成后将全面适应当前形势下对党员领导干部培训需求，</w:t>
      </w:r>
      <w:r>
        <w:rPr>
          <w:rFonts w:hint="eastAsia" w:ascii="仿宋_GB2312" w:hAnsi="仿宋_GB2312" w:eastAsia="仿宋_GB2312" w:cs="仿宋_GB2312"/>
          <w:color w:val="000000"/>
          <w:sz w:val="32"/>
          <w:szCs w:val="32"/>
        </w:rPr>
        <w:t>为推进依法治县、建设幸福美丽</w:t>
      </w:r>
      <w:r>
        <w:rPr>
          <w:rFonts w:hint="eastAsia" w:ascii="仿宋_GB2312" w:hAnsi="仿宋_GB2312" w:eastAsia="仿宋_GB2312" w:cs="仿宋_GB2312"/>
          <w:color w:val="000000"/>
          <w:sz w:val="32"/>
          <w:szCs w:val="32"/>
          <w:lang w:eastAsia="zh-CN"/>
        </w:rPr>
        <w:t>奇台</w:t>
      </w:r>
      <w:r>
        <w:rPr>
          <w:rFonts w:hint="eastAsia" w:ascii="仿宋_GB2312" w:hAnsi="仿宋_GB2312" w:eastAsia="仿宋_GB2312" w:cs="仿宋_GB2312"/>
          <w:color w:val="000000"/>
          <w:sz w:val="32"/>
          <w:szCs w:val="32"/>
        </w:rPr>
        <w:t>提供理论和智力支持。</w:t>
      </w:r>
    </w:p>
    <w:p>
      <w:pPr>
        <w:numPr>
          <w:ilvl w:val="0"/>
          <w:numId w:val="0"/>
        </w:numPr>
        <w:spacing w:line="540" w:lineRule="exact"/>
        <w:ind w:firstLine="640" w:firstLineChars="200"/>
        <w:rPr>
          <w:rFonts w:hint="eastAsia" w:ascii="仿宋_GB2312" w:hAnsi="仿宋_GB2312" w:eastAsia="仿宋_GB2312"/>
          <w:color w:val="000000"/>
          <w:kern w:val="0"/>
          <w:sz w:val="32"/>
          <w:lang w:eastAsia="zh-CN"/>
        </w:rPr>
      </w:pPr>
      <w:r>
        <w:rPr>
          <w:rFonts w:hint="eastAsia" w:ascii="仿宋_GB2312" w:eastAsia="仿宋_GB2312"/>
          <w:color w:val="000000"/>
          <w:sz w:val="32"/>
          <w:szCs w:val="32"/>
          <w:lang w:eastAsia="zh-CN"/>
        </w:rPr>
        <w:t>存在的问题：由于县</w:t>
      </w:r>
      <w:r>
        <w:rPr>
          <w:rFonts w:hint="default" w:ascii="仿宋_GB2312" w:hAnsi="仿宋_GB2312" w:eastAsia="仿宋_GB2312"/>
          <w:color w:val="000000"/>
          <w:kern w:val="0"/>
          <w:sz w:val="32"/>
          <w:lang w:eastAsia="zh-CN"/>
        </w:rPr>
        <w:t>财政收入有限</w:t>
      </w:r>
      <w:r>
        <w:rPr>
          <w:rFonts w:hint="eastAsia" w:ascii="仿宋_GB2312" w:hAnsi="仿宋_GB2312" w:eastAsia="仿宋_GB2312"/>
          <w:color w:val="000000"/>
          <w:kern w:val="0"/>
          <w:sz w:val="32"/>
          <w:lang w:eastAsia="zh-CN"/>
        </w:rPr>
        <w:t>，该项目资金预算安排不能跟上项目工程应付进度。由于当前债务化解等工作原因，延迟了工程进度。</w:t>
      </w:r>
    </w:p>
    <w:p>
      <w:pPr>
        <w:numPr>
          <w:ilvl w:val="0"/>
          <w:numId w:val="0"/>
        </w:numPr>
        <w:spacing w:line="540" w:lineRule="exact"/>
        <w:ind w:firstLine="640" w:firstLineChars="200"/>
        <w:rPr>
          <w:rFonts w:hint="eastAsia" w:ascii="仿宋_GB2312" w:hAnsi="仿宋_GB2312" w:eastAsia="仿宋_GB2312"/>
          <w:color w:val="000000"/>
          <w:kern w:val="0"/>
          <w:sz w:val="32"/>
          <w:lang w:eastAsia="zh-CN"/>
        </w:rPr>
      </w:pPr>
      <w:r>
        <w:rPr>
          <w:rFonts w:hint="eastAsia" w:ascii="仿宋_GB2312" w:hAnsi="仿宋_GB2312" w:eastAsia="仿宋_GB2312"/>
          <w:color w:val="000000"/>
          <w:kern w:val="0"/>
          <w:sz w:val="32"/>
          <w:lang w:eastAsia="zh-CN"/>
        </w:rPr>
        <w:t>改进措施及建议：</w:t>
      </w:r>
      <w:r>
        <w:rPr>
          <w:rFonts w:hint="default" w:ascii="仿宋_GB2312" w:hAnsi="仿宋_GB2312" w:eastAsia="仿宋_GB2312"/>
          <w:color w:val="000000"/>
          <w:kern w:val="0"/>
          <w:sz w:val="32"/>
          <w:lang w:eastAsia="zh-CN"/>
        </w:rPr>
        <w:t>拓宽资金来源，积极争取和用好</w:t>
      </w:r>
      <w:r>
        <w:rPr>
          <w:rFonts w:hint="eastAsia" w:ascii="仿宋_GB2312" w:hAnsi="仿宋_GB2312" w:eastAsia="仿宋_GB2312"/>
          <w:color w:val="000000"/>
          <w:kern w:val="0"/>
          <w:sz w:val="32"/>
          <w:lang w:eastAsia="zh-CN"/>
        </w:rPr>
        <w:t>上级</w:t>
      </w:r>
      <w:r>
        <w:rPr>
          <w:rFonts w:hint="default" w:ascii="仿宋_GB2312" w:hAnsi="仿宋_GB2312" w:eastAsia="仿宋_GB2312"/>
          <w:color w:val="000000"/>
          <w:kern w:val="0"/>
          <w:sz w:val="32"/>
          <w:lang w:eastAsia="zh-CN"/>
        </w:rPr>
        <w:t>部门的财政资金，发挥政府的导向作用，融合相关部门资金。</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r>
        <w:rPr>
          <w:rFonts w:hint="eastAsia" w:ascii="楷体" w:hAnsi="楷体" w:eastAsia="楷体"/>
          <w:b/>
          <w:spacing w:val="-4"/>
          <w:sz w:val="32"/>
          <w:szCs w:val="32"/>
          <w:lang w:eastAsia="zh-CN"/>
        </w:rPr>
        <w:t>（无）</w:t>
      </w:r>
    </w:p>
    <w:p>
      <w:pPr>
        <w:numPr>
          <w:ilvl w:val="0"/>
          <w:numId w:val="4"/>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项目评价工作情况</w:t>
      </w:r>
    </w:p>
    <w:p>
      <w:pPr>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财政局</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绩效评价规程要求，第一阶段为前期准备阶段：单位制定了详细的工作方案，明确责任，确定评价指标细则；第二阶段为自评阶段：根据上一阶段任务布置，</w:t>
      </w:r>
      <w:r>
        <w:rPr>
          <w:rFonts w:hint="eastAsia" w:ascii="仿宋_GB2312" w:hAnsi="仿宋_GB2312" w:eastAsia="仿宋_GB2312" w:cs="仿宋_GB2312"/>
          <w:sz w:val="32"/>
          <w:szCs w:val="32"/>
          <w:lang w:eastAsia="zh-CN"/>
        </w:rPr>
        <w:t>以监理方及项目办日常监管资料为依据，</w:t>
      </w:r>
      <w:r>
        <w:rPr>
          <w:rFonts w:hint="eastAsia" w:ascii="仿宋_GB2312" w:hAnsi="仿宋_GB2312" w:eastAsia="仿宋_GB2312" w:cs="仿宋_GB2312"/>
          <w:sz w:val="32"/>
          <w:szCs w:val="32"/>
        </w:rPr>
        <w:t>按照要求展开自评工作，并将评价结果报财政局；第三阶段为定性终评阶段，根据评价结果并出具评价报告。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tbl>
      <w:tblPr>
        <w:tblStyle w:val="20"/>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lang w:val="en-US" w:eastAsia="zh-CN"/>
              </w:rPr>
            </w:pPr>
          </w:p>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奇台县委党校综合教学楼建设项目</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中国共产党奇台县委员会党校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37.05</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37.05</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37.05</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37.05</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奇台县委党校综合教学楼建设项目建筑面积</w:t>
            </w:r>
            <w:r>
              <w:rPr>
                <w:rFonts w:hint="eastAsia" w:ascii="宋体" w:hAnsi="宋体" w:cs="宋体"/>
                <w:kern w:val="0"/>
                <w:sz w:val="20"/>
                <w:szCs w:val="20"/>
                <w:lang w:val="en-US" w:eastAsia="zh-CN"/>
              </w:rPr>
              <w:t>1万平方米，框架结构，地上十一层，地下一层。主要建设内容为综合教学楼土建施工及水、电、暖等配套设施安装。</w:t>
            </w:r>
          </w:p>
          <w:p>
            <w:pPr>
              <w:widowControl/>
              <w:jc w:val="left"/>
              <w:rPr>
                <w:rFonts w:hint="eastAsia" w:ascii="宋体" w:hAnsi="宋体" w:eastAsia="宋体" w:cs="宋体"/>
                <w:kern w:val="0"/>
                <w:sz w:val="20"/>
                <w:szCs w:val="20"/>
                <w:lang w:eastAsia="zh-CN"/>
              </w:rPr>
            </w:pP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目前主体工程已完工。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产出</w:t>
            </w:r>
            <w:r>
              <w:rPr>
                <w:rFonts w:hint="eastAsia" w:ascii="宋体" w:hAnsi="宋体" w:cs="宋体"/>
                <w:kern w:val="0"/>
                <w:sz w:val="20"/>
                <w:szCs w:val="20"/>
              </w:rPr>
              <w:t>指标</w:t>
            </w:r>
          </w:p>
        </w:tc>
        <w:tc>
          <w:tcPr>
            <w:tcW w:w="1360" w:type="dxa"/>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both"/>
              <w:rPr>
                <w:rFonts w:hint="eastAsia" w:ascii="宋体" w:hAnsi="宋体" w:eastAsia="宋体" w:cs="宋体"/>
                <w:kern w:val="0"/>
                <w:sz w:val="20"/>
                <w:szCs w:val="20"/>
                <w:lang w:eastAsia="zh-CN"/>
              </w:rPr>
            </w:pPr>
            <w:r>
              <w:rPr>
                <w:rFonts w:hint="eastAsia" w:ascii="宋体" w:hAnsi="宋体" w:cs="宋体"/>
                <w:kern w:val="0"/>
                <w:sz w:val="20"/>
                <w:szCs w:val="20"/>
                <w:lang w:eastAsia="zh-CN"/>
              </w:rPr>
              <w:t>建设工程量</w:t>
            </w:r>
            <w:r>
              <w:rPr>
                <w:rFonts w:hint="eastAsia" w:ascii="宋体" w:hAnsi="宋体" w:cs="宋体"/>
                <w:kern w:val="0"/>
                <w:sz w:val="20"/>
                <w:szCs w:val="20"/>
                <w:lang w:val="en-US" w:eastAsia="zh-CN"/>
              </w:rPr>
              <w:t>10000平方米</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10000平方米</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工程验收合格率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未验收</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both"/>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工程进度</w:t>
            </w:r>
          </w:p>
        </w:tc>
        <w:tc>
          <w:tcPr>
            <w:tcW w:w="2060" w:type="dxa"/>
            <w:tcBorders>
              <w:top w:val="nil"/>
              <w:left w:val="nil"/>
              <w:bottom w:val="single" w:color="auto" w:sz="4" w:space="0"/>
              <w:right w:val="single" w:color="auto" w:sz="4" w:space="0"/>
            </w:tcBorders>
            <w:vAlign w:val="center"/>
          </w:tcPr>
          <w:p>
            <w:pPr>
              <w:widowControl/>
              <w:ind w:firstLine="200" w:firstLineChars="100"/>
              <w:jc w:val="both"/>
              <w:rPr>
                <w:rFonts w:ascii="宋体" w:hAnsi="宋体" w:cs="宋体"/>
                <w:kern w:val="0"/>
                <w:sz w:val="20"/>
                <w:szCs w:val="20"/>
              </w:rPr>
            </w:pPr>
            <w:r>
              <w:rPr>
                <w:rFonts w:hint="eastAsia" w:ascii="宋体" w:hAnsi="宋体" w:cs="宋体"/>
                <w:kern w:val="0"/>
                <w:sz w:val="20"/>
                <w:szCs w:val="20"/>
                <w:lang w:eastAsia="zh-CN"/>
              </w:rPr>
              <w:t>停工</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工程单位建设成本</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主体工程基本完工</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效益指标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业务保障能力</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停建，暂未达到预期目标</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hint="eastAsia" w:ascii="宋体" w:hAnsi="宋体" w:eastAsia="宋体" w:cs="宋体"/>
                <w:kern w:val="0"/>
                <w:sz w:val="20"/>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综合利用率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停建，暂未达到预期目标</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eastAsia="zh-CN"/>
              </w:rPr>
              <w:t>受益群众满意度（</w:t>
            </w:r>
            <w:r>
              <w:rPr>
                <w:rFonts w:hint="eastAsia" w:ascii="宋体" w:hAnsi="宋体" w:cs="宋体"/>
                <w:kern w:val="0"/>
                <w:sz w:val="20"/>
                <w:szCs w:val="20"/>
                <w:lang w:val="en-US" w:eastAsia="zh-CN"/>
              </w:rPr>
              <w:t>%）</w:t>
            </w:r>
          </w:p>
        </w:tc>
        <w:tc>
          <w:tcPr>
            <w:tcW w:w="2060" w:type="dxa"/>
            <w:tcBorders>
              <w:top w:val="nil"/>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val="en-US" w:eastAsia="zh-CN"/>
              </w:rPr>
              <w:t xml:space="preserve"> </w:t>
            </w:r>
            <w:r>
              <w:rPr>
                <w:rFonts w:hint="eastAsia" w:ascii="宋体" w:hAnsi="宋体" w:cs="宋体"/>
                <w:kern w:val="0"/>
                <w:sz w:val="20"/>
                <w:szCs w:val="20"/>
                <w:lang w:eastAsia="zh-CN"/>
              </w:rPr>
              <w:t>停建，暂未达到预期目标</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 xml:space="preserve"> </w:t>
            </w: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A00002BF" w:usb1="78CF7CFA" w:usb2="00000016" w:usb3="00000000" w:csb0="6016019D" w:csb1="D3F7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86"/>
    <w:family w:val="auto"/>
    <w:pitch w:val="default"/>
    <w:sig w:usb0="A00002EF" w:usb1="4000207B" w:usb2="00000000" w:usb3="00000000" w:csb0="2000009F" w:csb1="00000000"/>
  </w:font>
  <w:font w:name="仿宋">
    <w:altName w:val="微软雅黑"/>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宋体"/>
    <w:panose1 w:val="020F0704030504030204"/>
    <w:charset w:val="86"/>
    <w:family w:val="auto"/>
    <w:pitch w:val="default"/>
    <w:sig w:usb0="00000000" w:usb1="00000000" w:usb2="00000000" w:usb3="00000000" w:csb0="20000001" w:csb1="00000000"/>
  </w:font>
  <w:font w:name="楷体_GB2312">
    <w:panose1 w:val="02010609030101010101"/>
    <w:charset w:val="86"/>
    <w:family w:val="auto"/>
    <w:pitch w:val="default"/>
    <w:sig w:usb0="00000001" w:usb1="080E0000" w:usb2="00000000" w:usb3="00000000" w:csb0="00040000" w:csb1="00000000"/>
  </w:font>
  <w:font w:name="Shruti">
    <w:altName w:val="Lucida Sans Unicode"/>
    <w:panose1 w:val="020B0502040204020203"/>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09F" w:csb1="00000000"/>
  </w:font>
  <w:font w:name="PMingLiU">
    <w:panose1 w:val="02020300000000000000"/>
    <w:charset w:val="88"/>
    <w:family w:val="auto"/>
    <w:pitch w:val="default"/>
    <w:sig w:usb0="00000003" w:usb1="082E0000" w:usb2="00000016" w:usb3="00000000" w:csb0="00100001" w:csb1="00000000"/>
  </w:font>
  <w:font w:name="Helvetica">
    <w:altName w:val="Microsoft Sans Serif"/>
    <w:panose1 w:val="020B0604020202020204"/>
    <w:charset w:val="00"/>
    <w:family w:val="auto"/>
    <w:pitch w:val="default"/>
    <w:sig w:usb0="00000000" w:usb1="00000000" w:usb2="00000000" w:usb3="00000000" w:csb0="00000001" w:csb1="00000000"/>
  </w:font>
  <w:font w:name="Microsoft Sans Serif">
    <w:panose1 w:val="020B0604020202020204"/>
    <w:charset w:val="00"/>
    <w:family w:val="auto"/>
    <w:pitch w:val="default"/>
    <w:sig w:usb0="61007BDF" w:usb1="80000000" w:usb2="00000008" w:usb3="00000000" w:csb0="200101FF" w:csb1="2028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altName w:val="宋体"/>
    <w:panose1 w:val="02010601030101010101"/>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0"/>
    <w:family w:val="swiss"/>
    <w:pitch w:val="default"/>
    <w:sig w:usb0="00007A87" w:usb1="80000000" w:usb2="00000008" w:usb3="00000000" w:csb0="400001FF" w:csb1="FFFF0000"/>
  </w:font>
  <w:font w:name="新宋体">
    <w:panose1 w:val="02010609030101010101"/>
    <w:charset w:val="86"/>
    <w:family w:val="modern"/>
    <w:pitch w:val="default"/>
    <w:sig w:usb0="A00002BF" w:usb1="78CF7CFA" w:usb2="00000016" w:usb3="00000000" w:csb0="6016019D" w:csb1="D3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t>1</w:t>
    </w:r>
    <w: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2"/>
      <w:numFmt w:val="chineseCounting"/>
      <w:suff w:val="nothing"/>
      <w:lvlText w:val="（%1）"/>
      <w:lvlJc w:val="left"/>
    </w:lvl>
  </w:abstractNum>
  <w:abstractNum w:abstractNumId="1">
    <w:nsid w:val="00000008"/>
    <w:multiLevelType w:val="singleLevel"/>
    <w:tmpl w:val="00000008"/>
    <w:lvl w:ilvl="0" w:tentative="0">
      <w:start w:val="2"/>
      <w:numFmt w:val="chineseCounting"/>
      <w:suff w:val="nothing"/>
      <w:lvlText w:val="（%1）"/>
      <w:lvlJc w:val="left"/>
    </w:lvl>
  </w:abstractNum>
  <w:abstractNum w:abstractNumId="2">
    <w:nsid w:val="00000009"/>
    <w:multiLevelType w:val="singleLevel"/>
    <w:tmpl w:val="00000009"/>
    <w:lvl w:ilvl="0" w:tentative="0">
      <w:start w:val="6"/>
      <w:numFmt w:val="chineseCounting"/>
      <w:suff w:val="nothing"/>
      <w:lvlText w:val="%1、"/>
      <w:lvlJc w:val="left"/>
    </w:lvl>
  </w:abstractNum>
  <w:abstractNum w:abstractNumId="3">
    <w:nsid w:val="5C41A334"/>
    <w:multiLevelType w:val="singleLevel"/>
    <w:tmpl w:val="5C41A334"/>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387BFB"/>
    <w:rsid w:val="1201266C"/>
    <w:rsid w:val="1B8E5D24"/>
    <w:rsid w:val="1F4B010F"/>
    <w:rsid w:val="20FD6A2A"/>
    <w:rsid w:val="21183220"/>
    <w:rsid w:val="22DE5A6C"/>
    <w:rsid w:val="47CA4818"/>
    <w:rsid w:val="4A272474"/>
    <w:rsid w:val="4C524447"/>
    <w:rsid w:val="50C11F60"/>
    <w:rsid w:val="65B04375"/>
    <w:rsid w:val="678C3C4A"/>
    <w:rsid w:val="6AB80C00"/>
    <w:rsid w:val="73090680"/>
    <w:rsid w:val="7C3A2B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uiPriority w:val="0"/>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2"/>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3"/>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4"/>
    <w:qFormat/>
    <w:uiPriority w:val="0"/>
    <w:pPr>
      <w:keepNext/>
      <w:widowControl/>
      <w:spacing w:before="240" w:after="60"/>
      <w:jc w:val="left"/>
      <w:outlineLvl w:val="3"/>
    </w:pPr>
    <w:rPr>
      <w:b/>
      <w:bCs/>
      <w:sz w:val="28"/>
      <w:szCs w:val="28"/>
    </w:rPr>
  </w:style>
  <w:style w:type="paragraph" w:styleId="6">
    <w:name w:val="heading 5"/>
    <w:basedOn w:val="1"/>
    <w:next w:val="1"/>
    <w:link w:val="25"/>
    <w:qFormat/>
    <w:uiPriority w:val="0"/>
    <w:pPr>
      <w:widowControl/>
      <w:spacing w:before="240" w:after="60"/>
      <w:jc w:val="left"/>
      <w:outlineLvl w:val="4"/>
    </w:pPr>
    <w:rPr>
      <w:b/>
      <w:bCs/>
      <w:i/>
      <w:iCs/>
      <w:sz w:val="26"/>
      <w:szCs w:val="26"/>
    </w:rPr>
  </w:style>
  <w:style w:type="paragraph" w:styleId="7">
    <w:name w:val="heading 6"/>
    <w:basedOn w:val="1"/>
    <w:next w:val="1"/>
    <w:link w:val="26"/>
    <w:qFormat/>
    <w:uiPriority w:val="0"/>
    <w:pPr>
      <w:widowControl/>
      <w:spacing w:before="240" w:after="60"/>
      <w:jc w:val="left"/>
      <w:outlineLvl w:val="5"/>
    </w:pPr>
    <w:rPr>
      <w:b/>
      <w:bCs/>
    </w:rPr>
  </w:style>
  <w:style w:type="paragraph" w:styleId="8">
    <w:name w:val="heading 7"/>
    <w:basedOn w:val="1"/>
    <w:next w:val="1"/>
    <w:link w:val="27"/>
    <w:qFormat/>
    <w:uiPriority w:val="0"/>
    <w:pPr>
      <w:widowControl/>
      <w:spacing w:before="240" w:after="60"/>
      <w:jc w:val="left"/>
      <w:outlineLvl w:val="6"/>
    </w:pPr>
    <w:rPr>
      <w:sz w:val="24"/>
      <w:szCs w:val="24"/>
    </w:rPr>
  </w:style>
  <w:style w:type="paragraph" w:styleId="9">
    <w:name w:val="heading 8"/>
    <w:basedOn w:val="1"/>
    <w:next w:val="1"/>
    <w:link w:val="28"/>
    <w:qFormat/>
    <w:uiPriority w:val="0"/>
    <w:pPr>
      <w:widowControl/>
      <w:spacing w:before="240" w:after="60"/>
      <w:jc w:val="left"/>
      <w:outlineLvl w:val="7"/>
    </w:pPr>
    <w:rPr>
      <w:i/>
      <w:iCs/>
      <w:sz w:val="24"/>
      <w:szCs w:val="24"/>
    </w:rPr>
  </w:style>
  <w:style w:type="paragraph" w:styleId="10">
    <w:name w:val="heading 9"/>
    <w:basedOn w:val="1"/>
    <w:next w:val="1"/>
    <w:link w:val="29"/>
    <w:qFormat/>
    <w:uiPriority w:val="0"/>
    <w:pPr>
      <w:widowControl/>
      <w:spacing w:before="240" w:after="60"/>
      <w:jc w:val="left"/>
      <w:outlineLvl w:val="8"/>
    </w:pPr>
    <w:rPr>
      <w:rFonts w:ascii="Cambria" w:hAnsi="Cambria" w:eastAsia="宋体"/>
    </w:rPr>
  </w:style>
  <w:style w:type="character" w:default="1" w:styleId="17">
    <w:name w:val="Default Paragraph Font"/>
    <w:qFormat/>
    <w:uiPriority w:val="0"/>
  </w:style>
  <w:style w:type="table" w:default="1" w:styleId="20">
    <w:name w:val="Normal Table"/>
    <w:semiHidden/>
    <w:uiPriority w:val="0"/>
    <w:tblPr>
      <w:tblLayout w:type="fixed"/>
      <w:tblCellMar>
        <w:top w:w="0" w:type="dxa"/>
        <w:left w:w="108" w:type="dxa"/>
        <w:bottom w:w="0" w:type="dxa"/>
        <w:right w:w="108" w:type="dxa"/>
      </w:tblCellMar>
    </w:tblPr>
  </w:style>
  <w:style w:type="paragraph" w:styleId="11">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12">
    <w:name w:val="footer"/>
    <w:basedOn w:val="1"/>
    <w:link w:val="30"/>
    <w:uiPriority w:val="0"/>
    <w:pPr>
      <w:tabs>
        <w:tab w:val="center" w:pos="4153"/>
        <w:tab w:val="right" w:pos="8306"/>
      </w:tabs>
      <w:snapToGrid w:val="0"/>
      <w:jc w:val="left"/>
    </w:pPr>
    <w:rPr>
      <w:rFonts w:ascii="Calibri" w:hAnsi="Calibri" w:eastAsia="宋体"/>
      <w:kern w:val="2"/>
      <w:sz w:val="18"/>
      <w:szCs w:val="18"/>
    </w:rPr>
  </w:style>
  <w:style w:type="paragraph" w:styleId="13">
    <w:name w:val="header"/>
    <w:basedOn w:val="1"/>
    <w:link w:val="31"/>
    <w:qFormat/>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4">
    <w:name w:val="Subtitle"/>
    <w:basedOn w:val="1"/>
    <w:next w:val="1"/>
    <w:link w:val="32"/>
    <w:uiPriority w:val="0"/>
    <w:pPr>
      <w:widowControl/>
      <w:spacing w:after="60"/>
      <w:jc w:val="center"/>
      <w:outlineLvl w:val="1"/>
    </w:pPr>
    <w:rPr>
      <w:rFonts w:ascii="Cambria" w:hAnsi="Cambria" w:eastAsia="宋体"/>
      <w:sz w:val="24"/>
      <w:szCs w:val="24"/>
    </w:rPr>
  </w:style>
  <w:style w:type="paragraph" w:styleId="15">
    <w:name w:val="Normal (Web)"/>
    <w:basedOn w:val="1"/>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link w:val="33"/>
    <w:uiPriority w:val="0"/>
    <w:pPr>
      <w:widowControl/>
      <w:spacing w:before="240" w:after="60"/>
      <w:jc w:val="center"/>
      <w:outlineLvl w:val="0"/>
    </w:pPr>
    <w:rPr>
      <w:rFonts w:ascii="Cambria" w:hAnsi="Cambria" w:eastAsia="宋体"/>
      <w:b/>
      <w:bCs/>
      <w:kern w:val="28"/>
      <w:sz w:val="32"/>
      <w:szCs w:val="32"/>
    </w:rPr>
  </w:style>
  <w:style w:type="character" w:styleId="18">
    <w:name w:val="Strong"/>
    <w:basedOn w:val="17"/>
    <w:uiPriority w:val="0"/>
    <w:rPr>
      <w:b/>
      <w:bCs/>
    </w:rPr>
  </w:style>
  <w:style w:type="character" w:styleId="19">
    <w:name w:val="Emphasis"/>
    <w:basedOn w:val="17"/>
    <w:uiPriority w:val="0"/>
    <w:rPr>
      <w:rFonts w:ascii="Calibri" w:hAnsi="Calibri"/>
      <w:b/>
      <w:i/>
      <w:iCs/>
    </w:rPr>
  </w:style>
  <w:style w:type="character" w:customStyle="1" w:styleId="21">
    <w:name w:val="标题 1 Char"/>
    <w:basedOn w:val="17"/>
    <w:link w:val="2"/>
    <w:semiHidden/>
    <w:uiPriority w:val="0"/>
    <w:rPr>
      <w:rFonts w:ascii="Cambria" w:hAnsi="Cambria" w:eastAsia="宋体"/>
      <w:b/>
      <w:bCs/>
      <w:kern w:val="32"/>
      <w:sz w:val="32"/>
      <w:szCs w:val="32"/>
    </w:rPr>
  </w:style>
  <w:style w:type="character" w:customStyle="1" w:styleId="22">
    <w:name w:val="标题 2 Char"/>
    <w:basedOn w:val="17"/>
    <w:link w:val="3"/>
    <w:semiHidden/>
    <w:uiPriority w:val="0"/>
    <w:rPr>
      <w:rFonts w:ascii="Cambria" w:hAnsi="Cambria" w:eastAsia="宋体"/>
      <w:b/>
      <w:bCs/>
      <w:i/>
      <w:iCs/>
      <w:sz w:val="28"/>
      <w:szCs w:val="28"/>
    </w:rPr>
  </w:style>
  <w:style w:type="character" w:customStyle="1" w:styleId="23">
    <w:name w:val="标题 3 Char"/>
    <w:basedOn w:val="17"/>
    <w:link w:val="4"/>
    <w:semiHidden/>
    <w:uiPriority w:val="0"/>
    <w:rPr>
      <w:rFonts w:ascii="Cambria" w:hAnsi="Cambria" w:eastAsia="宋体"/>
      <w:b/>
      <w:bCs/>
      <w:sz w:val="26"/>
      <w:szCs w:val="26"/>
    </w:rPr>
  </w:style>
  <w:style w:type="character" w:customStyle="1" w:styleId="24">
    <w:name w:val="标题 4 Char"/>
    <w:basedOn w:val="17"/>
    <w:link w:val="5"/>
    <w:semiHidden/>
    <w:uiPriority w:val="0"/>
    <w:rPr>
      <w:b/>
      <w:bCs/>
      <w:sz w:val="28"/>
      <w:szCs w:val="28"/>
    </w:rPr>
  </w:style>
  <w:style w:type="character" w:customStyle="1" w:styleId="25">
    <w:name w:val="标题 5 Char"/>
    <w:basedOn w:val="17"/>
    <w:link w:val="6"/>
    <w:semiHidden/>
    <w:uiPriority w:val="0"/>
    <w:rPr>
      <w:b/>
      <w:bCs/>
      <w:i/>
      <w:iCs/>
      <w:sz w:val="26"/>
      <w:szCs w:val="26"/>
    </w:rPr>
  </w:style>
  <w:style w:type="character" w:customStyle="1" w:styleId="26">
    <w:name w:val="标题 6 Char"/>
    <w:basedOn w:val="17"/>
    <w:link w:val="7"/>
    <w:semiHidden/>
    <w:uiPriority w:val="0"/>
    <w:rPr>
      <w:b/>
      <w:bCs/>
    </w:rPr>
  </w:style>
  <w:style w:type="character" w:customStyle="1" w:styleId="27">
    <w:name w:val="标题 7 Char"/>
    <w:basedOn w:val="17"/>
    <w:link w:val="8"/>
    <w:semiHidden/>
    <w:uiPriority w:val="0"/>
    <w:rPr>
      <w:sz w:val="24"/>
      <w:szCs w:val="24"/>
    </w:rPr>
  </w:style>
  <w:style w:type="character" w:customStyle="1" w:styleId="28">
    <w:name w:val="标题 8 Char"/>
    <w:basedOn w:val="17"/>
    <w:link w:val="9"/>
    <w:semiHidden/>
    <w:uiPriority w:val="0"/>
    <w:rPr>
      <w:i/>
      <w:iCs/>
      <w:sz w:val="24"/>
      <w:szCs w:val="24"/>
    </w:rPr>
  </w:style>
  <w:style w:type="character" w:customStyle="1" w:styleId="29">
    <w:name w:val="标题 9 Char"/>
    <w:basedOn w:val="17"/>
    <w:link w:val="10"/>
    <w:semiHidden/>
    <w:uiPriority w:val="0"/>
    <w:rPr>
      <w:rFonts w:ascii="Cambria" w:hAnsi="Cambria" w:eastAsia="宋体"/>
    </w:rPr>
  </w:style>
  <w:style w:type="character" w:customStyle="1" w:styleId="30">
    <w:name w:val="页脚 Char"/>
    <w:basedOn w:val="17"/>
    <w:link w:val="12"/>
    <w:semiHidden/>
    <w:uiPriority w:val="0"/>
    <w:rPr>
      <w:rFonts w:ascii="Calibri" w:hAnsi="Calibri" w:eastAsia="宋体"/>
      <w:kern w:val="2"/>
      <w:sz w:val="18"/>
      <w:szCs w:val="18"/>
    </w:rPr>
  </w:style>
  <w:style w:type="character" w:customStyle="1" w:styleId="31">
    <w:name w:val="页眉 Char"/>
    <w:basedOn w:val="17"/>
    <w:link w:val="13"/>
    <w:semiHidden/>
    <w:uiPriority w:val="0"/>
    <w:rPr>
      <w:rFonts w:ascii="Calibri" w:hAnsi="Calibri" w:eastAsia="宋体"/>
      <w:kern w:val="2"/>
      <w:sz w:val="18"/>
      <w:szCs w:val="18"/>
    </w:rPr>
  </w:style>
  <w:style w:type="character" w:customStyle="1" w:styleId="32">
    <w:name w:val="副标题 Char"/>
    <w:basedOn w:val="17"/>
    <w:link w:val="14"/>
    <w:semiHidden/>
    <w:uiPriority w:val="0"/>
    <w:rPr>
      <w:rFonts w:ascii="Cambria" w:hAnsi="Cambria" w:eastAsia="宋体"/>
      <w:sz w:val="24"/>
      <w:szCs w:val="24"/>
    </w:rPr>
  </w:style>
  <w:style w:type="character" w:customStyle="1" w:styleId="33">
    <w:name w:val="标题 Char"/>
    <w:basedOn w:val="17"/>
    <w:link w:val="16"/>
    <w:semiHidden/>
    <w:uiPriority w:val="0"/>
    <w:rPr>
      <w:rFonts w:ascii="Cambria" w:hAnsi="Cambria" w:eastAsia="宋体"/>
      <w:b/>
      <w:bCs/>
      <w:kern w:val="28"/>
      <w:sz w:val="32"/>
      <w:szCs w:val="32"/>
    </w:rPr>
  </w:style>
  <w:style w:type="paragraph" w:customStyle="1" w:styleId="34">
    <w:name w:val="批注框文本 Char Char"/>
    <w:basedOn w:val="1"/>
    <w:link w:val="40"/>
    <w:uiPriority w:val="0"/>
    <w:rPr>
      <w:rFonts w:ascii="Times New Roman" w:hAnsi="Times New Roman" w:eastAsia="宋体"/>
      <w:kern w:val="2"/>
      <w:sz w:val="18"/>
      <w:szCs w:val="18"/>
    </w:rPr>
  </w:style>
  <w:style w:type="paragraph" w:customStyle="1" w:styleId="35">
    <w:name w:val="No Spacing"/>
    <w:basedOn w:val="1"/>
    <w:uiPriority w:val="0"/>
    <w:pPr>
      <w:widowControl/>
      <w:jc w:val="left"/>
    </w:pPr>
    <w:rPr>
      <w:rFonts w:ascii="Calibri" w:hAnsi="Calibri" w:eastAsia="宋体" w:cs="Times New Roman"/>
      <w:kern w:val="0"/>
      <w:sz w:val="24"/>
      <w:szCs w:val="32"/>
      <w:lang w:val="en-US" w:eastAsia="en-US" w:bidi="en-US"/>
    </w:rPr>
  </w:style>
  <w:style w:type="paragraph" w:customStyle="1" w:styleId="36">
    <w:name w:val="List Paragraph"/>
    <w:basedOn w:val="1"/>
    <w:uiPriority w:val="0"/>
    <w:pPr>
      <w:widowControl/>
      <w:ind w:left="720"/>
      <w:contextualSpacing/>
      <w:jc w:val="left"/>
    </w:pPr>
    <w:rPr>
      <w:rFonts w:ascii="Calibri" w:hAnsi="Calibri" w:eastAsia="宋体"/>
      <w:kern w:val="0"/>
      <w:sz w:val="24"/>
      <w:lang w:eastAsia="en-US" w:bidi="en-US"/>
    </w:rPr>
  </w:style>
  <w:style w:type="paragraph" w:customStyle="1" w:styleId="37">
    <w:name w:val="Quote"/>
    <w:basedOn w:val="1"/>
    <w:next w:val="1"/>
    <w:link w:val="41"/>
    <w:uiPriority w:val="0"/>
    <w:pPr>
      <w:widowControl/>
      <w:jc w:val="left"/>
    </w:pPr>
    <w:rPr>
      <w:i/>
      <w:sz w:val="24"/>
      <w:szCs w:val="24"/>
    </w:rPr>
  </w:style>
  <w:style w:type="paragraph" w:customStyle="1" w:styleId="38">
    <w:name w:val="Intense Quote"/>
    <w:basedOn w:val="1"/>
    <w:next w:val="1"/>
    <w:link w:val="42"/>
    <w:uiPriority w:val="0"/>
    <w:pPr>
      <w:widowControl/>
      <w:ind w:left="720" w:right="720"/>
      <w:jc w:val="left"/>
    </w:pPr>
    <w:rPr>
      <w:b/>
      <w:i/>
      <w:sz w:val="24"/>
    </w:rPr>
  </w:style>
  <w:style w:type="paragraph" w:customStyle="1" w:styleId="39">
    <w:name w:val="TOC Heading"/>
    <w:basedOn w:val="2"/>
    <w:next w:val="1"/>
    <w:uiPriority w:val="0"/>
    <w:pPr>
      <w:outlineLvl w:val="9"/>
    </w:pPr>
    <w:rPr>
      <w:lang w:eastAsia="en-US" w:bidi="en-US"/>
    </w:rPr>
  </w:style>
  <w:style w:type="character" w:customStyle="1" w:styleId="40">
    <w:name w:val="批注框文本 Char Char Char"/>
    <w:basedOn w:val="17"/>
    <w:link w:val="34"/>
    <w:semiHidden/>
    <w:uiPriority w:val="0"/>
    <w:rPr>
      <w:rFonts w:ascii="Times New Roman" w:hAnsi="Times New Roman" w:eastAsia="宋体"/>
      <w:kern w:val="2"/>
      <w:sz w:val="18"/>
      <w:szCs w:val="18"/>
    </w:rPr>
  </w:style>
  <w:style w:type="character" w:customStyle="1" w:styleId="41">
    <w:name w:val="引用 Char"/>
    <w:basedOn w:val="17"/>
    <w:link w:val="37"/>
    <w:semiHidden/>
    <w:uiPriority w:val="0"/>
    <w:rPr>
      <w:i/>
      <w:sz w:val="24"/>
      <w:szCs w:val="24"/>
    </w:rPr>
  </w:style>
  <w:style w:type="character" w:customStyle="1" w:styleId="42">
    <w:name w:val="明显引用 Char"/>
    <w:basedOn w:val="17"/>
    <w:link w:val="38"/>
    <w:semiHidden/>
    <w:uiPriority w:val="0"/>
    <w:rPr>
      <w:b/>
      <w:i/>
      <w:sz w:val="24"/>
    </w:rPr>
  </w:style>
  <w:style w:type="character" w:customStyle="1" w:styleId="43">
    <w:name w:val="Subtle Emphasis"/>
    <w:uiPriority w:val="0"/>
    <w:rPr>
      <w:i/>
      <w:color w:val="565656"/>
    </w:rPr>
  </w:style>
  <w:style w:type="character" w:customStyle="1" w:styleId="44">
    <w:name w:val="Intense Emphasis"/>
    <w:basedOn w:val="17"/>
    <w:uiPriority w:val="0"/>
    <w:rPr>
      <w:b/>
      <w:i/>
      <w:sz w:val="24"/>
      <w:szCs w:val="24"/>
      <w:u w:val="single"/>
    </w:rPr>
  </w:style>
  <w:style w:type="character" w:customStyle="1" w:styleId="45">
    <w:name w:val="Subtle Reference"/>
    <w:basedOn w:val="17"/>
    <w:uiPriority w:val="0"/>
    <w:rPr>
      <w:sz w:val="24"/>
      <w:szCs w:val="24"/>
      <w:u w:val="single"/>
    </w:rPr>
  </w:style>
  <w:style w:type="character" w:customStyle="1" w:styleId="46">
    <w:name w:val="Intense Reference"/>
    <w:basedOn w:val="17"/>
    <w:uiPriority w:val="0"/>
    <w:rPr>
      <w:b/>
      <w:sz w:val="24"/>
      <w:u w:val="single"/>
    </w:rPr>
  </w:style>
  <w:style w:type="character" w:customStyle="1" w:styleId="47">
    <w:name w:val="Book Title"/>
    <w:basedOn w:val="17"/>
    <w:uiPriority w:val="0"/>
    <w:rPr>
      <w:rFonts w:ascii="Cambria" w:hAnsi="Cambria" w:eastAsia="宋体"/>
      <w:b/>
      <w:i/>
      <w:sz w:val="24"/>
      <w:szCs w:val="24"/>
    </w:rPr>
  </w:style>
  <w:style w:type="paragraph" w:customStyle="1" w:styleId="48">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Administrator</cp:lastModifiedBy>
  <cp:lastPrinted>2019-01-15T23:19:00Z</cp:lastPrinted>
  <dcterms:modified xsi:type="dcterms:W3CDTF">2019-01-21T10:07:10Z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